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E143" w14:textId="4642F9B9" w:rsidR="00C65485" w:rsidRPr="00CA0E15" w:rsidRDefault="00C65485" w:rsidP="00C65485">
      <w:pPr>
        <w:rPr>
          <w:rFonts w:ascii="Arial" w:hAnsi="Arial" w:cs="Arial"/>
        </w:rPr>
        <w:sectPr w:rsidR="00C65485" w:rsidRPr="00CA0E15" w:rsidSect="00B25208">
          <w:footerReference w:type="even" r:id="rId12"/>
          <w:footerReference w:type="default" r:id="rId13"/>
          <w:headerReference w:type="first" r:id="rId14"/>
          <w:footerReference w:type="first" r:id="rId15"/>
          <w:type w:val="continuous"/>
          <w:pgSz w:w="11906" w:h="16838"/>
          <w:pgMar w:top="2460" w:right="1558" w:bottom="1440" w:left="1276" w:header="0" w:footer="297" w:gutter="0"/>
          <w:cols w:space="708"/>
          <w:titlePg/>
          <w:docGrid w:linePitch="360"/>
        </w:sectPr>
      </w:pPr>
    </w:p>
    <w:p w14:paraId="7FC98D47" w14:textId="77777777" w:rsidR="002B4A3F" w:rsidRPr="002A4E27" w:rsidRDefault="002B4A3F" w:rsidP="002B4A3F">
      <w:pPr>
        <w:jc w:val="right"/>
      </w:pPr>
      <w:r w:rsidRPr="002A4E27">
        <w:t>WES2001.06</w:t>
      </w:r>
    </w:p>
    <w:p w14:paraId="17419FC5" w14:textId="05384D75" w:rsidR="00B25208" w:rsidRDefault="002B4A3F" w:rsidP="002B4A3F">
      <w:r w:rsidRPr="002A4E27">
        <w:t>1</w:t>
      </w:r>
      <w:r w:rsidR="00207B89">
        <w:t>3 January 2020</w:t>
      </w:r>
      <w:bookmarkStart w:id="1" w:name="_GoBack"/>
      <w:bookmarkEnd w:id="1"/>
    </w:p>
    <w:p w14:paraId="04B61FF9" w14:textId="48BF8E44" w:rsidR="002B4A3F" w:rsidRDefault="002B4A3F" w:rsidP="002B4A3F">
      <w:pPr>
        <w:pStyle w:val="Title"/>
      </w:pPr>
      <w:r w:rsidRPr="002A4E27">
        <w:t xml:space="preserve">Works notification: Fogarty Avenue, Williamstown Road to Newport Rail </w:t>
      </w:r>
    </w:p>
    <w:p w14:paraId="39DA55F2" w14:textId="73B9574F" w:rsidR="002B4A3F" w:rsidRPr="002A4E27" w:rsidRDefault="002B4A3F" w:rsidP="002B4A3F">
      <w:pPr>
        <w:pStyle w:val="Heading1"/>
      </w:pPr>
      <w:r>
        <w:t>C</w:t>
      </w:r>
      <w:r w:rsidRPr="002A4E27">
        <w:t xml:space="preserve">onstruction is continuing along Fogarty Avenue and the West Gate Freeway from Newport Rail Bridge to Williamstown Road, including drainage, powerline relocations, sewer replacement and installation of noise wall panels. </w:t>
      </w:r>
    </w:p>
    <w:p w14:paraId="7CB5F674" w14:textId="31B062A7" w:rsidR="002B4A3F" w:rsidRDefault="001D70F9" w:rsidP="002B4A3F">
      <w:r>
        <w:t>While these works will continue throughout 2020 and 2021, b</w:t>
      </w:r>
      <w:r w:rsidR="002B4A3F" w:rsidRPr="002A4E27">
        <w:t>elow is a summary of what you can expect to see in the area from Jan</w:t>
      </w:r>
      <w:r w:rsidR="002B4A3F">
        <w:t xml:space="preserve">uary to April 2020, including: </w:t>
      </w:r>
    </w:p>
    <w:p w14:paraId="6BBCC0CA" w14:textId="77777777" w:rsidR="002B4A3F" w:rsidRPr="002A4E27" w:rsidRDefault="002B4A3F" w:rsidP="002B4A3F">
      <w:pPr>
        <w:pStyle w:val="ListBullet"/>
      </w:pPr>
      <w:r w:rsidRPr="002A4E27">
        <w:t>Fogarty Avenue drainage and widening works;</w:t>
      </w:r>
    </w:p>
    <w:p w14:paraId="433D00F1" w14:textId="77777777" w:rsidR="002B4A3F" w:rsidRPr="002A4E27" w:rsidRDefault="002B4A3F" w:rsidP="002B4A3F">
      <w:pPr>
        <w:pStyle w:val="ListBullet"/>
      </w:pPr>
      <w:r w:rsidRPr="002A4E27">
        <w:t xml:space="preserve">Fogarty Avenue community information session; </w:t>
      </w:r>
    </w:p>
    <w:p w14:paraId="1659E543" w14:textId="77777777" w:rsidR="002B4A3F" w:rsidRPr="002A4E27" w:rsidRDefault="002B4A3F" w:rsidP="002B4A3F">
      <w:pPr>
        <w:pStyle w:val="ListBullet"/>
      </w:pPr>
      <w:r w:rsidRPr="002A4E27">
        <w:t>Wembley Avenue powerline relocation;</w:t>
      </w:r>
    </w:p>
    <w:p w14:paraId="11BCE84D" w14:textId="77777777" w:rsidR="002B4A3F" w:rsidRPr="002A4E27" w:rsidRDefault="002B4A3F" w:rsidP="002B4A3F">
      <w:pPr>
        <w:pStyle w:val="ListBullet"/>
      </w:pPr>
      <w:r w:rsidRPr="002A4E27">
        <w:t>Newport Rail Bridge works;</w:t>
      </w:r>
    </w:p>
    <w:p w14:paraId="172884DA" w14:textId="77777777" w:rsidR="002B4A3F" w:rsidRPr="002A4E27" w:rsidRDefault="002B4A3F" w:rsidP="002B4A3F">
      <w:pPr>
        <w:pStyle w:val="ListBullet"/>
      </w:pPr>
      <w:r w:rsidRPr="002A4E27">
        <w:t xml:space="preserve">Williamstown Road sewer pipe diversion; and </w:t>
      </w:r>
    </w:p>
    <w:p w14:paraId="087D5F7D" w14:textId="77777777" w:rsidR="002B4A3F" w:rsidRPr="002A4E27" w:rsidRDefault="002B4A3F" w:rsidP="002B4A3F">
      <w:pPr>
        <w:pStyle w:val="ListBullet"/>
      </w:pPr>
      <w:r w:rsidRPr="002A4E27">
        <w:t>Works at the West Gate Freeway/Williamstown Road interchange</w:t>
      </w:r>
    </w:p>
    <w:p w14:paraId="4CC4EC0B" w14:textId="3588EE69" w:rsidR="002B4A3F" w:rsidRPr="002A4E27" w:rsidRDefault="002B4A3F" w:rsidP="002B4A3F">
      <w:r w:rsidRPr="002A4E27">
        <w:t xml:space="preserve">Advance notice will be provided for noisy works likely to impact residents. </w:t>
      </w:r>
    </w:p>
    <w:p w14:paraId="5076FD9E" w14:textId="612EF1FB" w:rsidR="002B4A3F" w:rsidRPr="002A4E27" w:rsidRDefault="002B4A3F" w:rsidP="002B4A3F">
      <w:pPr>
        <w:pStyle w:val="Heading2"/>
      </w:pPr>
      <w:r>
        <w:rPr>
          <w:noProof/>
          <w:lang w:eastAsia="en-AU"/>
        </w:rPr>
        <mc:AlternateContent>
          <mc:Choice Requires="wpg">
            <w:drawing>
              <wp:anchor distT="0" distB="0" distL="114300" distR="114300" simplePos="0" relativeHeight="251658240" behindDoc="1" locked="0" layoutInCell="1" allowOverlap="1" wp14:anchorId="23221C96" wp14:editId="64E03AA6">
                <wp:simplePos x="0" y="0"/>
                <wp:positionH relativeFrom="column">
                  <wp:posOffset>3790315</wp:posOffset>
                </wp:positionH>
                <wp:positionV relativeFrom="paragraph">
                  <wp:posOffset>137795</wp:posOffset>
                </wp:positionV>
                <wp:extent cx="2495550" cy="3514725"/>
                <wp:effectExtent l="0" t="0" r="19050" b="28575"/>
                <wp:wrapTight wrapText="bothSides">
                  <wp:wrapPolygon edited="0">
                    <wp:start x="495" y="0"/>
                    <wp:lineTo x="0" y="585"/>
                    <wp:lineTo x="0" y="21659"/>
                    <wp:lineTo x="21600" y="21659"/>
                    <wp:lineTo x="21600" y="585"/>
                    <wp:lineTo x="20940" y="0"/>
                    <wp:lineTo x="495" y="0"/>
                  </wp:wrapPolygon>
                </wp:wrapTight>
                <wp:docPr id="15" name="Group 15"/>
                <wp:cNvGraphicFramePr/>
                <a:graphic xmlns:a="http://schemas.openxmlformats.org/drawingml/2006/main">
                  <a:graphicData uri="http://schemas.microsoft.com/office/word/2010/wordprocessingGroup">
                    <wpg:wgp>
                      <wpg:cNvGrpSpPr/>
                      <wpg:grpSpPr>
                        <a:xfrm>
                          <a:off x="0" y="0"/>
                          <a:ext cx="2495550" cy="3514725"/>
                          <a:chOff x="0" y="0"/>
                          <a:chExt cx="2495550" cy="3514725"/>
                        </a:xfrm>
                      </wpg:grpSpPr>
                      <wps:wsp>
                        <wps:cNvPr id="12" name="Rectangle 12"/>
                        <wps:cNvSpPr/>
                        <wps:spPr>
                          <a:xfrm>
                            <a:off x="0" y="95250"/>
                            <a:ext cx="2495550" cy="34194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0"/>
                            <a:ext cx="2495550" cy="3419475"/>
                          </a:xfrm>
                          <a:prstGeom prst="rect">
                            <a:avLst/>
                          </a:prstGeom>
                          <a:noFill/>
                          <a:ln w="9525">
                            <a:noFill/>
                            <a:miter lim="800000"/>
                            <a:headEnd/>
                            <a:tailEnd/>
                          </a:ln>
                        </wps:spPr>
                        <wps:txbx>
                          <w:txbxContent>
                            <w:p w14:paraId="5CD87B88" w14:textId="18412E61" w:rsidR="00207B89" w:rsidRDefault="00207B89" w:rsidP="002B4A3F">
                              <w:pPr>
                                <w:pStyle w:val="Heading2"/>
                              </w:pPr>
                              <w:r>
                                <w:t>Find out more about what is happening along Fogarty Avenue</w:t>
                              </w:r>
                            </w:p>
                            <w:p w14:paraId="7807EFF0" w14:textId="77777777" w:rsidR="00207B89" w:rsidRDefault="00207B89" w:rsidP="002B4A3F">
                              <w:r>
                                <w:t xml:space="preserve">We know that the works along Fogarty Avenue have been disruptive and appreciate the patience you have had with us. </w:t>
                              </w:r>
                            </w:p>
                            <w:p w14:paraId="638CBABA" w14:textId="77777777" w:rsidR="00207B89" w:rsidRDefault="00207B89" w:rsidP="002B4A3F">
                              <w:r>
                                <w:t xml:space="preserve">Once we complete these drainage works, we will be able to continue with completing installation of new noise walls, building the Federation Trail extension and new planting. </w:t>
                              </w:r>
                            </w:p>
                            <w:p w14:paraId="35C12422" w14:textId="43AB2898" w:rsidR="00207B89" w:rsidRPr="002B4A3F" w:rsidRDefault="00207B89" w:rsidP="002B4A3F">
                              <w:pPr>
                                <w:rPr>
                                  <w:rStyle w:val="Strong"/>
                                </w:rPr>
                              </w:pPr>
                              <w:r w:rsidRPr="002B4A3F">
                                <w:rPr>
                                  <w:rStyle w:val="Strong"/>
                                </w:rPr>
                                <w:t>To help get a better understanding of what is happening in your neighbourhood, both in the short and long-term, we are hosting a neighbourhood pop-up on Saturday 18 January, at McIvor Reserve from 10:00am to 1:00pm.</w:t>
                              </w:r>
                            </w:p>
                          </w:txbxContent>
                        </wps:txbx>
                        <wps:bodyPr rot="0" vert="horz" wrap="square" lIns="91440" tIns="45720" rIns="91440" bIns="45720" anchor="t" anchorCtr="0">
                          <a:noAutofit/>
                        </wps:bodyPr>
                      </wps:wsp>
                    </wpg:wgp>
                  </a:graphicData>
                </a:graphic>
              </wp:anchor>
            </w:drawing>
          </mc:Choice>
          <mc:Fallback>
            <w:pict>
              <v:group w14:anchorId="23221C96" id="Group 15" o:spid="_x0000_s1026" style="position:absolute;margin-left:298.45pt;margin-top:10.85pt;width:196.5pt;height:276.75pt;z-index:-251658240" coordsize="24955,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">
                <v:rect id="Rectangle 12" o:spid="_x0000_s1027" style="position:absolute;top:952;width:24955;height:3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" filled="f" strokecolor="#00bac0 [3204]" strokeweight="1pt"/>
                <v:shapetype id="_x0000_t202" coordsize="21600,21600" o:spt="202" path="m,l,21600r21600,l21600,xe">
                  <v:stroke joinstyle="miter"/>
                  <v:path gradientshapeok="t" o:connecttype="rect"/>
                </v:shapetype>
                <v:shape id="Text Box 2" o:spid="_x0000_s1028" type="#_x0000_t202" style="position:absolute;width:24955;height:3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CD87B88" w14:textId="18412E61" w:rsidR="00207B89" w:rsidRDefault="00207B89" w:rsidP="002B4A3F">
                        <w:pPr>
                          <w:pStyle w:val="Heading2"/>
                        </w:pPr>
                        <w:r>
                          <w:t>Find out more about what is happening along Fogarty Avenue</w:t>
                        </w:r>
                      </w:p>
                      <w:p w14:paraId="7807EFF0" w14:textId="77777777" w:rsidR="00207B89" w:rsidRDefault="00207B89" w:rsidP="002B4A3F">
                        <w:r>
                          <w:t xml:space="preserve">We know that the works along Fogarty Avenue have been disruptive and appreciate the patience you have had with us. </w:t>
                        </w:r>
                      </w:p>
                      <w:p w14:paraId="638CBABA" w14:textId="77777777" w:rsidR="00207B89" w:rsidRDefault="00207B89" w:rsidP="002B4A3F">
                        <w:r>
                          <w:t xml:space="preserve">Once we complete these drainage works, we will be able to continue with completing installation of new noise walls, building the Federation Trail extension and new planting. </w:t>
                        </w:r>
                      </w:p>
                      <w:p w14:paraId="35C12422" w14:textId="43AB2898" w:rsidR="00207B89" w:rsidRPr="002B4A3F" w:rsidRDefault="00207B89" w:rsidP="002B4A3F">
                        <w:pPr>
                          <w:rPr>
                            <w:rStyle w:val="Strong"/>
                          </w:rPr>
                        </w:pPr>
                        <w:r w:rsidRPr="002B4A3F">
                          <w:rPr>
                            <w:rStyle w:val="Strong"/>
                          </w:rPr>
                          <w:t>To help get a better understanding of what is happening in your neighbourhood, both in the short and long-term, we are hosting a neighbourhood pop-up on Saturday 18 January, at McIvor Reserve from 10:00am to 1:00pm.</w:t>
                        </w:r>
                      </w:p>
                    </w:txbxContent>
                  </v:textbox>
                </v:shape>
                <w10:wrap type="tight"/>
              </v:group>
            </w:pict>
          </mc:Fallback>
        </mc:AlternateContent>
      </w:r>
      <w:r w:rsidRPr="002A4E27">
        <w:t>Fogarty Avenue drainage and widening works</w:t>
      </w:r>
    </w:p>
    <w:p w14:paraId="7FEC7D45" w14:textId="69C7C377" w:rsidR="002B4A3F" w:rsidRPr="002B4A3F" w:rsidRDefault="002B4A3F" w:rsidP="002B4A3F">
      <w:pPr>
        <w:rPr>
          <w:rStyle w:val="Emphasis"/>
        </w:rPr>
      </w:pPr>
      <w:r w:rsidRPr="002B4A3F">
        <w:rPr>
          <w:rStyle w:val="Emphasis"/>
        </w:rPr>
        <w:t>13 January – early March 2020</w:t>
      </w:r>
    </w:p>
    <w:p w14:paraId="37B4AEBF" w14:textId="71DA2B7D" w:rsidR="002B4A3F" w:rsidRPr="002A4E27" w:rsidRDefault="002B4A3F" w:rsidP="002B4A3F">
      <w:r>
        <w:t>As notified earlier, w</w:t>
      </w:r>
      <w:r w:rsidRPr="002A4E27">
        <w:t xml:space="preserve">e need to come back and complete the drainage works at the Fogarty Avenue </w:t>
      </w:r>
      <w:r>
        <w:t xml:space="preserve">and Wembley Avenue intersection. These works will commence on </w:t>
      </w:r>
      <w:r w:rsidR="006C2AA4">
        <w:t>Monday</w:t>
      </w:r>
      <w:r>
        <w:t>, January 13 and are</w:t>
      </w:r>
      <w:r w:rsidRPr="002A4E27">
        <w:t xml:space="preserve"> expected to be completed by early March 2020. </w:t>
      </w:r>
      <w:r>
        <w:t>During this time t</w:t>
      </w:r>
      <w:r w:rsidRPr="002A4E27">
        <w:t>here will also be night works along Fogarty Avenue, a</w:t>
      </w:r>
      <w:r>
        <w:t xml:space="preserve">cross the Footscray Hockey Club, for widening works. </w:t>
      </w:r>
    </w:p>
    <w:p w14:paraId="10F6DDB5" w14:textId="77777777" w:rsidR="002B4A3F" w:rsidRPr="002A4E27" w:rsidRDefault="002B4A3F" w:rsidP="002B4A3F">
      <w:r w:rsidRPr="002A4E27">
        <w:t xml:space="preserve">This means the through connection via The Avenue will be closed from 13 January and will reopen to traffic in early March 2020. </w:t>
      </w:r>
    </w:p>
    <w:p w14:paraId="58E72914" w14:textId="77777777" w:rsidR="002B4A3F" w:rsidRDefault="002B4A3F" w:rsidP="002B4A3F">
      <w:r w:rsidRPr="002A4E27">
        <w:t xml:space="preserve">These works will include: </w:t>
      </w:r>
    </w:p>
    <w:p w14:paraId="57CA039C" w14:textId="77777777" w:rsidR="002B4A3F" w:rsidRPr="002A4E27" w:rsidRDefault="002B4A3F" w:rsidP="002B4A3F">
      <w:pPr>
        <w:pStyle w:val="ListBullet"/>
      </w:pPr>
      <w:r w:rsidRPr="002A4E27">
        <w:t>excavating a section of road along Fogarty Avenue, near Wembley Avenue;</w:t>
      </w:r>
    </w:p>
    <w:p w14:paraId="7BF9552E" w14:textId="77777777" w:rsidR="002B4A3F" w:rsidRPr="002A4E27" w:rsidRDefault="002B4A3F" w:rsidP="002B4A3F">
      <w:pPr>
        <w:pStyle w:val="ListBullet"/>
      </w:pPr>
      <w:r w:rsidRPr="002A4E27">
        <w:t xml:space="preserve">installing new drainage pipes; </w:t>
      </w:r>
    </w:p>
    <w:p w14:paraId="2745B9ED" w14:textId="77777777" w:rsidR="002B4A3F" w:rsidRPr="002A4E27" w:rsidRDefault="002B4A3F" w:rsidP="002B4A3F">
      <w:pPr>
        <w:pStyle w:val="ListBullet"/>
      </w:pPr>
      <w:r w:rsidRPr="002A4E27">
        <w:t>reinstating the road;</w:t>
      </w:r>
    </w:p>
    <w:p w14:paraId="38FA8873" w14:textId="77777777" w:rsidR="002B4A3F" w:rsidRPr="002A4E27" w:rsidRDefault="002B4A3F" w:rsidP="002B4A3F">
      <w:pPr>
        <w:pStyle w:val="ListBullet"/>
      </w:pPr>
      <w:r w:rsidRPr="002A4E27">
        <w:t>placing fill and material to build new pavement; and</w:t>
      </w:r>
    </w:p>
    <w:p w14:paraId="7E5164F6" w14:textId="77777777" w:rsidR="002B4A3F" w:rsidRPr="002A4E27" w:rsidRDefault="002B4A3F" w:rsidP="002B4A3F">
      <w:pPr>
        <w:pStyle w:val="ListBullet"/>
      </w:pPr>
      <w:r w:rsidRPr="002A4E27">
        <w:t>concrete works to build new retaining and noise walls.</w:t>
      </w:r>
    </w:p>
    <w:p w14:paraId="5471820D" w14:textId="6FD3988E" w:rsidR="002B4A3F" w:rsidRDefault="002B4A3F" w:rsidP="002B4A3F">
      <w:r w:rsidRPr="002A4E27">
        <w:t xml:space="preserve">Where </w:t>
      </w:r>
      <w:r w:rsidR="006C2AA4" w:rsidRPr="002A4E27">
        <w:t>these works will impact access to residential driveways</w:t>
      </w:r>
      <w:r w:rsidRPr="002A4E27">
        <w:t xml:space="preserve">, we will contact residents directly. </w:t>
      </w:r>
    </w:p>
    <w:p w14:paraId="29B502AE" w14:textId="77777777" w:rsidR="002B4A3F" w:rsidRDefault="002B4A3F">
      <w:pPr>
        <w:spacing w:after="160" w:line="259" w:lineRule="auto"/>
      </w:pPr>
      <w:r>
        <w:br w:type="page"/>
      </w:r>
    </w:p>
    <w:p w14:paraId="298CE55B" w14:textId="3E87A4BB" w:rsidR="002B4A3F" w:rsidRDefault="002B4A3F" w:rsidP="002B4A3F">
      <w:pPr>
        <w:pStyle w:val="Heading2"/>
      </w:pPr>
      <w:r>
        <w:lastRenderedPageBreak/>
        <w:t>Fogarty/Wembley Avenue powerline relocations</w:t>
      </w:r>
    </w:p>
    <w:p w14:paraId="1D4797A6" w14:textId="771A7A05" w:rsidR="002B4A3F" w:rsidRPr="002B4A3F" w:rsidRDefault="002B4A3F" w:rsidP="002B4A3F">
      <w:pPr>
        <w:rPr>
          <w:rStyle w:val="Emphasis"/>
        </w:rPr>
      </w:pPr>
      <w:r w:rsidRPr="002B4A3F">
        <w:rPr>
          <w:rStyle w:val="Emphasis"/>
        </w:rPr>
        <w:t>Late February – April 2020</w:t>
      </w:r>
    </w:p>
    <w:p w14:paraId="0EDA833C" w14:textId="5E1266AB" w:rsidR="002B4A3F" w:rsidRDefault="002B4A3F" w:rsidP="002B4A3F">
      <w:r>
        <w:t xml:space="preserve">Work is also continuing at the Fogarty Avenue and Wembley Avenue intersection to relocate overhead power lines underground from late February to April 2020. </w:t>
      </w:r>
    </w:p>
    <w:p w14:paraId="627B2321" w14:textId="3CDBB75D" w:rsidR="002B4A3F" w:rsidRDefault="002B4A3F" w:rsidP="002B4A3F">
      <w:r>
        <w:t xml:space="preserve">The southern end of Wembley Avenue (between Mills and Fogarty Avenue) is required to be closed during these works. From early March, local traffic will be able to access their properties via The Avenue, Fogarty Avenue and Tenterden Street while these works are underway. Please see the map for details. </w:t>
      </w:r>
    </w:p>
    <w:p w14:paraId="6D2E11FA" w14:textId="7B6944D6" w:rsidR="002B4A3F" w:rsidRDefault="002B4A3F" w:rsidP="002B4A3F">
      <w:r>
        <w:t xml:space="preserve">These works will include: </w:t>
      </w:r>
    </w:p>
    <w:p w14:paraId="1B74A66C" w14:textId="6784C6A3" w:rsidR="002B4A3F" w:rsidRDefault="002B4A3F" w:rsidP="002B4A3F">
      <w:pPr>
        <w:pStyle w:val="ListBullet"/>
      </w:pPr>
      <w:r>
        <w:t>excavating a section of road at the Fogarty Avenue and Wembley Avenue intersection;</w:t>
      </w:r>
    </w:p>
    <w:p w14:paraId="652147C9" w14:textId="62AA522C" w:rsidR="002B4A3F" w:rsidRDefault="002B4A3F" w:rsidP="002B4A3F">
      <w:pPr>
        <w:pStyle w:val="ListBullet"/>
      </w:pPr>
      <w:r>
        <w:t>boring a small tunnel deep underground, from Wembley Avenue to the south side of the freeway;</w:t>
      </w:r>
    </w:p>
    <w:p w14:paraId="48CBDFF5" w14:textId="661CBC94" w:rsidR="002B4A3F" w:rsidRDefault="002B4A3F" w:rsidP="002B4A3F">
      <w:pPr>
        <w:pStyle w:val="ListBullet"/>
      </w:pPr>
      <w:r>
        <w:t>relocating power lines underground; and</w:t>
      </w:r>
    </w:p>
    <w:p w14:paraId="505B9019" w14:textId="32FD0394" w:rsidR="002B4A3F" w:rsidRDefault="002B4A3F" w:rsidP="002B4A3F">
      <w:pPr>
        <w:pStyle w:val="ListBullet"/>
      </w:pPr>
      <w:r>
        <w:t xml:space="preserve">reinstating the road. </w:t>
      </w:r>
    </w:p>
    <w:p w14:paraId="43AB8EA0" w14:textId="74C777E4" w:rsidR="002B4A3F" w:rsidRDefault="002B4A3F" w:rsidP="002B4A3F">
      <w:r>
        <w:rPr>
          <w:noProof/>
          <w:lang w:eastAsia="en-AU"/>
        </w:rPr>
        <mc:AlternateContent>
          <mc:Choice Requires="wpg">
            <w:drawing>
              <wp:anchor distT="0" distB="0" distL="114300" distR="114300" simplePos="0" relativeHeight="251658241" behindDoc="1" locked="0" layoutInCell="1" allowOverlap="1" wp14:anchorId="75A1080D" wp14:editId="34930CC3">
                <wp:simplePos x="0" y="0"/>
                <wp:positionH relativeFrom="column">
                  <wp:posOffset>-124460</wp:posOffset>
                </wp:positionH>
                <wp:positionV relativeFrom="paragraph">
                  <wp:posOffset>280670</wp:posOffset>
                </wp:positionV>
                <wp:extent cx="6305550" cy="2476500"/>
                <wp:effectExtent l="0" t="0" r="19050" b="0"/>
                <wp:wrapTight wrapText="bothSides">
                  <wp:wrapPolygon edited="0">
                    <wp:start x="0" y="0"/>
                    <wp:lineTo x="0" y="20935"/>
                    <wp:lineTo x="196" y="21434"/>
                    <wp:lineTo x="21339" y="21434"/>
                    <wp:lineTo x="21600" y="20935"/>
                    <wp:lineTo x="21600"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305550" cy="2476500"/>
                          <a:chOff x="0" y="0"/>
                          <a:chExt cx="2495550" cy="4621000"/>
                        </a:xfrm>
                      </wpg:grpSpPr>
                      <wps:wsp>
                        <wps:cNvPr id="13" name="Text Box 2"/>
                        <wps:cNvSpPr txBox="1">
                          <a:spLocks noChangeArrowheads="1"/>
                        </wps:cNvSpPr>
                        <wps:spPr bwMode="auto">
                          <a:xfrm>
                            <a:off x="0" y="0"/>
                            <a:ext cx="2495550" cy="4621000"/>
                          </a:xfrm>
                          <a:prstGeom prst="rect">
                            <a:avLst/>
                          </a:prstGeom>
                          <a:noFill/>
                          <a:ln w="9525">
                            <a:noFill/>
                            <a:miter lim="800000"/>
                            <a:headEnd/>
                            <a:tailEnd/>
                          </a:ln>
                        </wps:spPr>
                        <wps:txbx>
                          <w:txbxContent>
                            <w:p w14:paraId="2A2FFD70" w14:textId="77777777" w:rsidR="00207B89" w:rsidRPr="002B4A3F" w:rsidRDefault="00207B89" w:rsidP="002B4A3F">
                              <w:pPr>
                                <w:pStyle w:val="Heading2"/>
                              </w:pPr>
                              <w:r w:rsidRPr="002B4A3F">
                                <w:t>Traffic changes to Fogarty Avenue and The Avenue</w:t>
                              </w:r>
                            </w:p>
                            <w:p w14:paraId="2B1CCF14" w14:textId="77777777" w:rsidR="00207B89" w:rsidRPr="002B4A3F" w:rsidRDefault="00207B89" w:rsidP="002B4A3F">
                              <w:r w:rsidRPr="002B4A3F">
                                <w:t xml:space="preserve">Due to drainage works on Fogarty Avenue, the through connection via The Avenue will be closed from 13 January and will reopen to traffic in early March 2020. </w:t>
                              </w:r>
                            </w:p>
                            <w:p w14:paraId="583847F7" w14:textId="06E47D0B" w:rsidR="00207B89" w:rsidRPr="002B4A3F" w:rsidRDefault="00207B89" w:rsidP="002B4A3F">
                              <w:r w:rsidRPr="002B4A3F">
                                <w:t>Once this connection is open, local traffic will be able to use The Avenue to access the south and north sides of the freeway.  Traffic management will continue to be in place on The Avenue and underneath Newport Rail Bridge, throughout 2020</w:t>
                              </w:r>
                              <w:r>
                                <w:t xml:space="preserve"> and 2021</w:t>
                              </w:r>
                              <w:r w:rsidRPr="002B4A3F">
                                <w:t xml:space="preserve">.  </w:t>
                              </w:r>
                            </w:p>
                            <w:p w14:paraId="022DA953" w14:textId="77777777" w:rsidR="00207B89" w:rsidRPr="002B4A3F" w:rsidRDefault="00207B89" w:rsidP="002B4A3F">
                              <w:r w:rsidRPr="002B4A3F">
                                <w:t xml:space="preserve">This section of road will also experience continued intermittent road closures during this time. Please visit westgatetunnelproject.vic.gov.au for road closure dates. You can also subscribe to weekly traffic alerts by emailing us at info@wgta.vic.gov.au.    </w:t>
                              </w:r>
                            </w:p>
                            <w:p w14:paraId="01D9A3B0" w14:textId="2CC5796B" w:rsidR="00207B89" w:rsidRPr="002B4A3F" w:rsidRDefault="00207B89" w:rsidP="002B4A3F">
                              <w:pPr>
                                <w:rPr>
                                  <w:rStyle w:val="Strong"/>
                                </w:rPr>
                              </w:pPr>
                              <w:r w:rsidRPr="002B4A3F">
                                <w:t>Changes to bus route 432 are still in place and will continue in the first half of 2020. More information can be found on Public Transport Victoria’s website at www.ptv.vic.gov.au/live-travel-updates.</w:t>
                              </w:r>
                            </w:p>
                          </w:txbxContent>
                        </wps:txbx>
                        <wps:bodyPr rot="0" vert="horz" wrap="square" lIns="91440" tIns="45720" rIns="91440" bIns="45720" anchor="t" anchorCtr="0">
                          <a:noAutofit/>
                        </wps:bodyPr>
                      </wps:wsp>
                      <wps:wsp>
                        <wps:cNvPr id="14" name="Rectangle 14"/>
                        <wps:cNvSpPr/>
                        <wps:spPr>
                          <a:xfrm>
                            <a:off x="0" y="85725"/>
                            <a:ext cx="2495550" cy="43434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1080D" id="Group 16" o:spid="_x0000_s1029" style="position:absolute;margin-left:-9.8pt;margin-top:22.1pt;width:496.5pt;height:195pt;z-index:-251658239;mso-width-relative:margin;mso-height-relative:margin" coordsize="24955,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">
                <v:shape id="Text Box 2" o:spid="_x0000_s1030" type="#_x0000_t202" style="position:absolute;width:24955;height:4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2FFD70" w14:textId="77777777" w:rsidR="00207B89" w:rsidRPr="002B4A3F" w:rsidRDefault="00207B89" w:rsidP="002B4A3F">
                        <w:pPr>
                          <w:pStyle w:val="Heading2"/>
                        </w:pPr>
                        <w:r w:rsidRPr="002B4A3F">
                          <w:t>Traffic changes to Fogarty Avenue and The Avenue</w:t>
                        </w:r>
                      </w:p>
                      <w:p w14:paraId="2B1CCF14" w14:textId="77777777" w:rsidR="00207B89" w:rsidRPr="002B4A3F" w:rsidRDefault="00207B89" w:rsidP="002B4A3F">
                        <w:r w:rsidRPr="002B4A3F">
                          <w:t xml:space="preserve">Due to drainage works on Fogarty Avenue, the through connection via The Avenue will be closed from 13 January and will reopen to traffic in early March 2020. </w:t>
                        </w:r>
                      </w:p>
                      <w:p w14:paraId="583847F7" w14:textId="06E47D0B" w:rsidR="00207B89" w:rsidRPr="002B4A3F" w:rsidRDefault="00207B89" w:rsidP="002B4A3F">
                        <w:r w:rsidRPr="002B4A3F">
                          <w:t>Once this connection is open, local traffic will be able to use The Avenue to access the south and north sides of the freeway.  Traffic management will continue to be in place on The Avenue and underneath Newport Rail Bridge, throughout 2020</w:t>
                        </w:r>
                        <w:r>
                          <w:t xml:space="preserve"> and 2021</w:t>
                        </w:r>
                        <w:r w:rsidRPr="002B4A3F">
                          <w:t xml:space="preserve">.  </w:t>
                        </w:r>
                      </w:p>
                      <w:p w14:paraId="022DA953" w14:textId="77777777" w:rsidR="00207B89" w:rsidRPr="002B4A3F" w:rsidRDefault="00207B89" w:rsidP="002B4A3F">
                        <w:r w:rsidRPr="002B4A3F">
                          <w:t xml:space="preserve">This section of road will also experience continued intermittent road closures during this time. Please visit westgatetunnelproject.vic.gov.au for road closure dates. You can also subscribe to weekly traffic alerts by emailing us at info@wgta.vic.gov.au.    </w:t>
                        </w:r>
                      </w:p>
                      <w:p w14:paraId="01D9A3B0" w14:textId="2CC5796B" w:rsidR="00207B89" w:rsidRPr="002B4A3F" w:rsidRDefault="00207B89" w:rsidP="002B4A3F">
                        <w:pPr>
                          <w:rPr>
                            <w:rStyle w:val="Strong"/>
                          </w:rPr>
                        </w:pPr>
                        <w:r w:rsidRPr="002B4A3F">
                          <w:t>Changes to bus route 432 are still in place and will continue in the first half of 2020. More information can be found on Public Transport Victoria’s website at www.ptv.vic.gov.au/live-travel-updates.</w:t>
                        </w:r>
                      </w:p>
                    </w:txbxContent>
                  </v:textbox>
                </v:shape>
                <v:rect id="Rectangle 14" o:spid="_x0000_s1031" style="position:absolute;top:857;width:24955;height:43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IdvwAAANsAAAAPAAAAZHJzL2Rvd25yZXYueG1sRE9La8Mw&#10;DL4P9h+MBrutzs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BXUtIdvwAAANsAAAAPAAAAAAAA&#10;AAAAAAAAAAcCAABkcnMvZG93bnJldi54bWxQSwUGAAAAAAMAAwC3AAAA8wIAAAAA&#10;" filled="f" strokecolor="#00bac0 [3204]" strokeweight="1pt"/>
                <w10:wrap type="tight"/>
              </v:group>
            </w:pict>
          </mc:Fallback>
        </mc:AlternateContent>
      </w:r>
      <w:r>
        <w:t>Night works may be required and advance notice will be provided for noisy works.</w:t>
      </w:r>
    </w:p>
    <w:p w14:paraId="1B99DC09" w14:textId="3842C2E2" w:rsidR="002B4A3F" w:rsidRPr="002B4A3F" w:rsidRDefault="002B4A3F" w:rsidP="002B4A3F">
      <w:pPr>
        <w:pStyle w:val="Heading2"/>
      </w:pPr>
      <w:r w:rsidRPr="002B4A3F">
        <w:t>Newport Rail Bridge works</w:t>
      </w:r>
    </w:p>
    <w:p w14:paraId="789AFCF0" w14:textId="213F5F9A" w:rsidR="002B4A3F" w:rsidRPr="002B4A3F" w:rsidRDefault="002B4A3F" w:rsidP="002B4A3F">
      <w:pPr>
        <w:rPr>
          <w:rStyle w:val="Emphasis"/>
        </w:rPr>
      </w:pPr>
      <w:r w:rsidRPr="002B4A3F">
        <w:rPr>
          <w:rStyle w:val="Emphasis"/>
        </w:rPr>
        <w:t xml:space="preserve">13 January – ongoing </w:t>
      </w:r>
    </w:p>
    <w:p w14:paraId="620F07DD" w14:textId="740BE4FB" w:rsidR="002B4A3F" w:rsidRPr="002B4A3F" w:rsidRDefault="002B4A3F" w:rsidP="002B4A3F">
      <w:pPr>
        <w:rPr>
          <w:rFonts w:ascii="Arial" w:hAnsi="Arial" w:cs="Arial"/>
        </w:rPr>
      </w:pPr>
      <w:r w:rsidRPr="002B4A3F">
        <w:rPr>
          <w:rFonts w:ascii="Arial" w:hAnsi="Arial" w:cs="Arial"/>
        </w:rPr>
        <w:t xml:space="preserve">Construction is well underway to widen Newport Rail Bridge and the freeway, and will continue from 13 January 2020. These works will include: </w:t>
      </w:r>
    </w:p>
    <w:p w14:paraId="75AD9A80" w14:textId="31382C4D" w:rsidR="002B4A3F" w:rsidRPr="002B4A3F" w:rsidRDefault="002B4A3F" w:rsidP="002B4A3F">
      <w:pPr>
        <w:pStyle w:val="ListBullet"/>
      </w:pPr>
      <w:r w:rsidRPr="002B4A3F">
        <w:t>removing barriers from the freeway centre median;</w:t>
      </w:r>
    </w:p>
    <w:p w14:paraId="200D0BF3" w14:textId="46237E29" w:rsidR="002B4A3F" w:rsidRPr="002B4A3F" w:rsidRDefault="002B4A3F" w:rsidP="002B4A3F">
      <w:pPr>
        <w:pStyle w:val="ListBullet"/>
      </w:pPr>
      <w:r w:rsidRPr="002B4A3F">
        <w:t>installing bridge beams;</w:t>
      </w:r>
    </w:p>
    <w:p w14:paraId="2F902F09" w14:textId="2A4611A3" w:rsidR="002B4A3F" w:rsidRPr="002B4A3F" w:rsidRDefault="002B4A3F" w:rsidP="002B4A3F">
      <w:pPr>
        <w:pStyle w:val="ListBullet"/>
      </w:pPr>
      <w:r w:rsidRPr="002B4A3F">
        <w:t>replacing bridge bearings;</w:t>
      </w:r>
    </w:p>
    <w:p w14:paraId="49694A3B" w14:textId="4FBA350F" w:rsidR="002B4A3F" w:rsidRPr="002B4A3F" w:rsidRDefault="002B4A3F" w:rsidP="002B4A3F">
      <w:pPr>
        <w:pStyle w:val="ListBullet"/>
      </w:pPr>
      <w:r w:rsidRPr="002B4A3F">
        <w:t>removing concrete on the bridge using a high-pressure water jet; and</w:t>
      </w:r>
    </w:p>
    <w:p w14:paraId="67518ABB" w14:textId="197563C9" w:rsidR="002B4A3F" w:rsidRPr="002B4A3F" w:rsidRDefault="002B4A3F" w:rsidP="002B4A3F">
      <w:pPr>
        <w:pStyle w:val="ListBullet"/>
      </w:pPr>
      <w:r w:rsidRPr="002B4A3F">
        <w:t>pouring concrete to form the bridge deck.</w:t>
      </w:r>
    </w:p>
    <w:p w14:paraId="744ECCC7" w14:textId="0264B48D" w:rsidR="002B4A3F" w:rsidRPr="002B4A3F" w:rsidRDefault="002B4A3F" w:rsidP="002B4A3F">
      <w:r w:rsidRPr="002B4A3F">
        <w:rPr>
          <w:rFonts w:ascii="Arial" w:hAnsi="Arial" w:cs="Arial"/>
        </w:rPr>
        <w:t xml:space="preserve">We’re also continuing to build a new bridge near The Avenue, which will become part of new separated lanes for drivers heading outbound. These works </w:t>
      </w:r>
      <w:r>
        <w:rPr>
          <w:rFonts w:ascii="Arial" w:hAnsi="Arial" w:cs="Arial"/>
        </w:rPr>
        <w:t xml:space="preserve">will include </w:t>
      </w:r>
      <w:r w:rsidRPr="002B4A3F">
        <w:t>pil</w:t>
      </w:r>
      <w:r>
        <w:t xml:space="preserve">ing works for bridge piers and </w:t>
      </w:r>
      <w:r w:rsidRPr="002B4A3F">
        <w:t xml:space="preserve">construction bridge piers. </w:t>
      </w:r>
    </w:p>
    <w:p w14:paraId="03F5A4A7" w14:textId="77777777" w:rsidR="002B4A3F" w:rsidRDefault="002B4A3F" w:rsidP="002B4A3F">
      <w:pPr>
        <w:rPr>
          <w:rFonts w:ascii="Arial" w:hAnsi="Arial" w:cs="Arial"/>
        </w:rPr>
      </w:pPr>
      <w:r w:rsidRPr="002B4A3F">
        <w:rPr>
          <w:rFonts w:ascii="Arial" w:hAnsi="Arial" w:cs="Arial"/>
        </w:rPr>
        <w:t>Night works will be required from January through to April. Advance notice will be provided for noisy works – notably when we have to use high-pressure water jets to remove concrete.</w:t>
      </w:r>
    </w:p>
    <w:p w14:paraId="6355431D" w14:textId="5B429819" w:rsidR="005B09B9" w:rsidRDefault="005B09B9" w:rsidP="005B09B9">
      <w:pPr>
        <w:pStyle w:val="Heading2"/>
      </w:pPr>
      <w:r>
        <w:rPr>
          <w:noProof/>
          <w:lang w:eastAsia="en-AU"/>
        </w:rPr>
        <w:lastRenderedPageBreak/>
        <mc:AlternateContent>
          <mc:Choice Requires="wpg">
            <w:drawing>
              <wp:anchor distT="0" distB="0" distL="114300" distR="114300" simplePos="0" relativeHeight="251658242" behindDoc="1" locked="0" layoutInCell="1" allowOverlap="1" wp14:anchorId="4B5D4AE5" wp14:editId="3FDA9A24">
                <wp:simplePos x="0" y="0"/>
                <wp:positionH relativeFrom="column">
                  <wp:posOffset>3514090</wp:posOffset>
                </wp:positionH>
                <wp:positionV relativeFrom="paragraph">
                  <wp:posOffset>0</wp:posOffset>
                </wp:positionV>
                <wp:extent cx="2857500" cy="3914775"/>
                <wp:effectExtent l="0" t="0" r="19050" b="0"/>
                <wp:wrapTight wrapText="bothSides">
                  <wp:wrapPolygon edited="0">
                    <wp:start x="432" y="0"/>
                    <wp:lineTo x="0" y="526"/>
                    <wp:lineTo x="0" y="20391"/>
                    <wp:lineTo x="432" y="21442"/>
                    <wp:lineTo x="21024" y="21442"/>
                    <wp:lineTo x="21024" y="20391"/>
                    <wp:lineTo x="21600" y="20391"/>
                    <wp:lineTo x="21600" y="526"/>
                    <wp:lineTo x="21024" y="0"/>
                    <wp:lineTo x="432" y="0"/>
                  </wp:wrapPolygon>
                </wp:wrapTight>
                <wp:docPr id="225" name="Group 225"/>
                <wp:cNvGraphicFramePr/>
                <a:graphic xmlns:a="http://schemas.openxmlformats.org/drawingml/2006/main">
                  <a:graphicData uri="http://schemas.microsoft.com/office/word/2010/wordprocessingGroup">
                    <wpg:wgp>
                      <wpg:cNvGrpSpPr/>
                      <wpg:grpSpPr>
                        <a:xfrm>
                          <a:off x="0" y="0"/>
                          <a:ext cx="2857500" cy="3914775"/>
                          <a:chOff x="0" y="0"/>
                          <a:chExt cx="2495550" cy="3746465"/>
                        </a:xfrm>
                      </wpg:grpSpPr>
                      <wps:wsp>
                        <wps:cNvPr id="226" name="Rectangle 226"/>
                        <wps:cNvSpPr/>
                        <wps:spPr>
                          <a:xfrm>
                            <a:off x="0" y="95250"/>
                            <a:ext cx="2495550" cy="34194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0" y="0"/>
                            <a:ext cx="2495550" cy="3746465"/>
                          </a:xfrm>
                          <a:prstGeom prst="rect">
                            <a:avLst/>
                          </a:prstGeom>
                          <a:noFill/>
                          <a:ln w="9525">
                            <a:noFill/>
                            <a:miter lim="800000"/>
                            <a:headEnd/>
                            <a:tailEnd/>
                          </a:ln>
                        </wps:spPr>
                        <wps:txbx>
                          <w:txbxContent>
                            <w:p w14:paraId="44044D1A" w14:textId="77777777" w:rsidR="00207B89" w:rsidRPr="006C2AA4" w:rsidRDefault="00207B89" w:rsidP="005B09B9">
                              <w:pPr>
                                <w:pStyle w:val="Heading2"/>
                              </w:pPr>
                              <w:r w:rsidRPr="006C2AA4">
                                <w:t>Asbestos removal</w:t>
                              </w:r>
                            </w:p>
                            <w:p w14:paraId="28796062" w14:textId="4539F285" w:rsidR="00207B89" w:rsidRPr="006C2AA4" w:rsidRDefault="00207B89" w:rsidP="003B741C">
                              <w:r w:rsidRPr="006C2AA4">
                                <w:t xml:space="preserve">We are currently undertaking asbestos removal works as part of the West Gate Tunnel Project. </w:t>
                              </w:r>
                            </w:p>
                            <w:p w14:paraId="5373635F" w14:textId="77777777" w:rsidR="00207B89" w:rsidRPr="003B741C" w:rsidRDefault="00207B89" w:rsidP="005B09B9">
                              <w:pPr>
                                <w:pStyle w:val="Heading2"/>
                                <w:rPr>
                                  <w:b/>
                                  <w:sz w:val="22"/>
                                </w:rPr>
                              </w:pPr>
                              <w:r w:rsidRPr="003B741C">
                                <w:rPr>
                                  <w:b/>
                                  <w:sz w:val="22"/>
                                </w:rPr>
                                <w:t>Reserve at east end of Fogarty Avenue</w:t>
                              </w:r>
                            </w:p>
                            <w:p w14:paraId="0CDD4C0D" w14:textId="05D1685F" w:rsidR="00207B89" w:rsidRDefault="00207B89" w:rsidP="006C2AA4">
                              <w:r w:rsidRPr="006C2AA4">
                                <w:t>During January and February, we will be safely removing asbestos in the reserve, east of Fogarty Avenue. A temporary road closure at Fogarty Avenue and The Boulevard intersection will be in place during this time.</w:t>
                              </w:r>
                            </w:p>
                            <w:p w14:paraId="5AD34C82" w14:textId="77777777" w:rsidR="00207B89" w:rsidRPr="006C2AA4" w:rsidRDefault="00207B89" w:rsidP="003B741C">
                              <w:r w:rsidRPr="006C2AA4">
                                <w:t xml:space="preserve">The removal works are to be undertaken by an appropriately licensed asbestos removal contractor licensed by Worksafe Victoria. </w:t>
                              </w:r>
                            </w:p>
                            <w:p w14:paraId="772B036C" w14:textId="77777777" w:rsidR="00207B89" w:rsidRPr="006C2AA4" w:rsidRDefault="00207B89" w:rsidP="003B741C">
                              <w:r w:rsidRPr="006C2AA4">
                                <w:t>The removal works are also being undertaken with the supervision of a qualified hygienist in accordance with the Victorian Occupation Health and Safety Regulations with appropriate controls including air monitoring on the boundaries of the work area.</w:t>
                              </w:r>
                            </w:p>
                            <w:p w14:paraId="3333871E" w14:textId="77777777" w:rsidR="00207B89" w:rsidRPr="006C2AA4" w:rsidRDefault="00207B89" w:rsidP="006C2AA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5D4AE5" id="Group 225" o:spid="_x0000_s1032" style="position:absolute;margin-left:276.7pt;margin-top:0;width:225pt;height:308.25pt;z-index:-251658238;mso-width-relative:margin;mso-height-relative:margin" coordsize="24955,3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">
                <v:rect id="Rectangle 226" o:spid="_x0000_s1033" style="position:absolute;top:952;width:24955;height:34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" filled="f" strokecolor="#00bac0 [3204]" strokeweight="1pt"/>
                <v:shape id="Text Box 2" o:spid="_x0000_s1034" type="#_x0000_t202" style="position:absolute;width:24955;height:37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4044D1A" w14:textId="77777777" w:rsidR="00207B89" w:rsidRPr="006C2AA4" w:rsidRDefault="00207B89" w:rsidP="005B09B9">
                        <w:pPr>
                          <w:pStyle w:val="Heading2"/>
                        </w:pPr>
                        <w:r w:rsidRPr="006C2AA4">
                          <w:t>Asbestos removal</w:t>
                        </w:r>
                      </w:p>
                      <w:p w14:paraId="28796062" w14:textId="4539F285" w:rsidR="00207B89" w:rsidRPr="006C2AA4" w:rsidRDefault="00207B89" w:rsidP="003B741C">
                        <w:r w:rsidRPr="006C2AA4">
                          <w:t xml:space="preserve">We are currently undertaking asbestos removal works as part of the West Gate Tunnel Project. </w:t>
                        </w:r>
                      </w:p>
                      <w:p w14:paraId="5373635F" w14:textId="77777777" w:rsidR="00207B89" w:rsidRPr="003B741C" w:rsidRDefault="00207B89" w:rsidP="005B09B9">
                        <w:pPr>
                          <w:pStyle w:val="Heading2"/>
                          <w:rPr>
                            <w:b/>
                            <w:sz w:val="22"/>
                          </w:rPr>
                        </w:pPr>
                        <w:r w:rsidRPr="003B741C">
                          <w:rPr>
                            <w:b/>
                            <w:sz w:val="22"/>
                          </w:rPr>
                          <w:t>Reserve at east end of Fogarty Avenue</w:t>
                        </w:r>
                      </w:p>
                      <w:p w14:paraId="0CDD4C0D" w14:textId="05D1685F" w:rsidR="00207B89" w:rsidRDefault="00207B89" w:rsidP="006C2AA4">
                        <w:r w:rsidRPr="006C2AA4">
                          <w:t>During January and February, we will be safely removing asbestos in the reserve, east of Fogarty Avenue. A temporary road closure at Fogarty Avenue and The Boulevard intersection will be in place during this time.</w:t>
                        </w:r>
                      </w:p>
                      <w:p w14:paraId="5AD34C82" w14:textId="77777777" w:rsidR="00207B89" w:rsidRPr="006C2AA4" w:rsidRDefault="00207B89" w:rsidP="003B741C">
                        <w:r w:rsidRPr="006C2AA4">
                          <w:t xml:space="preserve">The removal works are to be undertaken by an appropriately licensed asbestos removal contractor licensed by Worksafe Victoria. </w:t>
                        </w:r>
                      </w:p>
                      <w:p w14:paraId="772B036C" w14:textId="77777777" w:rsidR="00207B89" w:rsidRPr="006C2AA4" w:rsidRDefault="00207B89" w:rsidP="003B741C">
                        <w:r w:rsidRPr="006C2AA4">
                          <w:t>The removal works are also being undertaken with the supervision of a qualified hygienist in accordance with the Victorian Occupation Health and Safety Regulations with appropriate controls including air monitoring on the boundaries of the work area.</w:t>
                        </w:r>
                      </w:p>
                      <w:p w14:paraId="3333871E" w14:textId="77777777" w:rsidR="00207B89" w:rsidRPr="006C2AA4" w:rsidRDefault="00207B89" w:rsidP="006C2AA4"/>
                    </w:txbxContent>
                  </v:textbox>
                </v:shape>
                <w10:wrap type="tight"/>
              </v:group>
            </w:pict>
          </mc:Fallback>
        </mc:AlternateContent>
      </w:r>
      <w:r>
        <w:t>Williamstown Road sewer pipe diversion</w:t>
      </w:r>
    </w:p>
    <w:p w14:paraId="58FC90F1" w14:textId="010E2F9A" w:rsidR="005B09B9" w:rsidRPr="005B09B9" w:rsidRDefault="003E5FB7" w:rsidP="005B09B9">
      <w:pPr>
        <w:rPr>
          <w:rStyle w:val="Emphasis"/>
        </w:rPr>
      </w:pPr>
      <w:r>
        <w:rPr>
          <w:rStyle w:val="Emphasis"/>
        </w:rPr>
        <w:t>13 January</w:t>
      </w:r>
      <w:r w:rsidR="006C2AA4">
        <w:rPr>
          <w:rStyle w:val="Emphasis"/>
        </w:rPr>
        <w:t xml:space="preserve"> – </w:t>
      </w:r>
      <w:r>
        <w:rPr>
          <w:rStyle w:val="Emphasis"/>
        </w:rPr>
        <w:t>March 2020</w:t>
      </w:r>
      <w:r w:rsidR="006C2AA4">
        <w:rPr>
          <w:rStyle w:val="Emphasis"/>
        </w:rPr>
        <w:t xml:space="preserve"> </w:t>
      </w:r>
    </w:p>
    <w:p w14:paraId="05F01036" w14:textId="4F54CC07" w:rsidR="005B09B9" w:rsidRDefault="005B09B9" w:rsidP="005B09B9">
      <w:r>
        <w:t>Work is progressing to relocate a large underground sewer pipe, from the reserve at the east end of Fogarty Avenue to the Williamstown Road inbound exit ramp. These works will include:</w:t>
      </w:r>
    </w:p>
    <w:p w14:paraId="5B40CE15" w14:textId="7BB97AB9" w:rsidR="005B09B9" w:rsidRDefault="005B09B9" w:rsidP="005B09B9">
      <w:pPr>
        <w:pStyle w:val="ListBullet"/>
      </w:pPr>
      <w:r>
        <w:t xml:space="preserve">launching pipe-jacking equipment from the reserve; </w:t>
      </w:r>
    </w:p>
    <w:p w14:paraId="602EDC36" w14:textId="33555597" w:rsidR="005B09B9" w:rsidRDefault="005B09B9" w:rsidP="005B09B9">
      <w:pPr>
        <w:pStyle w:val="ListBullet"/>
      </w:pPr>
      <w:r>
        <w:t>retrieving equipment at the Williamstown Road inbound exit ramp; and</w:t>
      </w:r>
    </w:p>
    <w:p w14:paraId="00C2E2A1" w14:textId="0D690736" w:rsidR="005B09B9" w:rsidRDefault="005B09B9" w:rsidP="005B09B9">
      <w:pPr>
        <w:pStyle w:val="ListBullet"/>
      </w:pPr>
      <w:r>
        <w:t>constructing and reinstating the manhole shaft to allow future access to the sewer pipe.</w:t>
      </w:r>
    </w:p>
    <w:p w14:paraId="4F7CFA40" w14:textId="2456CB10" w:rsidR="005B09B9" w:rsidRDefault="005B09B9" w:rsidP="005B09B9">
      <w:r>
        <w:t xml:space="preserve">The shared use path connecting The Boulevard and Eirene Street will continue to remain closed. See the map for details. Night works will be required in January and February and advance notice will be provided for noisy works. </w:t>
      </w:r>
    </w:p>
    <w:p w14:paraId="7DFFA056" w14:textId="2565D337" w:rsidR="005B09B9" w:rsidRDefault="005B09B9" w:rsidP="005B09B9">
      <w:pPr>
        <w:pStyle w:val="Heading2"/>
      </w:pPr>
      <w:r>
        <w:t>West Gate Freeway / Williamstown Road interchange</w:t>
      </w:r>
    </w:p>
    <w:p w14:paraId="52B706E4" w14:textId="19AB4A00" w:rsidR="005B09B9" w:rsidRPr="005B09B9" w:rsidRDefault="005B09B9" w:rsidP="005B09B9">
      <w:pPr>
        <w:rPr>
          <w:rStyle w:val="Emphasis"/>
        </w:rPr>
      </w:pPr>
      <w:r w:rsidRPr="005B09B9">
        <w:rPr>
          <w:rStyle w:val="Emphasis"/>
        </w:rPr>
        <w:t>Early 2020</w:t>
      </w:r>
    </w:p>
    <w:p w14:paraId="01C9523A" w14:textId="6DD4E94C" w:rsidR="005B09B9" w:rsidRDefault="005B09B9" w:rsidP="005B09B9">
      <w:r>
        <w:t xml:space="preserve">Installation of new noise wall panels along the Williamstown Road inbound exit ramp is underway, and will continue throughout early 2020.  A small section of temporary noise wall is required to be removed at the east end of Fogarty Avenue, as part of drainage works. </w:t>
      </w:r>
    </w:p>
    <w:p w14:paraId="5593FFF2" w14:textId="61878746" w:rsidR="005B09B9" w:rsidRDefault="005B09B9" w:rsidP="005B09B9">
      <w:r>
        <w:t xml:space="preserve">We are also continuing to replace a water main pipe underneath the freeway, along Williamstown Road, which requires the pedestrian detour on the east side under the bridge. Once the water main pipe is replaced, work will start to widen the northbound carriageway, construct traffic islands, and install traffic lights and drainage. </w:t>
      </w:r>
    </w:p>
    <w:p w14:paraId="39625211" w14:textId="5BB786E5" w:rsidR="00AE1339" w:rsidRDefault="005B09B9" w:rsidP="005B09B9">
      <w:r>
        <w:t>Night works may be required and advance notice will be provided for noisy works.</w:t>
      </w:r>
    </w:p>
    <w:p w14:paraId="5A09E0F4" w14:textId="37304B11" w:rsidR="005B09B9" w:rsidRDefault="005B09B9" w:rsidP="005B09B9">
      <w:pPr>
        <w:pStyle w:val="Heading2"/>
      </w:pPr>
      <w:r>
        <w:t>What to expect during these works:</w:t>
      </w:r>
    </w:p>
    <w:p w14:paraId="4807CB27" w14:textId="45804F16" w:rsidR="005B09B9" w:rsidRDefault="005B09B9" w:rsidP="005B09B9">
      <w:pPr>
        <w:pStyle w:val="ListBullet"/>
      </w:pPr>
      <w:r>
        <w:t>work will be completed behind safety barriers;</w:t>
      </w:r>
    </w:p>
    <w:p w14:paraId="6E098130" w14:textId="08EFD58E" w:rsidR="005B09B9" w:rsidRDefault="005B09B9" w:rsidP="005B09B9">
      <w:pPr>
        <w:pStyle w:val="ListBullet"/>
      </w:pPr>
      <w:r>
        <w:t>construction vehicles including excavators, piling rigs, water trucks and concrete trucks will be moving in and out of work areas via our access routes;</w:t>
      </w:r>
    </w:p>
    <w:p w14:paraId="7DAE0F76" w14:textId="1A9B548D" w:rsidR="005B09B9" w:rsidRDefault="005B09B9" w:rsidP="005B09B9">
      <w:pPr>
        <w:pStyle w:val="ListBullet"/>
      </w:pPr>
      <w:r>
        <w:t>increase in construction vehicles regularly using designated routes including local roads within residential areas. This will include light vehicles, heavy trucks, concrete trucks and delivery of large equipment;</w:t>
      </w:r>
    </w:p>
    <w:p w14:paraId="199419FB" w14:textId="3417E505" w:rsidR="005B09B9" w:rsidRDefault="005B09B9" w:rsidP="005B09B9">
      <w:pPr>
        <w:pStyle w:val="ListBullet"/>
      </w:pPr>
      <w:r>
        <w:t xml:space="preserve">construction noise and intermittent localised vibration from our construction site; </w:t>
      </w:r>
    </w:p>
    <w:p w14:paraId="61B56C40" w14:textId="623EDA0D" w:rsidR="005B09B9" w:rsidRDefault="005B09B9" w:rsidP="005B09B9">
      <w:pPr>
        <w:pStyle w:val="ListBullet"/>
      </w:pPr>
      <w:r>
        <w:t>there will be no vibration and noise impacts from pipe-jacking the new sewer pipe as the work will take place deep underground;</w:t>
      </w:r>
    </w:p>
    <w:p w14:paraId="0806CAB0" w14:textId="747EA698" w:rsidR="005B09B9" w:rsidRDefault="005B09B9" w:rsidP="005B09B9">
      <w:pPr>
        <w:pStyle w:val="ListBullet"/>
      </w:pPr>
      <w:r>
        <w:t>water spray trucks and street sweepers will be used to manage dust and dirt and trucks carrying dirt and rock will be covered;</w:t>
      </w:r>
    </w:p>
    <w:p w14:paraId="079A89F3" w14:textId="76083456" w:rsidR="005B09B9" w:rsidRDefault="005B09B9" w:rsidP="005B09B9">
      <w:pPr>
        <w:pStyle w:val="ListBullet"/>
      </w:pPr>
      <w:r>
        <w:t>the construction site will be monitored as part of ongoing security across the project area; and</w:t>
      </w:r>
    </w:p>
    <w:p w14:paraId="5F5E43B1" w14:textId="77777777" w:rsidR="005B09B9" w:rsidRDefault="005B09B9" w:rsidP="005B09B9">
      <w:pPr>
        <w:pStyle w:val="ListBullet"/>
        <w:rPr>
          <w:noProof/>
          <w:lang w:eastAsia="en-AU"/>
        </w:rPr>
      </w:pPr>
      <w:r>
        <w:t>traffic changes will be required and signed detours will be in place – latest traffic updates are available at westgatetunnelproject.vic.gov.au/disruptions.</w:t>
      </w:r>
      <w:r w:rsidRPr="005B09B9">
        <w:rPr>
          <w:noProof/>
          <w:lang w:eastAsia="en-AU"/>
        </w:rPr>
        <w:t xml:space="preserve"> </w:t>
      </w:r>
    </w:p>
    <w:p w14:paraId="4616D1E1" w14:textId="77777777" w:rsidR="005B09B9" w:rsidRDefault="005B09B9">
      <w:pPr>
        <w:spacing w:after="160" w:line="259" w:lineRule="auto"/>
        <w:rPr>
          <w:noProof/>
          <w:lang w:eastAsia="en-AU"/>
        </w:rPr>
      </w:pPr>
      <w:r>
        <w:rPr>
          <w:noProof/>
          <w:lang w:eastAsia="en-AU"/>
        </w:rPr>
        <w:br w:type="page"/>
      </w:r>
    </w:p>
    <w:p w14:paraId="2ABEE0AD" w14:textId="383ED428" w:rsidR="005B09B9" w:rsidRDefault="005B09B9" w:rsidP="005B09B9">
      <w:pPr>
        <w:pStyle w:val="Heading2"/>
      </w:pPr>
      <w:r>
        <w:lastRenderedPageBreak/>
        <w:t xml:space="preserve">Map of upcoming works: </w:t>
      </w:r>
    </w:p>
    <w:p w14:paraId="167BADC8" w14:textId="27B24A48" w:rsidR="005B09B9" w:rsidRDefault="005B09B9" w:rsidP="005B09B9">
      <w:pPr>
        <w:pStyle w:val="ListBullet"/>
        <w:numPr>
          <w:ilvl w:val="0"/>
          <w:numId w:val="0"/>
        </w:numPr>
      </w:pPr>
      <w:r>
        <w:rPr>
          <w:rFonts w:cs="Arial"/>
          <w:noProof/>
          <w:lang w:eastAsia="en-AU"/>
        </w:rPr>
        <w:drawing>
          <wp:anchor distT="0" distB="0" distL="114300" distR="114300" simplePos="0" relativeHeight="251658243" behindDoc="0" locked="0" layoutInCell="1" allowOverlap="1" wp14:anchorId="6656618C" wp14:editId="0E59B185">
            <wp:simplePos x="0" y="0"/>
            <wp:positionH relativeFrom="margin">
              <wp:posOffset>-429260</wp:posOffset>
            </wp:positionH>
            <wp:positionV relativeFrom="paragraph">
              <wp:posOffset>130810</wp:posOffset>
            </wp:positionV>
            <wp:extent cx="6758305" cy="4780280"/>
            <wp:effectExtent l="0" t="0" r="444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rtyave_ne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58305" cy="4780280"/>
                    </a:xfrm>
                    <a:prstGeom prst="rect">
                      <a:avLst/>
                    </a:prstGeom>
                  </pic:spPr>
                </pic:pic>
              </a:graphicData>
            </a:graphic>
            <wp14:sizeRelH relativeFrom="page">
              <wp14:pctWidth>0</wp14:pctWidth>
            </wp14:sizeRelH>
            <wp14:sizeRelV relativeFrom="page">
              <wp14:pctHeight>0</wp14:pctHeight>
            </wp14:sizeRelV>
          </wp:anchor>
        </w:drawing>
      </w:r>
    </w:p>
    <w:p w14:paraId="5D5DD4F3" w14:textId="0FD2DE99" w:rsidR="005B09B9" w:rsidRDefault="005B09B9" w:rsidP="005B09B9">
      <w:pPr>
        <w:pStyle w:val="ListBullet"/>
        <w:numPr>
          <w:ilvl w:val="0"/>
          <w:numId w:val="0"/>
        </w:numPr>
      </w:pPr>
    </w:p>
    <w:p w14:paraId="79E83EF6" w14:textId="77777777" w:rsidR="005B09B9" w:rsidRDefault="005B09B9" w:rsidP="005B09B9">
      <w:pPr>
        <w:pStyle w:val="Body"/>
      </w:pPr>
      <w:r>
        <w:t xml:space="preserve">Day works will be carried out Monday to Friday between 7am - 6pm and Saturdays between 7am - 1pm. </w:t>
      </w:r>
    </w:p>
    <w:p w14:paraId="71982215" w14:textId="77777777" w:rsidR="005B09B9" w:rsidRDefault="005B09B9" w:rsidP="005B09B9">
      <w:pPr>
        <w:pStyle w:val="Body"/>
      </w:pPr>
      <w:r>
        <w:t xml:space="preserve">Please note that works are subject to change and may be rescheduled in the event of unexpected impacts to the construction program. </w:t>
      </w:r>
    </w:p>
    <w:p w14:paraId="57B85B84" w14:textId="5F62EFD8" w:rsidR="005B09B9" w:rsidRPr="005B09B9" w:rsidRDefault="005B09B9" w:rsidP="005B09B9">
      <w:pPr>
        <w:pStyle w:val="Body"/>
        <w:rPr>
          <w:b/>
        </w:rPr>
      </w:pPr>
      <w:r w:rsidRPr="005B09B9">
        <w:rPr>
          <w:b/>
        </w:rPr>
        <w:t xml:space="preserve">Thank you for your patience during these works.  </w:t>
      </w:r>
    </w:p>
    <w:sectPr w:rsidR="005B09B9" w:rsidRPr="005B09B9" w:rsidSect="005B09B9">
      <w:headerReference w:type="default" r:id="rId17"/>
      <w:type w:val="continuous"/>
      <w:pgSz w:w="11906" w:h="16838"/>
      <w:pgMar w:top="1135" w:right="1559" w:bottom="1440" w:left="1276" w:header="0"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5368" w14:textId="77777777" w:rsidR="00207B89" w:rsidRDefault="00207B89" w:rsidP="00DC10B3">
      <w:pPr>
        <w:spacing w:after="0"/>
      </w:pPr>
      <w:r>
        <w:separator/>
      </w:r>
    </w:p>
    <w:p w14:paraId="399F97AC" w14:textId="77777777" w:rsidR="00207B89" w:rsidRDefault="00207B89"/>
  </w:endnote>
  <w:endnote w:type="continuationSeparator" w:id="0">
    <w:p w14:paraId="69CFFD2E" w14:textId="77777777" w:rsidR="00207B89" w:rsidRDefault="00207B89" w:rsidP="00DC10B3">
      <w:pPr>
        <w:spacing w:after="0"/>
      </w:pPr>
      <w:r>
        <w:continuationSeparator/>
      </w:r>
    </w:p>
    <w:p w14:paraId="6B30C78B" w14:textId="77777777" w:rsidR="00207B89" w:rsidRDefault="00207B89"/>
  </w:endnote>
  <w:endnote w:type="continuationNotice" w:id="1">
    <w:p w14:paraId="39C787F6" w14:textId="77777777" w:rsidR="008A2324" w:rsidRDefault="008A23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pa-Regular">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207B89" w:rsidRPr="00AA2236" w14:paraId="2CD759EC" w14:textId="77777777" w:rsidTr="00207B89">
      <w:trPr>
        <w:trHeight w:val="294"/>
      </w:trPr>
      <w:tc>
        <w:tcPr>
          <w:tcW w:w="3224" w:type="dxa"/>
        </w:tcPr>
        <w:p w14:paraId="131A1D0E" w14:textId="77777777" w:rsidR="00207B89" w:rsidRPr="00386F73" w:rsidRDefault="00207B89" w:rsidP="002B4A3F">
          <w:pPr>
            <w:pStyle w:val="Heading3"/>
            <w:spacing w:before="0" w:after="0"/>
            <w:outlineLvl w:val="2"/>
            <w:rPr>
              <w:noProof/>
              <w:color w:val="474B55"/>
              <w:lang w:val="en-US"/>
            </w:rPr>
          </w:pPr>
        </w:p>
      </w:tc>
      <w:tc>
        <w:tcPr>
          <w:tcW w:w="567" w:type="dxa"/>
        </w:tcPr>
        <w:p w14:paraId="6BD95689" w14:textId="77777777" w:rsidR="00207B89" w:rsidRPr="000616B4" w:rsidRDefault="00207B89" w:rsidP="002B4A3F">
          <w:pPr>
            <w:spacing w:after="0"/>
            <w:rPr>
              <w:noProof/>
              <w:position w:val="-6"/>
              <w:sz w:val="18"/>
              <w:szCs w:val="18"/>
              <w:lang w:val="en-US"/>
            </w:rPr>
          </w:pPr>
        </w:p>
      </w:tc>
      <w:tc>
        <w:tcPr>
          <w:tcW w:w="3460" w:type="dxa"/>
          <w:gridSpan w:val="3"/>
        </w:tcPr>
        <w:p w14:paraId="0BD9A54E" w14:textId="77777777" w:rsidR="00207B89" w:rsidRPr="00AA2236" w:rsidRDefault="00207B89" w:rsidP="002B4A3F">
          <w:pPr>
            <w:spacing w:after="0"/>
            <w:rPr>
              <w:b/>
              <w:color w:val="63554F"/>
              <w:sz w:val="18"/>
              <w:szCs w:val="18"/>
            </w:rPr>
          </w:pPr>
        </w:p>
      </w:tc>
      <w:tc>
        <w:tcPr>
          <w:tcW w:w="3123" w:type="dxa"/>
          <w:gridSpan w:val="2"/>
        </w:tcPr>
        <w:p w14:paraId="37A76B97" w14:textId="77777777" w:rsidR="00207B89" w:rsidRPr="00AA2236" w:rsidRDefault="00207B89" w:rsidP="002B4A3F">
          <w:pPr>
            <w:spacing w:after="0"/>
            <w:jc w:val="right"/>
            <w:rPr>
              <w:color w:val="63554F"/>
              <w:sz w:val="18"/>
              <w:szCs w:val="18"/>
            </w:rPr>
          </w:pPr>
        </w:p>
      </w:tc>
    </w:tr>
    <w:tr w:rsidR="00207B89" w:rsidRPr="00AA2236" w14:paraId="345DAD20" w14:textId="77777777" w:rsidTr="00207B89">
      <w:trPr>
        <w:trHeight w:val="475"/>
      </w:trPr>
      <w:tc>
        <w:tcPr>
          <w:tcW w:w="3224" w:type="dxa"/>
          <w:vMerge w:val="restart"/>
        </w:tcPr>
        <w:p w14:paraId="5CA172F2" w14:textId="77777777" w:rsidR="00207B89" w:rsidRPr="00B25208" w:rsidRDefault="00207B89" w:rsidP="002B4A3F">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38C3A14E" w14:textId="77777777" w:rsidR="00207B89" w:rsidRPr="006B3970" w:rsidRDefault="00207B89" w:rsidP="002B4A3F">
          <w:pPr>
            <w:tabs>
              <w:tab w:val="left" w:pos="3579"/>
            </w:tabs>
            <w:spacing w:after="0"/>
            <w:ind w:right="420"/>
            <w:rPr>
              <w:sz w:val="15"/>
              <w:szCs w:val="15"/>
            </w:rPr>
          </w:pPr>
          <w:r>
            <w:rPr>
              <w:b/>
              <w:noProof/>
              <w:color w:val="474B55"/>
              <w:sz w:val="18"/>
              <w:szCs w:val="18"/>
              <w:lang w:eastAsia="en-AU"/>
            </w:rPr>
            <w:drawing>
              <wp:inline distT="0" distB="0" distL="0" distR="0" wp14:anchorId="3DCCF1DE" wp14:editId="7A67AE42">
                <wp:extent cx="965045" cy="115906"/>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ascii="Arial" w:hAnsi="Arial" w:cs="Arial"/>
              <w:color w:val="474B55"/>
              <w:position w:val="4"/>
              <w:sz w:val="15"/>
              <w:szCs w:val="15"/>
            </w:rPr>
            <w:t>Follow us on social media</w:t>
          </w:r>
        </w:p>
      </w:tc>
      <w:tc>
        <w:tcPr>
          <w:tcW w:w="3123" w:type="dxa"/>
          <w:gridSpan w:val="2"/>
        </w:tcPr>
        <w:p w14:paraId="440FFCAF" w14:textId="77777777" w:rsidR="00207B89" w:rsidRPr="006B3970" w:rsidRDefault="00207B89" w:rsidP="002B4A3F">
          <w:pPr>
            <w:spacing w:after="0"/>
            <w:rPr>
              <w:sz w:val="15"/>
              <w:szCs w:val="15"/>
            </w:rPr>
          </w:pPr>
          <w:r w:rsidRPr="006141E8">
            <w:rPr>
              <w:rFonts w:ascii="Arial" w:hAnsi="Arial" w:cs="Arial"/>
              <w:color w:val="333644"/>
              <w:spacing w:val="-5"/>
              <w:sz w:val="15"/>
              <w:szCs w:val="15"/>
            </w:rPr>
            <w:t xml:space="preserve">Please contact us if you would like this </w:t>
          </w:r>
          <w:r>
            <w:rPr>
              <w:rFonts w:ascii="Arial" w:hAnsi="Arial" w:cs="Arial"/>
              <w:color w:val="333644"/>
              <w:spacing w:val="-5"/>
              <w:sz w:val="15"/>
              <w:szCs w:val="15"/>
            </w:rPr>
            <w:br/>
            <w:t>information i</w:t>
          </w:r>
          <w:r w:rsidRPr="006141E8">
            <w:rPr>
              <w:rFonts w:ascii="Arial" w:hAnsi="Arial" w:cs="Arial"/>
              <w:color w:val="333644"/>
              <w:spacing w:val="-5"/>
              <w:sz w:val="15"/>
              <w:szCs w:val="15"/>
            </w:rPr>
            <w:t>n an accessible format.</w:t>
          </w:r>
        </w:p>
      </w:tc>
    </w:tr>
    <w:tr w:rsidR="00207B89" w:rsidRPr="00AA2236" w14:paraId="1E403605" w14:textId="77777777" w:rsidTr="00207B89">
      <w:trPr>
        <w:gridAfter w:val="1"/>
        <w:wAfter w:w="58" w:type="dxa"/>
        <w:trHeight w:val="495"/>
      </w:trPr>
      <w:tc>
        <w:tcPr>
          <w:tcW w:w="3224" w:type="dxa"/>
          <w:vMerge/>
        </w:tcPr>
        <w:p w14:paraId="08C77F84" w14:textId="77777777" w:rsidR="00207B89" w:rsidRPr="006B3970" w:rsidRDefault="00207B89" w:rsidP="002B4A3F">
          <w:pPr>
            <w:tabs>
              <w:tab w:val="left" w:pos="311"/>
            </w:tabs>
            <w:ind w:left="132"/>
            <w:rPr>
              <w:noProof/>
              <w:color w:val="63554F"/>
              <w:sz w:val="15"/>
              <w:szCs w:val="15"/>
              <w:lang w:val="en-GB" w:eastAsia="en-GB"/>
            </w:rPr>
          </w:pPr>
        </w:p>
      </w:tc>
      <w:tc>
        <w:tcPr>
          <w:tcW w:w="712" w:type="dxa"/>
          <w:gridSpan w:val="2"/>
        </w:tcPr>
        <w:p w14:paraId="6873AB17" w14:textId="77777777" w:rsidR="00207B89" w:rsidRPr="006B3970" w:rsidRDefault="00207B89" w:rsidP="002B4A3F">
          <w:pPr>
            <w:spacing w:before="60" w:after="80"/>
            <w:rPr>
              <w:b/>
              <w:color w:val="63554F"/>
              <w:sz w:val="15"/>
              <w:szCs w:val="15"/>
            </w:rPr>
          </w:pPr>
          <w:r w:rsidRPr="006B3970">
            <w:rPr>
              <w:noProof/>
              <w:position w:val="-6"/>
              <w:sz w:val="15"/>
              <w:szCs w:val="15"/>
              <w:lang w:eastAsia="en-AU"/>
            </w:rPr>
            <w:drawing>
              <wp:inline distT="0" distB="0" distL="0" distR="0" wp14:anchorId="7695074B" wp14:editId="4E45C90C">
                <wp:extent cx="222604" cy="222604"/>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38777DC7" w14:textId="77777777" w:rsidR="00207B89" w:rsidRPr="006B3970" w:rsidRDefault="00207B89" w:rsidP="002B4A3F">
          <w:pPr>
            <w:spacing w:before="60" w:after="80"/>
            <w:rPr>
              <w:b/>
              <w:color w:val="63554F"/>
              <w:sz w:val="15"/>
              <w:szCs w:val="15"/>
            </w:rPr>
          </w:pPr>
          <w:r w:rsidRPr="006141E8">
            <w:rPr>
              <w:rFonts w:ascii="Arial" w:hAnsi="Arial" w:cs="Arial"/>
              <w:b/>
              <w:color w:val="474B55"/>
              <w:sz w:val="15"/>
              <w:szCs w:val="15"/>
            </w:rPr>
            <w:t>Translation service</w:t>
          </w:r>
          <w:r w:rsidRPr="006141E8">
            <w:rPr>
              <w:rFonts w:ascii="Arial" w:hAnsi="Arial" w:cs="Arial"/>
              <w:color w:val="474B55"/>
              <w:sz w:val="15"/>
              <w:szCs w:val="15"/>
            </w:rPr>
            <w:t xml:space="preserve"> – For languages</w:t>
          </w:r>
          <w:r w:rsidRPr="006141E8">
            <w:rPr>
              <w:rFonts w:ascii="Arial" w:hAnsi="Arial" w:cs="Arial"/>
              <w:color w:val="474B55"/>
              <w:sz w:val="15"/>
              <w:szCs w:val="15"/>
            </w:rPr>
            <w:tab/>
          </w:r>
          <w:r w:rsidRPr="006141E8">
            <w:rPr>
              <w:rFonts w:ascii="Arial" w:hAnsi="Arial" w:cs="Arial"/>
              <w:color w:val="474B55"/>
              <w:sz w:val="15"/>
              <w:szCs w:val="15"/>
            </w:rPr>
            <w:br/>
            <w:t>other than English, please call 13 14 50.</w:t>
          </w:r>
        </w:p>
      </w:tc>
      <w:tc>
        <w:tcPr>
          <w:tcW w:w="3123" w:type="dxa"/>
          <w:gridSpan w:val="2"/>
        </w:tcPr>
        <w:p w14:paraId="5B210EC3" w14:textId="77777777" w:rsidR="00207B89" w:rsidRDefault="00207B89" w:rsidP="002B4A3F">
          <w:pPr>
            <w:jc w:val="right"/>
            <w:rPr>
              <w:sz w:val="14"/>
              <w:szCs w:val="14"/>
            </w:rPr>
          </w:pPr>
        </w:p>
      </w:tc>
    </w:tr>
    <w:tr w:rsidR="00207B89" w:rsidRPr="00AA2236" w14:paraId="1FF7FCBC" w14:textId="77777777" w:rsidTr="00207B89">
      <w:trPr>
        <w:gridAfter w:val="1"/>
        <w:wAfter w:w="58" w:type="dxa"/>
        <w:trHeight w:val="928"/>
      </w:trPr>
      <w:tc>
        <w:tcPr>
          <w:tcW w:w="3224" w:type="dxa"/>
          <w:vMerge/>
        </w:tcPr>
        <w:p w14:paraId="206515DD" w14:textId="77777777" w:rsidR="00207B89" w:rsidRPr="00AA2236" w:rsidRDefault="00207B89" w:rsidP="002B4A3F">
          <w:pPr>
            <w:tabs>
              <w:tab w:val="left" w:pos="311"/>
            </w:tabs>
            <w:ind w:left="132"/>
            <w:rPr>
              <w:noProof/>
              <w:color w:val="63554F"/>
              <w:sz w:val="18"/>
              <w:szCs w:val="18"/>
              <w:lang w:val="en-US"/>
            </w:rPr>
          </w:pPr>
        </w:p>
      </w:tc>
      <w:tc>
        <w:tcPr>
          <w:tcW w:w="3969" w:type="dxa"/>
          <w:gridSpan w:val="3"/>
        </w:tcPr>
        <w:p w14:paraId="61049407" w14:textId="77777777" w:rsidR="00207B89" w:rsidRDefault="00207B89" w:rsidP="002B4A3F">
          <w:pPr>
            <w:spacing w:after="0"/>
            <w:rPr>
              <w:color w:val="474B55"/>
              <w:sz w:val="14"/>
              <w:szCs w:val="14"/>
            </w:rPr>
          </w:pPr>
        </w:p>
        <w:p w14:paraId="07AFBB18" w14:textId="77777777" w:rsidR="00207B89" w:rsidRDefault="00207B89" w:rsidP="002B4A3F">
          <w:pPr>
            <w:spacing w:after="0"/>
            <w:rPr>
              <w:color w:val="474B55"/>
              <w:sz w:val="14"/>
              <w:szCs w:val="14"/>
            </w:rPr>
          </w:pPr>
        </w:p>
        <w:p w14:paraId="7BA9466E" w14:textId="77777777" w:rsidR="00207B89" w:rsidRPr="006B3970" w:rsidRDefault="00207B89" w:rsidP="002B4A3F">
          <w:pPr>
            <w:spacing w:after="0"/>
            <w:rPr>
              <w:sz w:val="13"/>
              <w:szCs w:val="13"/>
            </w:rPr>
          </w:pPr>
        </w:p>
      </w:tc>
      <w:tc>
        <w:tcPr>
          <w:tcW w:w="3123" w:type="dxa"/>
          <w:gridSpan w:val="2"/>
        </w:tcPr>
        <w:p w14:paraId="27FFEB70" w14:textId="77777777" w:rsidR="00207B89" w:rsidRPr="00AA2236" w:rsidRDefault="00207B89" w:rsidP="002B4A3F">
          <w:pPr>
            <w:spacing w:after="20"/>
            <w:jc w:val="right"/>
            <w:rPr>
              <w:color w:val="63554F"/>
              <w:sz w:val="18"/>
              <w:szCs w:val="18"/>
            </w:rPr>
          </w:pPr>
        </w:p>
      </w:tc>
    </w:tr>
  </w:tbl>
  <w:p w14:paraId="07A771FF" w14:textId="77777777" w:rsidR="00207B89" w:rsidRDefault="00207B89" w:rsidP="002B4A3F">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663EB47D" wp14:editId="0E9F052B">
          <wp:simplePos x="0" y="0"/>
          <wp:positionH relativeFrom="page">
            <wp:posOffset>8794</wp:posOffset>
          </wp:positionH>
          <wp:positionV relativeFrom="page">
            <wp:posOffset>8783515</wp:posOffset>
          </wp:positionV>
          <wp:extent cx="7584435" cy="192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p w14:paraId="69960BEF" w14:textId="77777777" w:rsidR="00207B89" w:rsidRDefault="0020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207B89" w:rsidRPr="00AA2236" w14:paraId="45C87435" w14:textId="77777777" w:rsidTr="00207B89">
      <w:trPr>
        <w:trHeight w:val="294"/>
      </w:trPr>
      <w:tc>
        <w:tcPr>
          <w:tcW w:w="3224" w:type="dxa"/>
        </w:tcPr>
        <w:p w14:paraId="4B8A2DD7" w14:textId="77777777" w:rsidR="00207B89" w:rsidRPr="00386F73" w:rsidRDefault="00207B89" w:rsidP="005B09B9">
          <w:pPr>
            <w:pStyle w:val="Heading3"/>
            <w:spacing w:before="0" w:after="0"/>
            <w:outlineLvl w:val="2"/>
            <w:rPr>
              <w:noProof/>
              <w:color w:val="474B55"/>
              <w:lang w:val="en-US"/>
            </w:rPr>
          </w:pPr>
        </w:p>
      </w:tc>
      <w:tc>
        <w:tcPr>
          <w:tcW w:w="567" w:type="dxa"/>
        </w:tcPr>
        <w:p w14:paraId="0F0D7D61" w14:textId="77777777" w:rsidR="00207B89" w:rsidRPr="000616B4" w:rsidRDefault="00207B89" w:rsidP="005B09B9">
          <w:pPr>
            <w:spacing w:after="0"/>
            <w:rPr>
              <w:noProof/>
              <w:position w:val="-6"/>
              <w:sz w:val="18"/>
              <w:szCs w:val="18"/>
              <w:lang w:val="en-US"/>
            </w:rPr>
          </w:pPr>
        </w:p>
      </w:tc>
      <w:tc>
        <w:tcPr>
          <w:tcW w:w="3460" w:type="dxa"/>
          <w:gridSpan w:val="3"/>
        </w:tcPr>
        <w:p w14:paraId="138FB7C6" w14:textId="77777777" w:rsidR="00207B89" w:rsidRPr="00AA2236" w:rsidRDefault="00207B89" w:rsidP="005B09B9">
          <w:pPr>
            <w:spacing w:after="0"/>
            <w:rPr>
              <w:b/>
              <w:color w:val="63554F"/>
              <w:sz w:val="18"/>
              <w:szCs w:val="18"/>
            </w:rPr>
          </w:pPr>
        </w:p>
      </w:tc>
      <w:tc>
        <w:tcPr>
          <w:tcW w:w="3123" w:type="dxa"/>
          <w:gridSpan w:val="2"/>
        </w:tcPr>
        <w:p w14:paraId="0B89EFFD" w14:textId="77777777" w:rsidR="00207B89" w:rsidRPr="00AA2236" w:rsidRDefault="00207B89" w:rsidP="005B09B9">
          <w:pPr>
            <w:spacing w:after="0"/>
            <w:jc w:val="right"/>
            <w:rPr>
              <w:color w:val="63554F"/>
              <w:sz w:val="18"/>
              <w:szCs w:val="18"/>
            </w:rPr>
          </w:pPr>
        </w:p>
      </w:tc>
    </w:tr>
    <w:tr w:rsidR="00207B89" w:rsidRPr="00AA2236" w14:paraId="161ACC58" w14:textId="77777777" w:rsidTr="00207B89">
      <w:trPr>
        <w:trHeight w:val="475"/>
      </w:trPr>
      <w:tc>
        <w:tcPr>
          <w:tcW w:w="3224" w:type="dxa"/>
          <w:vMerge w:val="restart"/>
        </w:tcPr>
        <w:p w14:paraId="361EF10B" w14:textId="77777777" w:rsidR="00207B89" w:rsidRPr="00B25208" w:rsidRDefault="00207B89" w:rsidP="005B09B9">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5C11FA07" w14:textId="77777777" w:rsidR="00207B89" w:rsidRPr="006B3970" w:rsidRDefault="00207B89" w:rsidP="005B09B9">
          <w:pPr>
            <w:tabs>
              <w:tab w:val="left" w:pos="3579"/>
            </w:tabs>
            <w:spacing w:after="0"/>
            <w:ind w:right="420"/>
            <w:rPr>
              <w:sz w:val="15"/>
              <w:szCs w:val="15"/>
            </w:rPr>
          </w:pPr>
          <w:r>
            <w:rPr>
              <w:b/>
              <w:noProof/>
              <w:color w:val="474B55"/>
              <w:sz w:val="18"/>
              <w:szCs w:val="18"/>
              <w:lang w:eastAsia="en-AU"/>
            </w:rPr>
            <w:drawing>
              <wp:inline distT="0" distB="0" distL="0" distR="0" wp14:anchorId="4994CC84" wp14:editId="6C76B805">
                <wp:extent cx="965045" cy="115906"/>
                <wp:effectExtent l="0" t="0" r="698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ascii="Arial" w:hAnsi="Arial" w:cs="Arial"/>
              <w:color w:val="474B55"/>
              <w:position w:val="4"/>
              <w:sz w:val="15"/>
              <w:szCs w:val="15"/>
            </w:rPr>
            <w:t>Follow us on social media</w:t>
          </w:r>
        </w:p>
      </w:tc>
      <w:tc>
        <w:tcPr>
          <w:tcW w:w="3123" w:type="dxa"/>
          <w:gridSpan w:val="2"/>
        </w:tcPr>
        <w:p w14:paraId="38B1BFE0" w14:textId="77777777" w:rsidR="00207B89" w:rsidRPr="006B3970" w:rsidRDefault="00207B89" w:rsidP="005B09B9">
          <w:pPr>
            <w:spacing w:after="0"/>
            <w:rPr>
              <w:sz w:val="15"/>
              <w:szCs w:val="15"/>
            </w:rPr>
          </w:pPr>
          <w:r w:rsidRPr="006141E8">
            <w:rPr>
              <w:rFonts w:ascii="Arial" w:hAnsi="Arial" w:cs="Arial"/>
              <w:color w:val="333644"/>
              <w:spacing w:val="-5"/>
              <w:sz w:val="15"/>
              <w:szCs w:val="15"/>
            </w:rPr>
            <w:t xml:space="preserve">Please contact us if you would like this </w:t>
          </w:r>
          <w:r>
            <w:rPr>
              <w:rFonts w:ascii="Arial" w:hAnsi="Arial" w:cs="Arial"/>
              <w:color w:val="333644"/>
              <w:spacing w:val="-5"/>
              <w:sz w:val="15"/>
              <w:szCs w:val="15"/>
            </w:rPr>
            <w:br/>
            <w:t>information i</w:t>
          </w:r>
          <w:r w:rsidRPr="006141E8">
            <w:rPr>
              <w:rFonts w:ascii="Arial" w:hAnsi="Arial" w:cs="Arial"/>
              <w:color w:val="333644"/>
              <w:spacing w:val="-5"/>
              <w:sz w:val="15"/>
              <w:szCs w:val="15"/>
            </w:rPr>
            <w:t>n an accessible format.</w:t>
          </w:r>
        </w:p>
      </w:tc>
    </w:tr>
    <w:tr w:rsidR="00207B89" w:rsidRPr="00AA2236" w14:paraId="1202B96A" w14:textId="77777777" w:rsidTr="00207B89">
      <w:trPr>
        <w:gridAfter w:val="1"/>
        <w:wAfter w:w="58" w:type="dxa"/>
        <w:trHeight w:val="495"/>
      </w:trPr>
      <w:tc>
        <w:tcPr>
          <w:tcW w:w="3224" w:type="dxa"/>
          <w:vMerge/>
        </w:tcPr>
        <w:p w14:paraId="1D1E08E3" w14:textId="77777777" w:rsidR="00207B89" w:rsidRPr="006B3970" w:rsidRDefault="00207B89" w:rsidP="005B09B9">
          <w:pPr>
            <w:tabs>
              <w:tab w:val="left" w:pos="311"/>
            </w:tabs>
            <w:ind w:left="132"/>
            <w:rPr>
              <w:noProof/>
              <w:color w:val="63554F"/>
              <w:sz w:val="15"/>
              <w:szCs w:val="15"/>
              <w:lang w:val="en-GB" w:eastAsia="en-GB"/>
            </w:rPr>
          </w:pPr>
        </w:p>
      </w:tc>
      <w:tc>
        <w:tcPr>
          <w:tcW w:w="712" w:type="dxa"/>
          <w:gridSpan w:val="2"/>
        </w:tcPr>
        <w:p w14:paraId="2447B9CB" w14:textId="77777777" w:rsidR="00207B89" w:rsidRPr="006B3970" w:rsidRDefault="00207B89" w:rsidP="005B09B9">
          <w:pPr>
            <w:spacing w:before="60" w:after="80"/>
            <w:rPr>
              <w:b/>
              <w:color w:val="63554F"/>
              <w:sz w:val="15"/>
              <w:szCs w:val="15"/>
            </w:rPr>
          </w:pPr>
          <w:r w:rsidRPr="006B3970">
            <w:rPr>
              <w:noProof/>
              <w:position w:val="-6"/>
              <w:sz w:val="15"/>
              <w:szCs w:val="15"/>
              <w:lang w:eastAsia="en-AU"/>
            </w:rPr>
            <w:drawing>
              <wp:inline distT="0" distB="0" distL="0" distR="0" wp14:anchorId="217E9061" wp14:editId="0F7596C2">
                <wp:extent cx="222604" cy="222604"/>
                <wp:effectExtent l="0" t="0" r="6350" b="635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6EAF659A" w14:textId="77777777" w:rsidR="00207B89" w:rsidRPr="006B3970" w:rsidRDefault="00207B89" w:rsidP="005B09B9">
          <w:pPr>
            <w:spacing w:before="60" w:after="80"/>
            <w:rPr>
              <w:b/>
              <w:color w:val="63554F"/>
              <w:sz w:val="15"/>
              <w:szCs w:val="15"/>
            </w:rPr>
          </w:pPr>
          <w:r w:rsidRPr="006141E8">
            <w:rPr>
              <w:rFonts w:ascii="Arial" w:hAnsi="Arial" w:cs="Arial"/>
              <w:b/>
              <w:color w:val="474B55"/>
              <w:sz w:val="15"/>
              <w:szCs w:val="15"/>
            </w:rPr>
            <w:t>Translation service</w:t>
          </w:r>
          <w:r w:rsidRPr="006141E8">
            <w:rPr>
              <w:rFonts w:ascii="Arial" w:hAnsi="Arial" w:cs="Arial"/>
              <w:color w:val="474B55"/>
              <w:sz w:val="15"/>
              <w:szCs w:val="15"/>
            </w:rPr>
            <w:t xml:space="preserve"> – For languages</w:t>
          </w:r>
          <w:r w:rsidRPr="006141E8">
            <w:rPr>
              <w:rFonts w:ascii="Arial" w:hAnsi="Arial" w:cs="Arial"/>
              <w:color w:val="474B55"/>
              <w:sz w:val="15"/>
              <w:szCs w:val="15"/>
            </w:rPr>
            <w:tab/>
          </w:r>
          <w:r w:rsidRPr="006141E8">
            <w:rPr>
              <w:rFonts w:ascii="Arial" w:hAnsi="Arial" w:cs="Arial"/>
              <w:color w:val="474B55"/>
              <w:sz w:val="15"/>
              <w:szCs w:val="15"/>
            </w:rPr>
            <w:br/>
            <w:t>other than English, please call 13 14 50.</w:t>
          </w:r>
        </w:p>
      </w:tc>
      <w:tc>
        <w:tcPr>
          <w:tcW w:w="3123" w:type="dxa"/>
          <w:gridSpan w:val="2"/>
        </w:tcPr>
        <w:p w14:paraId="59D9C260" w14:textId="77777777" w:rsidR="00207B89" w:rsidRDefault="00207B89" w:rsidP="005B09B9">
          <w:pPr>
            <w:jc w:val="right"/>
            <w:rPr>
              <w:sz w:val="14"/>
              <w:szCs w:val="14"/>
            </w:rPr>
          </w:pPr>
        </w:p>
      </w:tc>
    </w:tr>
    <w:tr w:rsidR="00207B89" w:rsidRPr="00AA2236" w14:paraId="328C758D" w14:textId="77777777" w:rsidTr="00207B89">
      <w:trPr>
        <w:gridAfter w:val="1"/>
        <w:wAfter w:w="58" w:type="dxa"/>
        <w:trHeight w:val="928"/>
      </w:trPr>
      <w:tc>
        <w:tcPr>
          <w:tcW w:w="3224" w:type="dxa"/>
          <w:vMerge/>
        </w:tcPr>
        <w:p w14:paraId="0D8FD780" w14:textId="77777777" w:rsidR="00207B89" w:rsidRPr="00AA2236" w:rsidRDefault="00207B89" w:rsidP="005B09B9">
          <w:pPr>
            <w:tabs>
              <w:tab w:val="left" w:pos="311"/>
            </w:tabs>
            <w:ind w:left="132"/>
            <w:rPr>
              <w:noProof/>
              <w:color w:val="63554F"/>
              <w:sz w:val="18"/>
              <w:szCs w:val="18"/>
              <w:lang w:val="en-US"/>
            </w:rPr>
          </w:pPr>
        </w:p>
      </w:tc>
      <w:tc>
        <w:tcPr>
          <w:tcW w:w="3969" w:type="dxa"/>
          <w:gridSpan w:val="3"/>
        </w:tcPr>
        <w:p w14:paraId="624B019F" w14:textId="77777777" w:rsidR="00207B89" w:rsidRDefault="00207B89" w:rsidP="005B09B9">
          <w:pPr>
            <w:spacing w:after="0"/>
            <w:rPr>
              <w:color w:val="474B55"/>
              <w:sz w:val="14"/>
              <w:szCs w:val="14"/>
            </w:rPr>
          </w:pPr>
        </w:p>
        <w:p w14:paraId="728A0C79" w14:textId="77777777" w:rsidR="00207B89" w:rsidRDefault="00207B89" w:rsidP="005B09B9">
          <w:pPr>
            <w:spacing w:after="0"/>
            <w:rPr>
              <w:color w:val="474B55"/>
              <w:sz w:val="14"/>
              <w:szCs w:val="14"/>
            </w:rPr>
          </w:pPr>
        </w:p>
        <w:p w14:paraId="350D6463" w14:textId="77777777" w:rsidR="00207B89" w:rsidRPr="006B3970" w:rsidRDefault="00207B89" w:rsidP="005B09B9">
          <w:pPr>
            <w:spacing w:after="0"/>
            <w:rPr>
              <w:sz w:val="13"/>
              <w:szCs w:val="13"/>
            </w:rPr>
          </w:pPr>
        </w:p>
      </w:tc>
      <w:tc>
        <w:tcPr>
          <w:tcW w:w="3123" w:type="dxa"/>
          <w:gridSpan w:val="2"/>
        </w:tcPr>
        <w:p w14:paraId="5DD0E921" w14:textId="77777777" w:rsidR="00207B89" w:rsidRPr="00AA2236" w:rsidRDefault="00207B89" w:rsidP="005B09B9">
          <w:pPr>
            <w:spacing w:after="20"/>
            <w:jc w:val="right"/>
            <w:rPr>
              <w:color w:val="63554F"/>
              <w:sz w:val="18"/>
              <w:szCs w:val="18"/>
            </w:rPr>
          </w:pPr>
        </w:p>
      </w:tc>
    </w:tr>
  </w:tbl>
  <w:p w14:paraId="51865E8A" w14:textId="77777777" w:rsidR="00207B89" w:rsidRDefault="00207B89" w:rsidP="005B09B9">
    <w:pPr>
      <w:pStyle w:val="Footer"/>
      <w:tabs>
        <w:tab w:val="clear" w:pos="4513"/>
        <w:tab w:val="clear" w:pos="9026"/>
        <w:tab w:val="left" w:pos="5094"/>
      </w:tabs>
    </w:pPr>
    <w:r>
      <w:rPr>
        <w:noProof/>
        <w:color w:val="474B55"/>
        <w:lang w:eastAsia="en-AU"/>
      </w:rPr>
      <w:drawing>
        <wp:anchor distT="0" distB="0" distL="114300" distR="114300" simplePos="0" relativeHeight="251658241" behindDoc="1" locked="0" layoutInCell="0" allowOverlap="1" wp14:anchorId="2D2548D3" wp14:editId="0A6790E9">
          <wp:simplePos x="0" y="0"/>
          <wp:positionH relativeFrom="page">
            <wp:posOffset>8794</wp:posOffset>
          </wp:positionH>
          <wp:positionV relativeFrom="page">
            <wp:posOffset>8783515</wp:posOffset>
          </wp:positionV>
          <wp:extent cx="7584435" cy="192591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p w14:paraId="2AE5B671" w14:textId="77777777" w:rsidR="00207B89" w:rsidRDefault="00207B89" w:rsidP="005B09B9">
    <w:pPr>
      <w:pStyle w:val="Footer"/>
    </w:pPr>
  </w:p>
  <w:p w14:paraId="1926F38A" w14:textId="424006AC" w:rsidR="00207B89" w:rsidRDefault="00207B89" w:rsidP="00AE1339">
    <w:pPr>
      <w:pStyle w:val="Footer"/>
      <w:tabs>
        <w:tab w:val="clear" w:pos="4513"/>
        <w:tab w:val="clear" w:pos="9026"/>
        <w:tab w:val="left" w:pos="564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C01D" w14:textId="6E7B3E77" w:rsidR="00207B89" w:rsidRPr="001A6B42" w:rsidRDefault="00207B89" w:rsidP="005B154D">
    <w:pPr>
      <w:pStyle w:val="Footer"/>
      <w:ind w:left="-1440"/>
    </w:pPr>
    <w:r>
      <w:rPr>
        <w:noProof/>
        <w:lang w:eastAsia="en-AU"/>
      </w:rPr>
      <w:drawing>
        <wp:anchor distT="0" distB="0" distL="114300" distR="114300" simplePos="0" relativeHeight="251658242" behindDoc="1" locked="0" layoutInCell="1" allowOverlap="1" wp14:anchorId="67BA1508" wp14:editId="3B2B1C0F">
          <wp:simplePos x="0" y="0"/>
          <wp:positionH relativeFrom="column">
            <wp:posOffset>-810260</wp:posOffset>
          </wp:positionH>
          <wp:positionV relativeFrom="page">
            <wp:posOffset>8460740</wp:posOffset>
          </wp:positionV>
          <wp:extent cx="7810122" cy="22323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03A0" w14:textId="77777777" w:rsidR="00207B89" w:rsidRDefault="00207B89" w:rsidP="00DC10B3">
      <w:pPr>
        <w:spacing w:after="0"/>
      </w:pPr>
      <w:bookmarkStart w:id="0" w:name="_Hlk485156543"/>
      <w:bookmarkEnd w:id="0"/>
      <w:r>
        <w:separator/>
      </w:r>
    </w:p>
    <w:p w14:paraId="668EFF7E" w14:textId="77777777" w:rsidR="00207B89" w:rsidRDefault="00207B89"/>
  </w:footnote>
  <w:footnote w:type="continuationSeparator" w:id="0">
    <w:p w14:paraId="082C99B9" w14:textId="77777777" w:rsidR="00207B89" w:rsidRDefault="00207B89" w:rsidP="00DC10B3">
      <w:pPr>
        <w:spacing w:after="0"/>
      </w:pPr>
      <w:r>
        <w:continuationSeparator/>
      </w:r>
    </w:p>
    <w:p w14:paraId="32120BE0" w14:textId="77777777" w:rsidR="00207B89" w:rsidRDefault="00207B89"/>
  </w:footnote>
  <w:footnote w:type="continuationNotice" w:id="1">
    <w:p w14:paraId="6CE3A762" w14:textId="77777777" w:rsidR="008A2324" w:rsidRDefault="008A23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230" w14:textId="273FAA1B" w:rsidR="00207B89" w:rsidRDefault="00207B89" w:rsidP="00424372">
    <w:pPr>
      <w:pStyle w:val="Header"/>
      <w:ind w:left="-567"/>
    </w:pPr>
    <w:r>
      <w:rPr>
        <w:noProof/>
        <w:lang w:eastAsia="en-AU"/>
      </w:rPr>
      <w:drawing>
        <wp:anchor distT="0" distB="0" distL="114300" distR="114300" simplePos="0" relativeHeight="251658243"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207B89" w:rsidRDefault="00207B89"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742" w14:textId="7D7D129D" w:rsidR="00207B89" w:rsidRDefault="0020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EA0283B"/>
    <w:multiLevelType w:val="hybridMultilevel"/>
    <w:tmpl w:val="3C7E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44B35985"/>
    <w:multiLevelType w:val="multilevel"/>
    <w:tmpl w:val="B176A4CE"/>
    <w:numStyleLink w:val="LXRABullets"/>
  </w:abstractNum>
  <w:abstractNum w:abstractNumId="31"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911A84"/>
    <w:multiLevelType w:val="hybridMultilevel"/>
    <w:tmpl w:val="F79C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20AEB"/>
    <w:multiLevelType w:val="multilevel"/>
    <w:tmpl w:val="B176A4CE"/>
    <w:numStyleLink w:val="LXRABullets"/>
  </w:abstractNum>
  <w:abstractNum w:abstractNumId="36" w15:restartNumberingAfterBreak="0">
    <w:nsid w:val="605B3B5F"/>
    <w:multiLevelType w:val="hybridMultilevel"/>
    <w:tmpl w:val="D1AAD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0"/>
  </w:num>
  <w:num w:numId="13">
    <w:abstractNumId w:val="19"/>
  </w:num>
  <w:num w:numId="14">
    <w:abstractNumId w:val="17"/>
  </w:num>
  <w:num w:numId="15">
    <w:abstractNumId w:val="14"/>
  </w:num>
  <w:num w:numId="16">
    <w:abstractNumId w:val="31"/>
  </w:num>
  <w:num w:numId="17">
    <w:abstractNumId w:val="13"/>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37"/>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35"/>
  </w:num>
  <w:num w:numId="31">
    <w:abstractNumId w:val="0"/>
  </w:num>
  <w:num w:numId="32">
    <w:abstractNumId w:val="38"/>
  </w:num>
  <w:num w:numId="33">
    <w:abstractNumId w:val="23"/>
  </w:num>
  <w:num w:numId="34">
    <w:abstractNumId w:val="18"/>
  </w:num>
  <w:num w:numId="35">
    <w:abstractNumId w:val="26"/>
  </w:num>
  <w:num w:numId="36">
    <w:abstractNumId w:val="16"/>
  </w:num>
  <w:num w:numId="37">
    <w:abstractNumId w:val="15"/>
  </w:num>
  <w:num w:numId="38">
    <w:abstractNumId w:val="34"/>
  </w:num>
  <w:num w:numId="39">
    <w:abstractNumId w:val="24"/>
  </w:num>
  <w:num w:numId="40">
    <w:abstractNumId w:val="36"/>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14147"/>
    <w:rsid w:val="0002237F"/>
    <w:rsid w:val="00035231"/>
    <w:rsid w:val="00043402"/>
    <w:rsid w:val="00047205"/>
    <w:rsid w:val="00047CFA"/>
    <w:rsid w:val="00050902"/>
    <w:rsid w:val="00053DB8"/>
    <w:rsid w:val="00054F6A"/>
    <w:rsid w:val="000616B4"/>
    <w:rsid w:val="0006628E"/>
    <w:rsid w:val="00074A7D"/>
    <w:rsid w:val="000751CD"/>
    <w:rsid w:val="00090AC5"/>
    <w:rsid w:val="0009234B"/>
    <w:rsid w:val="000A3786"/>
    <w:rsid w:val="000A72A4"/>
    <w:rsid w:val="000A7D48"/>
    <w:rsid w:val="000B3599"/>
    <w:rsid w:val="000C5973"/>
    <w:rsid w:val="000C66AD"/>
    <w:rsid w:val="000D74C6"/>
    <w:rsid w:val="000D7729"/>
    <w:rsid w:val="000D7AAD"/>
    <w:rsid w:val="000E1FAE"/>
    <w:rsid w:val="000E3ECA"/>
    <w:rsid w:val="000E54C9"/>
    <w:rsid w:val="000F6116"/>
    <w:rsid w:val="000F7996"/>
    <w:rsid w:val="001029CF"/>
    <w:rsid w:val="00106518"/>
    <w:rsid w:val="00112AF0"/>
    <w:rsid w:val="001134D2"/>
    <w:rsid w:val="00116CB6"/>
    <w:rsid w:val="0012483F"/>
    <w:rsid w:val="00131D77"/>
    <w:rsid w:val="00134D13"/>
    <w:rsid w:val="00151B93"/>
    <w:rsid w:val="00154761"/>
    <w:rsid w:val="001575D4"/>
    <w:rsid w:val="00160D03"/>
    <w:rsid w:val="00173082"/>
    <w:rsid w:val="0017694B"/>
    <w:rsid w:val="00185F14"/>
    <w:rsid w:val="00192499"/>
    <w:rsid w:val="00196C75"/>
    <w:rsid w:val="001A06E5"/>
    <w:rsid w:val="001A0B71"/>
    <w:rsid w:val="001A579F"/>
    <w:rsid w:val="001A6B42"/>
    <w:rsid w:val="001B2001"/>
    <w:rsid w:val="001B2A7D"/>
    <w:rsid w:val="001B4E88"/>
    <w:rsid w:val="001B7C86"/>
    <w:rsid w:val="001C2B38"/>
    <w:rsid w:val="001C2BF7"/>
    <w:rsid w:val="001C4E34"/>
    <w:rsid w:val="001D2AFC"/>
    <w:rsid w:val="001D3600"/>
    <w:rsid w:val="001D5C59"/>
    <w:rsid w:val="001D70F9"/>
    <w:rsid w:val="001E1CB0"/>
    <w:rsid w:val="001E2E84"/>
    <w:rsid w:val="001E5900"/>
    <w:rsid w:val="001E5B82"/>
    <w:rsid w:val="001E71B3"/>
    <w:rsid w:val="001F23BA"/>
    <w:rsid w:val="001F3F7A"/>
    <w:rsid w:val="00207B89"/>
    <w:rsid w:val="00214763"/>
    <w:rsid w:val="0022096F"/>
    <w:rsid w:val="00223B9D"/>
    <w:rsid w:val="00233AEF"/>
    <w:rsid w:val="00234412"/>
    <w:rsid w:val="00236364"/>
    <w:rsid w:val="00236983"/>
    <w:rsid w:val="002436AE"/>
    <w:rsid w:val="00251D3B"/>
    <w:rsid w:val="00251DC3"/>
    <w:rsid w:val="00254677"/>
    <w:rsid w:val="00257986"/>
    <w:rsid w:val="00260E7F"/>
    <w:rsid w:val="002747F4"/>
    <w:rsid w:val="002800D7"/>
    <w:rsid w:val="00287495"/>
    <w:rsid w:val="00287BCD"/>
    <w:rsid w:val="00293318"/>
    <w:rsid w:val="00297133"/>
    <w:rsid w:val="00297F0E"/>
    <w:rsid w:val="002B4A3F"/>
    <w:rsid w:val="002C6670"/>
    <w:rsid w:val="002E031A"/>
    <w:rsid w:val="002E44C4"/>
    <w:rsid w:val="002E58C1"/>
    <w:rsid w:val="002F2DC9"/>
    <w:rsid w:val="002F7BB1"/>
    <w:rsid w:val="003055A8"/>
    <w:rsid w:val="00307CF1"/>
    <w:rsid w:val="00310DC2"/>
    <w:rsid w:val="003176AE"/>
    <w:rsid w:val="00334011"/>
    <w:rsid w:val="003353D7"/>
    <w:rsid w:val="00340899"/>
    <w:rsid w:val="00340C7C"/>
    <w:rsid w:val="0034724F"/>
    <w:rsid w:val="0036247D"/>
    <w:rsid w:val="003635F6"/>
    <w:rsid w:val="003638A3"/>
    <w:rsid w:val="00363D9B"/>
    <w:rsid w:val="00363E3A"/>
    <w:rsid w:val="003644BF"/>
    <w:rsid w:val="00365402"/>
    <w:rsid w:val="0037110C"/>
    <w:rsid w:val="0038375D"/>
    <w:rsid w:val="0038521A"/>
    <w:rsid w:val="0038601C"/>
    <w:rsid w:val="00386F73"/>
    <w:rsid w:val="003A1172"/>
    <w:rsid w:val="003A7CE2"/>
    <w:rsid w:val="003B148D"/>
    <w:rsid w:val="003B5F22"/>
    <w:rsid w:val="003B741C"/>
    <w:rsid w:val="003C02F6"/>
    <w:rsid w:val="003C1035"/>
    <w:rsid w:val="003C118A"/>
    <w:rsid w:val="003C2ED5"/>
    <w:rsid w:val="003C2EF1"/>
    <w:rsid w:val="003C7BFA"/>
    <w:rsid w:val="003E2C6E"/>
    <w:rsid w:val="003E4443"/>
    <w:rsid w:val="003E5FB7"/>
    <w:rsid w:val="003F2F68"/>
    <w:rsid w:val="003F6974"/>
    <w:rsid w:val="00400EA1"/>
    <w:rsid w:val="0041245A"/>
    <w:rsid w:val="00415FDA"/>
    <w:rsid w:val="004163B4"/>
    <w:rsid w:val="00417545"/>
    <w:rsid w:val="00424372"/>
    <w:rsid w:val="00431D41"/>
    <w:rsid w:val="00437790"/>
    <w:rsid w:val="004408F8"/>
    <w:rsid w:val="00441EA2"/>
    <w:rsid w:val="00443834"/>
    <w:rsid w:val="00457976"/>
    <w:rsid w:val="00470692"/>
    <w:rsid w:val="004718D5"/>
    <w:rsid w:val="00476DDF"/>
    <w:rsid w:val="00480336"/>
    <w:rsid w:val="004813E6"/>
    <w:rsid w:val="0048656F"/>
    <w:rsid w:val="004867BB"/>
    <w:rsid w:val="00495500"/>
    <w:rsid w:val="0049729A"/>
    <w:rsid w:val="004A1846"/>
    <w:rsid w:val="004A2AEC"/>
    <w:rsid w:val="004A45D6"/>
    <w:rsid w:val="004A6F0A"/>
    <w:rsid w:val="004B0674"/>
    <w:rsid w:val="004B23D9"/>
    <w:rsid w:val="004B45C0"/>
    <w:rsid w:val="004B4F12"/>
    <w:rsid w:val="004C7D60"/>
    <w:rsid w:val="004D10B7"/>
    <w:rsid w:val="004F6997"/>
    <w:rsid w:val="00516520"/>
    <w:rsid w:val="00525440"/>
    <w:rsid w:val="00525E2A"/>
    <w:rsid w:val="00534E9E"/>
    <w:rsid w:val="00536758"/>
    <w:rsid w:val="0053742F"/>
    <w:rsid w:val="00537D4C"/>
    <w:rsid w:val="00545523"/>
    <w:rsid w:val="005505DD"/>
    <w:rsid w:val="0055374E"/>
    <w:rsid w:val="00554646"/>
    <w:rsid w:val="0055631C"/>
    <w:rsid w:val="00562E39"/>
    <w:rsid w:val="0057051E"/>
    <w:rsid w:val="0057173D"/>
    <w:rsid w:val="0057227E"/>
    <w:rsid w:val="0057409C"/>
    <w:rsid w:val="005750A5"/>
    <w:rsid w:val="005754EA"/>
    <w:rsid w:val="005775CE"/>
    <w:rsid w:val="005851F1"/>
    <w:rsid w:val="005A770E"/>
    <w:rsid w:val="005B09B9"/>
    <w:rsid w:val="005B154D"/>
    <w:rsid w:val="005B4EE1"/>
    <w:rsid w:val="005C4B71"/>
    <w:rsid w:val="005C5295"/>
    <w:rsid w:val="005C68F1"/>
    <w:rsid w:val="005E28F9"/>
    <w:rsid w:val="005F1273"/>
    <w:rsid w:val="00607EC2"/>
    <w:rsid w:val="00607F50"/>
    <w:rsid w:val="00610B90"/>
    <w:rsid w:val="00614E98"/>
    <w:rsid w:val="00627F58"/>
    <w:rsid w:val="00632010"/>
    <w:rsid w:val="006403BD"/>
    <w:rsid w:val="00647B85"/>
    <w:rsid w:val="00647C9C"/>
    <w:rsid w:val="00651066"/>
    <w:rsid w:val="00664BE0"/>
    <w:rsid w:val="006653F7"/>
    <w:rsid w:val="006666CE"/>
    <w:rsid w:val="0068224A"/>
    <w:rsid w:val="00683761"/>
    <w:rsid w:val="00685888"/>
    <w:rsid w:val="00686D62"/>
    <w:rsid w:val="006A369E"/>
    <w:rsid w:val="006A3728"/>
    <w:rsid w:val="006A37D1"/>
    <w:rsid w:val="006A5EE1"/>
    <w:rsid w:val="006A6312"/>
    <w:rsid w:val="006B3970"/>
    <w:rsid w:val="006B483A"/>
    <w:rsid w:val="006C100C"/>
    <w:rsid w:val="006C2AA4"/>
    <w:rsid w:val="006C3328"/>
    <w:rsid w:val="006C7357"/>
    <w:rsid w:val="006D761B"/>
    <w:rsid w:val="006E188C"/>
    <w:rsid w:val="006E5348"/>
    <w:rsid w:val="006E6155"/>
    <w:rsid w:val="006E62E1"/>
    <w:rsid w:val="00701977"/>
    <w:rsid w:val="0070329C"/>
    <w:rsid w:val="007128F5"/>
    <w:rsid w:val="00715F05"/>
    <w:rsid w:val="00720744"/>
    <w:rsid w:val="00722701"/>
    <w:rsid w:val="00731F9A"/>
    <w:rsid w:val="007342E6"/>
    <w:rsid w:val="00734512"/>
    <w:rsid w:val="007404F1"/>
    <w:rsid w:val="0074656C"/>
    <w:rsid w:val="0076323B"/>
    <w:rsid w:val="00763B63"/>
    <w:rsid w:val="00771CD0"/>
    <w:rsid w:val="00775068"/>
    <w:rsid w:val="00776AB0"/>
    <w:rsid w:val="007808A7"/>
    <w:rsid w:val="00785ADA"/>
    <w:rsid w:val="00786FF5"/>
    <w:rsid w:val="007907CC"/>
    <w:rsid w:val="00796BEE"/>
    <w:rsid w:val="007A360D"/>
    <w:rsid w:val="007B5CF1"/>
    <w:rsid w:val="007C7738"/>
    <w:rsid w:val="007D0091"/>
    <w:rsid w:val="007D1F2B"/>
    <w:rsid w:val="007E01DA"/>
    <w:rsid w:val="007E66A6"/>
    <w:rsid w:val="007E7CC5"/>
    <w:rsid w:val="007F3425"/>
    <w:rsid w:val="008031B4"/>
    <w:rsid w:val="00821979"/>
    <w:rsid w:val="00821B7B"/>
    <w:rsid w:val="00821F4C"/>
    <w:rsid w:val="00821FA1"/>
    <w:rsid w:val="008225B6"/>
    <w:rsid w:val="008249DD"/>
    <w:rsid w:val="008428BF"/>
    <w:rsid w:val="00842FEA"/>
    <w:rsid w:val="008530DB"/>
    <w:rsid w:val="00855258"/>
    <w:rsid w:val="008604BB"/>
    <w:rsid w:val="008636E9"/>
    <w:rsid w:val="008657A0"/>
    <w:rsid w:val="00865FD2"/>
    <w:rsid w:val="008741EF"/>
    <w:rsid w:val="00874616"/>
    <w:rsid w:val="00876F26"/>
    <w:rsid w:val="00881655"/>
    <w:rsid w:val="00882EB4"/>
    <w:rsid w:val="00884258"/>
    <w:rsid w:val="00886319"/>
    <w:rsid w:val="00887288"/>
    <w:rsid w:val="008A10A9"/>
    <w:rsid w:val="008A2324"/>
    <w:rsid w:val="008A27EB"/>
    <w:rsid w:val="008A2BDA"/>
    <w:rsid w:val="008A6E25"/>
    <w:rsid w:val="008B5FAF"/>
    <w:rsid w:val="008B7E8D"/>
    <w:rsid w:val="008C1C8E"/>
    <w:rsid w:val="008D1DE0"/>
    <w:rsid w:val="008D283C"/>
    <w:rsid w:val="008D2F0D"/>
    <w:rsid w:val="008E44A3"/>
    <w:rsid w:val="008E4A63"/>
    <w:rsid w:val="008F7422"/>
    <w:rsid w:val="008F79BC"/>
    <w:rsid w:val="00904140"/>
    <w:rsid w:val="009044B1"/>
    <w:rsid w:val="00905C25"/>
    <w:rsid w:val="00921FF6"/>
    <w:rsid w:val="00922DE5"/>
    <w:rsid w:val="009255C9"/>
    <w:rsid w:val="0092773E"/>
    <w:rsid w:val="00930457"/>
    <w:rsid w:val="00932DF9"/>
    <w:rsid w:val="00937380"/>
    <w:rsid w:val="00937F35"/>
    <w:rsid w:val="00943AF6"/>
    <w:rsid w:val="00944C05"/>
    <w:rsid w:val="009552B3"/>
    <w:rsid w:val="00957BD2"/>
    <w:rsid w:val="009620D7"/>
    <w:rsid w:val="00966999"/>
    <w:rsid w:val="00967531"/>
    <w:rsid w:val="00976D85"/>
    <w:rsid w:val="009912AF"/>
    <w:rsid w:val="009943CA"/>
    <w:rsid w:val="00994EE1"/>
    <w:rsid w:val="009A01C8"/>
    <w:rsid w:val="009A7D2A"/>
    <w:rsid w:val="009B012F"/>
    <w:rsid w:val="009B7D26"/>
    <w:rsid w:val="009C03FF"/>
    <w:rsid w:val="009C2F8E"/>
    <w:rsid w:val="009D10E5"/>
    <w:rsid w:val="009D20EC"/>
    <w:rsid w:val="009D7D7F"/>
    <w:rsid w:val="009E745E"/>
    <w:rsid w:val="009E7EF5"/>
    <w:rsid w:val="009F15C5"/>
    <w:rsid w:val="00A01B05"/>
    <w:rsid w:val="00A04327"/>
    <w:rsid w:val="00A1017F"/>
    <w:rsid w:val="00A11370"/>
    <w:rsid w:val="00A11B54"/>
    <w:rsid w:val="00A1217C"/>
    <w:rsid w:val="00A210AE"/>
    <w:rsid w:val="00A2708D"/>
    <w:rsid w:val="00A34E1D"/>
    <w:rsid w:val="00A3636D"/>
    <w:rsid w:val="00A375AB"/>
    <w:rsid w:val="00A43502"/>
    <w:rsid w:val="00A45B0A"/>
    <w:rsid w:val="00A510B3"/>
    <w:rsid w:val="00A523B7"/>
    <w:rsid w:val="00A53858"/>
    <w:rsid w:val="00A61BF2"/>
    <w:rsid w:val="00A70C6D"/>
    <w:rsid w:val="00A81250"/>
    <w:rsid w:val="00A86A6F"/>
    <w:rsid w:val="00A913D5"/>
    <w:rsid w:val="00A91F56"/>
    <w:rsid w:val="00AA187A"/>
    <w:rsid w:val="00AA3153"/>
    <w:rsid w:val="00AA77A0"/>
    <w:rsid w:val="00AA7D3E"/>
    <w:rsid w:val="00AB29C5"/>
    <w:rsid w:val="00AB4EF5"/>
    <w:rsid w:val="00AB634E"/>
    <w:rsid w:val="00AB6FC7"/>
    <w:rsid w:val="00AC232C"/>
    <w:rsid w:val="00AD6677"/>
    <w:rsid w:val="00AD7795"/>
    <w:rsid w:val="00AD7C6B"/>
    <w:rsid w:val="00AE1339"/>
    <w:rsid w:val="00AF063C"/>
    <w:rsid w:val="00AF7392"/>
    <w:rsid w:val="00B137C9"/>
    <w:rsid w:val="00B25208"/>
    <w:rsid w:val="00B26F42"/>
    <w:rsid w:val="00B33342"/>
    <w:rsid w:val="00B35F67"/>
    <w:rsid w:val="00B414BB"/>
    <w:rsid w:val="00B41DBB"/>
    <w:rsid w:val="00B5251C"/>
    <w:rsid w:val="00B565FD"/>
    <w:rsid w:val="00B62492"/>
    <w:rsid w:val="00B76287"/>
    <w:rsid w:val="00B76D6B"/>
    <w:rsid w:val="00B7758C"/>
    <w:rsid w:val="00B817F3"/>
    <w:rsid w:val="00B91DE3"/>
    <w:rsid w:val="00BA4CB5"/>
    <w:rsid w:val="00BB0720"/>
    <w:rsid w:val="00BB34CA"/>
    <w:rsid w:val="00BB36C1"/>
    <w:rsid w:val="00BB69B5"/>
    <w:rsid w:val="00BC00A4"/>
    <w:rsid w:val="00BC0ECC"/>
    <w:rsid w:val="00BC3F98"/>
    <w:rsid w:val="00BC5732"/>
    <w:rsid w:val="00BF03C3"/>
    <w:rsid w:val="00BF1A38"/>
    <w:rsid w:val="00BF2778"/>
    <w:rsid w:val="00C1053B"/>
    <w:rsid w:val="00C10E0B"/>
    <w:rsid w:val="00C1195E"/>
    <w:rsid w:val="00C16B1F"/>
    <w:rsid w:val="00C2472F"/>
    <w:rsid w:val="00C24C84"/>
    <w:rsid w:val="00C27670"/>
    <w:rsid w:val="00C30B71"/>
    <w:rsid w:val="00C32F84"/>
    <w:rsid w:val="00C344C5"/>
    <w:rsid w:val="00C361A3"/>
    <w:rsid w:val="00C447D6"/>
    <w:rsid w:val="00C512E2"/>
    <w:rsid w:val="00C53365"/>
    <w:rsid w:val="00C61D87"/>
    <w:rsid w:val="00C65485"/>
    <w:rsid w:val="00C76337"/>
    <w:rsid w:val="00C76D7B"/>
    <w:rsid w:val="00C87288"/>
    <w:rsid w:val="00C873AB"/>
    <w:rsid w:val="00C96342"/>
    <w:rsid w:val="00CA0E15"/>
    <w:rsid w:val="00CB0071"/>
    <w:rsid w:val="00CB10D2"/>
    <w:rsid w:val="00CB2C41"/>
    <w:rsid w:val="00CC1E38"/>
    <w:rsid w:val="00CC2337"/>
    <w:rsid w:val="00CC2980"/>
    <w:rsid w:val="00CC34F0"/>
    <w:rsid w:val="00CD00D7"/>
    <w:rsid w:val="00CE37B0"/>
    <w:rsid w:val="00CE6F73"/>
    <w:rsid w:val="00D04226"/>
    <w:rsid w:val="00D14B99"/>
    <w:rsid w:val="00D21F8E"/>
    <w:rsid w:val="00D2644E"/>
    <w:rsid w:val="00D33DD2"/>
    <w:rsid w:val="00D37E0C"/>
    <w:rsid w:val="00D40C33"/>
    <w:rsid w:val="00D43B59"/>
    <w:rsid w:val="00D45E3B"/>
    <w:rsid w:val="00D72C6D"/>
    <w:rsid w:val="00D77B1F"/>
    <w:rsid w:val="00D84054"/>
    <w:rsid w:val="00D86DF0"/>
    <w:rsid w:val="00D9329B"/>
    <w:rsid w:val="00D97622"/>
    <w:rsid w:val="00DA5E95"/>
    <w:rsid w:val="00DB14F9"/>
    <w:rsid w:val="00DB4FED"/>
    <w:rsid w:val="00DB7E9B"/>
    <w:rsid w:val="00DC10B3"/>
    <w:rsid w:val="00DC53A8"/>
    <w:rsid w:val="00DE0A98"/>
    <w:rsid w:val="00DE2653"/>
    <w:rsid w:val="00DF339C"/>
    <w:rsid w:val="00E015CB"/>
    <w:rsid w:val="00E03F69"/>
    <w:rsid w:val="00E173E7"/>
    <w:rsid w:val="00E25E31"/>
    <w:rsid w:val="00E2618D"/>
    <w:rsid w:val="00E2705B"/>
    <w:rsid w:val="00E3217D"/>
    <w:rsid w:val="00E34B14"/>
    <w:rsid w:val="00E42EAD"/>
    <w:rsid w:val="00E43706"/>
    <w:rsid w:val="00E44BA8"/>
    <w:rsid w:val="00E622BA"/>
    <w:rsid w:val="00E64111"/>
    <w:rsid w:val="00E646C7"/>
    <w:rsid w:val="00E6635E"/>
    <w:rsid w:val="00E7007A"/>
    <w:rsid w:val="00E81A4D"/>
    <w:rsid w:val="00E8391A"/>
    <w:rsid w:val="00E85CA6"/>
    <w:rsid w:val="00E90AC7"/>
    <w:rsid w:val="00E94E4D"/>
    <w:rsid w:val="00ED1108"/>
    <w:rsid w:val="00ED2858"/>
    <w:rsid w:val="00ED54EF"/>
    <w:rsid w:val="00ED7716"/>
    <w:rsid w:val="00EE1EFE"/>
    <w:rsid w:val="00EE6455"/>
    <w:rsid w:val="00EE70FC"/>
    <w:rsid w:val="00EF0FDF"/>
    <w:rsid w:val="00EF3CE1"/>
    <w:rsid w:val="00EF5545"/>
    <w:rsid w:val="00F01225"/>
    <w:rsid w:val="00F032B0"/>
    <w:rsid w:val="00F12341"/>
    <w:rsid w:val="00F12AE9"/>
    <w:rsid w:val="00F1395F"/>
    <w:rsid w:val="00F266D0"/>
    <w:rsid w:val="00F267E7"/>
    <w:rsid w:val="00F321BE"/>
    <w:rsid w:val="00F40133"/>
    <w:rsid w:val="00F40BB3"/>
    <w:rsid w:val="00F42753"/>
    <w:rsid w:val="00F47335"/>
    <w:rsid w:val="00F5091C"/>
    <w:rsid w:val="00F647B3"/>
    <w:rsid w:val="00F70165"/>
    <w:rsid w:val="00F71EA4"/>
    <w:rsid w:val="00F83FAA"/>
    <w:rsid w:val="00F86587"/>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227808"/>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EC"/>
    <w:pPr>
      <w:spacing w:after="200" w:line="240" w:lineRule="auto"/>
    </w:pPr>
    <w:rPr>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554646"/>
    <w:pPr>
      <w:keepNext/>
      <w:keepLines/>
      <w:spacing w:before="220" w:after="70"/>
      <w:outlineLvl w:val="2"/>
    </w:pPr>
    <w:rPr>
      <w:rFonts w:asciiTheme="majorHAnsi" w:eastAsiaTheme="majorEastAsia" w:hAnsiTheme="majorHAnsi"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7C9C"/>
    <w:pPr>
      <w:spacing w:before="480" w:after="0"/>
    </w:pPr>
    <w:rPr>
      <w:rFonts w:asciiTheme="majorHAnsi" w:eastAsiaTheme="majorEastAsia" w:hAnsiTheme="majorHAnsi" w:cstheme="majorBidi"/>
      <w:b/>
      <w:color w:val="343645" w:themeColor="text2"/>
      <w:kern w:val="28"/>
      <w:sz w:val="44"/>
      <w:szCs w:val="44"/>
    </w:rPr>
  </w:style>
  <w:style w:type="character" w:customStyle="1" w:styleId="TitleChar">
    <w:name w:val="Title Char"/>
    <w:basedOn w:val="DefaultParagraphFont"/>
    <w:link w:val="Title"/>
    <w:uiPriority w:val="1"/>
    <w:rsid w:val="00647C9C"/>
    <w:rPr>
      <w:rFonts w:asciiTheme="majorHAnsi" w:eastAsiaTheme="majorEastAsia" w:hAnsiTheme="majorHAnsi" w:cstheme="majorBidi"/>
      <w:b/>
      <w:color w:val="343645" w:themeColor="text2"/>
      <w:kern w:val="28"/>
      <w:sz w:val="44"/>
      <w:szCs w:val="44"/>
    </w:rPr>
  </w:style>
  <w:style w:type="paragraph" w:styleId="Subtitle">
    <w:name w:val="Subtitle"/>
    <w:basedOn w:val="Title"/>
    <w:next w:val="Normal"/>
    <w:link w:val="SubtitleChar"/>
    <w:uiPriority w:val="2"/>
    <w:qFormat/>
    <w:rsid w:val="00647C9C"/>
    <w:pPr>
      <w:spacing w:before="240" w:after="230"/>
    </w:pPr>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554646"/>
    <w:rPr>
      <w:rFonts w:asciiTheme="majorHAnsi" w:eastAsiaTheme="majorEastAsia" w:hAnsiTheme="majorHAnsi"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D14B99"/>
    <w:pPr>
      <w:numPr>
        <w:numId w:val="30"/>
      </w:numPr>
      <w:spacing w:after="160"/>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character" w:styleId="Emphasis">
    <w:name w:val="Emphasis"/>
    <w:basedOn w:val="DefaultParagraphFont"/>
    <w:uiPriority w:val="8"/>
    <w:qFormat/>
    <w:rsid w:val="002B4A3F"/>
    <w:rPr>
      <w:i/>
      <w:iCs/>
    </w:rPr>
  </w:style>
  <w:style w:type="paragraph" w:customStyle="1" w:styleId="Body">
    <w:name w:val="Body"/>
    <w:basedOn w:val="Heading3"/>
    <w:link w:val="BodyChar"/>
    <w:qFormat/>
    <w:rsid w:val="00AE1339"/>
    <w:pPr>
      <w:spacing w:after="220"/>
    </w:pPr>
    <w:rPr>
      <w:rFonts w:ascii="Arial" w:hAnsi="Arial" w:cs="Arial"/>
      <w:b w:val="0"/>
      <w:sz w:val="19"/>
    </w:rPr>
  </w:style>
  <w:style w:type="character" w:customStyle="1" w:styleId="BodyChar">
    <w:name w:val="Body Char"/>
    <w:basedOn w:val="Heading3Char"/>
    <w:link w:val="Body"/>
    <w:rsid w:val="00AE1339"/>
    <w:rPr>
      <w:rFonts w:ascii="Arial" w:eastAsiaTheme="majorEastAsia" w:hAnsi="Arial" w:cs="Arial"/>
      <w:b w:val="0"/>
      <w:color w:val="343645" w:themeColor="text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3UE6NPRFMZNX-254032258-7776</_dlc_DocId>
    <_dlc_DocIdUrl xmlns="5f3dec1c-4caf-44d7-995f-e4c50bdfc3e1">
      <Url>https://transurbangroup.sharepoint.com/sites/wgtp/_layouts/15/DocIdRedir.aspx?ID=3UE6NPRFMZNX-254032258-7776</Url>
      <Description>3UE6NPRFMZNX-254032258-7776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0" ma:contentTypeDescription="Create a new document." ma:contentTypeScope="" ma:versionID="26d0ca3b98893085860dd6c761844417">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e74f2a3a6e5bfcf56074f158888e620c"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2191-F7BB-4241-83E9-216B1FCDCDEF}">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DFEF3B-5BFA-4D32-AAEE-FA83F29A95CD}">
  <ds:schemaRefs>
    <ds:schemaRef ds:uri="http://schemas.microsoft.com/sharepoint/v3/contenttype/forms"/>
  </ds:schemaRefs>
</ds:datastoreItem>
</file>

<file path=customXml/itemProps3.xml><?xml version="1.0" encoding="utf-8"?>
<ds:datastoreItem xmlns:ds="http://schemas.openxmlformats.org/officeDocument/2006/customXml" ds:itemID="{2A6EC8B3-0738-4A80-8A0F-194EAD13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ACF34-9213-4231-B229-38A0DB7CA658}">
  <ds:schemaRefs>
    <ds:schemaRef ds:uri="http://schemas.microsoft.com/sharepoint/events"/>
  </ds:schemaRefs>
</ds:datastoreItem>
</file>

<file path=customXml/itemProps5.xml><?xml version="1.0" encoding="utf-8"?>
<ds:datastoreItem xmlns:ds="http://schemas.openxmlformats.org/officeDocument/2006/customXml" ds:itemID="{04350091-E0CC-442D-BCEE-294CEAED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Jala Shekho</cp:lastModifiedBy>
  <cp:revision>7</cp:revision>
  <cp:lastPrinted>2019-08-09T07:12:00Z</cp:lastPrinted>
  <dcterms:created xsi:type="dcterms:W3CDTF">2020-01-09T01:33:00Z</dcterms:created>
  <dcterms:modified xsi:type="dcterms:W3CDTF">2020-01-12T21:14:00Z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8ac5913f-fd6a-4bb6-a524-8f9680c7d4be</vt:lpwstr>
  </property>
</Properties>
</file>