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40" w:rsidRDefault="003F7F00">
      <w:pPr>
        <w:pStyle w:val="BodyText"/>
        <w:rPr>
          <w:rFonts w:ascii="Times New Roman"/>
          <w:sz w:val="20"/>
        </w:rPr>
      </w:pPr>
      <w:bookmarkStart w:id="0" w:name="_GoBack"/>
      <w:bookmarkEnd w:id="0"/>
      <w:r>
        <w:pict>
          <v:rect id="_x0000_s1030" style="position:absolute;margin-left:0;margin-top:0;width:595.3pt;height:841.9pt;z-index:-251762688;mso-position-horizontal-relative:page;mso-position-vertical-relative:page" fillcolor="#e8e8e7" stroked="f">
            <w10:wrap anchorx="page" anchory="page"/>
          </v:rect>
        </w:pict>
      </w:r>
      <w:r>
        <w:pict>
          <v:group id="_x0000_s1026" style="position:absolute;margin-left:0;margin-top:0;width:595.3pt;height:774.05pt;z-index:-251761664;mso-position-horizontal-relative:page;mso-position-vertical-relative:page" coordsize="11906,15481">
            <v:shape id="_x0000_s1029" style="position:absolute;width:11906;height:15481" coordsize="11906,15481" path="m11906,l,,,14521r50,97l87,14679r38,59l166,14796r44,55l256,14905r47,52l353,15007r52,48l459,15101r56,43l572,15185r60,39l693,15260r62,34l820,15325r65,29l952,15380r69,23l1090,15423r71,17l1233,15455r73,11l1380,15474r75,5l1531,15481r10375,l11906,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023;top:5244;width:5001;height:7042">
              <v:imagedata r:id="rId9" o:title=""/>
            </v:shape>
            <v:shape id="_x0000_s1027" type="#_x0000_t75" style="position:absolute;left:7781;width:4124;height:2407">
              <v:imagedata r:id="rId10" o:title=""/>
            </v:shape>
            <w10:wrap anchorx="page" anchory="page"/>
          </v:group>
        </w:pict>
      </w:r>
    </w:p>
    <w:p w:rsidR="00E06140" w:rsidRDefault="00E06140">
      <w:pPr>
        <w:pStyle w:val="BodyText"/>
        <w:rPr>
          <w:rFonts w:ascii="Times New Roman"/>
          <w:sz w:val="20"/>
        </w:rPr>
      </w:pPr>
    </w:p>
    <w:p w:rsidR="00E06140" w:rsidRDefault="00E06140">
      <w:pPr>
        <w:pStyle w:val="BodyText"/>
        <w:spacing w:before="6"/>
        <w:rPr>
          <w:rFonts w:ascii="Times New Roman"/>
        </w:rPr>
      </w:pPr>
    </w:p>
    <w:p w:rsidR="00E06140" w:rsidRDefault="00CA6675">
      <w:pPr>
        <w:pStyle w:val="BodyText"/>
        <w:spacing w:before="94"/>
        <w:ind w:left="107"/>
      </w:pPr>
      <w:r>
        <w:rPr>
          <w:color w:val="231F20"/>
        </w:rPr>
        <w:t>February 2020</w:t>
      </w:r>
    </w:p>
    <w:p w:rsidR="00E06140" w:rsidRDefault="00E06140">
      <w:pPr>
        <w:pStyle w:val="BodyText"/>
        <w:rPr>
          <w:sz w:val="20"/>
        </w:rPr>
      </w:pPr>
    </w:p>
    <w:p w:rsidR="00E06140" w:rsidRDefault="00E06140">
      <w:pPr>
        <w:pStyle w:val="BodyText"/>
        <w:rPr>
          <w:sz w:val="20"/>
        </w:rPr>
      </w:pPr>
    </w:p>
    <w:p w:rsidR="00E06140" w:rsidRDefault="00E06140">
      <w:pPr>
        <w:pStyle w:val="BodyText"/>
        <w:spacing w:before="2"/>
        <w:rPr>
          <w:sz w:val="23"/>
        </w:rPr>
      </w:pPr>
    </w:p>
    <w:p w:rsidR="00E06140" w:rsidRDefault="00CA6675">
      <w:pPr>
        <w:ind w:left="107"/>
        <w:rPr>
          <w:sz w:val="40"/>
        </w:rPr>
      </w:pPr>
      <w:r>
        <w:rPr>
          <w:color w:val="343644"/>
          <w:sz w:val="40"/>
        </w:rPr>
        <w:t>Works notification: Maribyrnong River</w:t>
      </w:r>
    </w:p>
    <w:p w:rsidR="00E06140" w:rsidRDefault="00CA6675">
      <w:pPr>
        <w:spacing w:before="217" w:line="261" w:lineRule="auto"/>
        <w:ind w:left="107" w:right="1843"/>
        <w:jc w:val="both"/>
        <w:rPr>
          <w:sz w:val="24"/>
        </w:rPr>
      </w:pPr>
      <w:r>
        <w:rPr>
          <w:color w:val="485865"/>
          <w:sz w:val="24"/>
        </w:rPr>
        <w:t>Works to construct the new bridges across the Maribyrnong River, linking the West Gate Tunnel to the elevated roadway above Footscray Road continue. This notification details what to expect over the next few months.</w:t>
      </w:r>
    </w:p>
    <w:p w:rsidR="00E06140" w:rsidRDefault="00E06140">
      <w:pPr>
        <w:pStyle w:val="BodyText"/>
        <w:spacing w:before="11"/>
        <w:rPr>
          <w:sz w:val="22"/>
        </w:rPr>
      </w:pPr>
    </w:p>
    <w:p w:rsidR="00E06140" w:rsidRDefault="00CA6675">
      <w:pPr>
        <w:pStyle w:val="Heading1"/>
      </w:pPr>
      <w:r>
        <w:rPr>
          <w:color w:val="424250"/>
        </w:rPr>
        <w:t>Changes to Maribyrnong Street</w:t>
      </w:r>
    </w:p>
    <w:p w:rsidR="00E06140" w:rsidRDefault="00CA6675">
      <w:pPr>
        <w:pStyle w:val="BodyText"/>
        <w:spacing w:before="116" w:line="249" w:lineRule="auto"/>
        <w:ind w:left="107" w:right="6690"/>
      </w:pPr>
      <w:r>
        <w:rPr>
          <w:color w:val="231F20"/>
        </w:rPr>
        <w:t>To build the new bridges over the Maribyrnong River, there will be changes made to Maribyrnong Street during the construction process.</w:t>
      </w:r>
    </w:p>
    <w:p w:rsidR="00E06140" w:rsidRDefault="00CA6675">
      <w:pPr>
        <w:pStyle w:val="BodyText"/>
        <w:spacing w:before="174" w:line="249" w:lineRule="auto"/>
        <w:ind w:left="107" w:right="6690"/>
      </w:pPr>
      <w:r>
        <w:rPr>
          <w:color w:val="231F20"/>
        </w:rPr>
        <w:t xml:space="preserve">A new long-term traffic set up along Maribyrnong Street from </w:t>
      </w:r>
      <w:r>
        <w:rPr>
          <w:b/>
          <w:color w:val="231F20"/>
        </w:rPr>
        <w:t xml:space="preserve">March 2020 </w:t>
      </w:r>
      <w:r>
        <w:rPr>
          <w:color w:val="231F20"/>
        </w:rPr>
        <w:t>will include:</w:t>
      </w:r>
    </w:p>
    <w:p w:rsidR="00E06140" w:rsidRDefault="00CA6675">
      <w:pPr>
        <w:pStyle w:val="ListParagraph"/>
        <w:numPr>
          <w:ilvl w:val="0"/>
          <w:numId w:val="1"/>
        </w:numPr>
        <w:tabs>
          <w:tab w:val="left" w:pos="335"/>
        </w:tabs>
        <w:spacing w:before="79" w:line="237" w:lineRule="auto"/>
        <w:ind w:right="6756"/>
        <w:rPr>
          <w:sz w:val="19"/>
        </w:rPr>
      </w:pPr>
      <w:r>
        <w:rPr>
          <w:color w:val="231F20"/>
          <w:sz w:val="19"/>
        </w:rPr>
        <w:t>removal</w:t>
      </w:r>
      <w:r>
        <w:rPr>
          <w:color w:val="231F20"/>
          <w:spacing w:val="-11"/>
          <w:sz w:val="19"/>
        </w:rPr>
        <w:t xml:space="preserve"> </w:t>
      </w:r>
      <w:r>
        <w:rPr>
          <w:color w:val="231F20"/>
          <w:sz w:val="19"/>
        </w:rPr>
        <w:t>of</w:t>
      </w:r>
      <w:r>
        <w:rPr>
          <w:color w:val="231F20"/>
          <w:spacing w:val="-11"/>
          <w:sz w:val="19"/>
        </w:rPr>
        <w:t xml:space="preserve"> </w:t>
      </w:r>
      <w:r>
        <w:rPr>
          <w:color w:val="231F20"/>
          <w:sz w:val="19"/>
        </w:rPr>
        <w:t>car</w:t>
      </w:r>
      <w:r>
        <w:rPr>
          <w:color w:val="231F20"/>
          <w:spacing w:val="-10"/>
          <w:sz w:val="19"/>
        </w:rPr>
        <w:t xml:space="preserve"> </w:t>
      </w:r>
      <w:r>
        <w:rPr>
          <w:color w:val="231F20"/>
          <w:sz w:val="19"/>
        </w:rPr>
        <w:t>parks</w:t>
      </w:r>
      <w:r>
        <w:rPr>
          <w:color w:val="231F20"/>
          <w:spacing w:val="-11"/>
          <w:sz w:val="19"/>
        </w:rPr>
        <w:t xml:space="preserve"> </w:t>
      </w:r>
      <w:r>
        <w:rPr>
          <w:color w:val="231F20"/>
          <w:sz w:val="19"/>
        </w:rPr>
        <w:t>on</w:t>
      </w:r>
      <w:r>
        <w:rPr>
          <w:color w:val="231F20"/>
          <w:spacing w:val="-11"/>
          <w:sz w:val="19"/>
        </w:rPr>
        <w:t xml:space="preserve"> </w:t>
      </w:r>
      <w:r>
        <w:rPr>
          <w:color w:val="231F20"/>
          <w:sz w:val="19"/>
        </w:rPr>
        <w:t xml:space="preserve">Maribyrnong Street, south of </w:t>
      </w:r>
      <w:r>
        <w:rPr>
          <w:color w:val="231F20"/>
          <w:spacing w:val="-2"/>
          <w:sz w:val="19"/>
        </w:rPr>
        <w:t>Parker</w:t>
      </w:r>
      <w:r>
        <w:rPr>
          <w:color w:val="231F20"/>
          <w:spacing w:val="-22"/>
          <w:sz w:val="19"/>
        </w:rPr>
        <w:t xml:space="preserve"> </w:t>
      </w:r>
      <w:r>
        <w:rPr>
          <w:color w:val="231F20"/>
          <w:sz w:val="19"/>
        </w:rPr>
        <w:t>Street</w:t>
      </w:r>
    </w:p>
    <w:p w:rsidR="00E06140" w:rsidRDefault="00CA6675">
      <w:pPr>
        <w:pStyle w:val="ListParagraph"/>
        <w:numPr>
          <w:ilvl w:val="0"/>
          <w:numId w:val="1"/>
        </w:numPr>
        <w:tabs>
          <w:tab w:val="left" w:pos="335"/>
        </w:tabs>
        <w:spacing w:before="86" w:line="237" w:lineRule="auto"/>
        <w:ind w:right="6802"/>
        <w:rPr>
          <w:sz w:val="19"/>
        </w:rPr>
      </w:pPr>
      <w:r>
        <w:rPr>
          <w:color w:val="231F20"/>
          <w:sz w:val="19"/>
        </w:rPr>
        <w:t>truncation</w:t>
      </w:r>
      <w:r>
        <w:rPr>
          <w:color w:val="231F20"/>
          <w:spacing w:val="-16"/>
          <w:sz w:val="19"/>
        </w:rPr>
        <w:t xml:space="preserve"> </w:t>
      </w:r>
      <w:r>
        <w:rPr>
          <w:color w:val="231F20"/>
          <w:sz w:val="19"/>
        </w:rPr>
        <w:t>of</w:t>
      </w:r>
      <w:r>
        <w:rPr>
          <w:color w:val="231F20"/>
          <w:spacing w:val="-16"/>
          <w:sz w:val="19"/>
        </w:rPr>
        <w:t xml:space="preserve"> </w:t>
      </w:r>
      <w:r>
        <w:rPr>
          <w:color w:val="231F20"/>
          <w:sz w:val="19"/>
        </w:rPr>
        <w:t>Maribyrnong</w:t>
      </w:r>
      <w:r>
        <w:rPr>
          <w:color w:val="231F20"/>
          <w:spacing w:val="-16"/>
          <w:sz w:val="19"/>
        </w:rPr>
        <w:t xml:space="preserve"> </w:t>
      </w:r>
      <w:r>
        <w:rPr>
          <w:color w:val="231F20"/>
          <w:sz w:val="19"/>
        </w:rPr>
        <w:t>and</w:t>
      </w:r>
      <w:r>
        <w:rPr>
          <w:color w:val="231F20"/>
          <w:spacing w:val="-16"/>
          <w:sz w:val="19"/>
        </w:rPr>
        <w:t xml:space="preserve"> </w:t>
      </w:r>
      <w:r>
        <w:rPr>
          <w:color w:val="231F20"/>
          <w:spacing w:val="-5"/>
          <w:sz w:val="19"/>
        </w:rPr>
        <w:t xml:space="preserve">Lyons </w:t>
      </w:r>
      <w:r>
        <w:rPr>
          <w:color w:val="231F20"/>
          <w:spacing w:val="-3"/>
          <w:sz w:val="19"/>
        </w:rPr>
        <w:t>Streets.</w:t>
      </w:r>
    </w:p>
    <w:p w:rsidR="00E06140" w:rsidRDefault="00E06140">
      <w:pPr>
        <w:pStyle w:val="BodyText"/>
        <w:spacing w:before="7"/>
        <w:rPr>
          <w:sz w:val="15"/>
        </w:rPr>
      </w:pPr>
    </w:p>
    <w:p w:rsidR="00E06140" w:rsidRDefault="00CA6675">
      <w:pPr>
        <w:pStyle w:val="BodyText"/>
        <w:spacing w:line="249" w:lineRule="auto"/>
        <w:ind w:left="107" w:right="6556"/>
      </w:pPr>
      <w:r>
        <w:rPr>
          <w:color w:val="231F20"/>
        </w:rPr>
        <w:t>This means vehicles will no longer be able to drive from Maribyrnong Street to Lyons Street or walk between the two.</w:t>
      </w:r>
    </w:p>
    <w:p w:rsidR="00E06140" w:rsidRDefault="00CA6675">
      <w:pPr>
        <w:pStyle w:val="BodyText"/>
        <w:spacing w:before="173" w:line="249" w:lineRule="auto"/>
        <w:ind w:left="107" w:right="6690"/>
      </w:pPr>
      <w:r>
        <w:rPr>
          <w:color w:val="231F20"/>
        </w:rPr>
        <w:t xml:space="preserve">The truncation is part of the permanent </w:t>
      </w:r>
      <w:r>
        <w:rPr>
          <w:color w:val="231F20"/>
          <w:spacing w:val="2"/>
        </w:rPr>
        <w:t xml:space="preserve">design </w:t>
      </w:r>
      <w:r>
        <w:rPr>
          <w:color w:val="231F20"/>
        </w:rPr>
        <w:t xml:space="preserve">of </w:t>
      </w:r>
      <w:r>
        <w:rPr>
          <w:color w:val="231F20"/>
          <w:spacing w:val="2"/>
        </w:rPr>
        <w:t xml:space="preserve">the area </w:t>
      </w:r>
      <w:r>
        <w:rPr>
          <w:color w:val="231F20"/>
        </w:rPr>
        <w:t xml:space="preserve">to </w:t>
      </w:r>
      <w:r>
        <w:rPr>
          <w:color w:val="231F20"/>
          <w:spacing w:val="3"/>
        </w:rPr>
        <w:t xml:space="preserve">accommodate </w:t>
      </w:r>
      <w:r>
        <w:rPr>
          <w:color w:val="231F20"/>
        </w:rPr>
        <w:t>the new Maribyrnong River bridges and access to the</w:t>
      </w:r>
      <w:r>
        <w:rPr>
          <w:color w:val="231F20"/>
          <w:spacing w:val="-2"/>
        </w:rPr>
        <w:t xml:space="preserve"> </w:t>
      </w:r>
      <w:r>
        <w:rPr>
          <w:color w:val="231F20"/>
        </w:rPr>
        <w:t>tunnel.</w:t>
      </w:r>
    </w:p>
    <w:p w:rsidR="00E06140" w:rsidRDefault="00CA6675">
      <w:pPr>
        <w:pStyle w:val="BodyText"/>
        <w:spacing w:before="173" w:line="249" w:lineRule="auto"/>
        <w:ind w:left="107" w:right="6690"/>
      </w:pPr>
      <w:r>
        <w:rPr>
          <w:color w:val="231F20"/>
        </w:rPr>
        <w:t>Once the new traffic arrangement is in place, construction of a crane pad and laydown area will be ongoing within the worksite.</w:t>
      </w:r>
    </w:p>
    <w:p w:rsidR="00E06140" w:rsidRDefault="00CA6675">
      <w:pPr>
        <w:pStyle w:val="BodyText"/>
        <w:spacing w:before="173" w:line="249" w:lineRule="auto"/>
        <w:ind w:left="107" w:right="6676"/>
      </w:pPr>
      <w:r>
        <w:rPr>
          <w:color w:val="231F20"/>
          <w:spacing w:val="-3"/>
        </w:rPr>
        <w:t xml:space="preserve">Works </w:t>
      </w:r>
      <w:r>
        <w:rPr>
          <w:color w:val="231F20"/>
        </w:rPr>
        <w:t xml:space="preserve">are </w:t>
      </w:r>
      <w:r>
        <w:rPr>
          <w:color w:val="231F20"/>
          <w:spacing w:val="-3"/>
        </w:rPr>
        <w:t xml:space="preserve">planned </w:t>
      </w:r>
      <w:r>
        <w:rPr>
          <w:color w:val="231F20"/>
        </w:rPr>
        <w:t xml:space="preserve">to </w:t>
      </w:r>
      <w:r>
        <w:rPr>
          <w:color w:val="231F20"/>
          <w:spacing w:val="-3"/>
        </w:rPr>
        <w:t xml:space="preserve">take </w:t>
      </w:r>
      <w:r>
        <w:rPr>
          <w:color w:val="231F20"/>
        </w:rPr>
        <w:t xml:space="preserve">place between </w:t>
      </w:r>
      <w:r>
        <w:rPr>
          <w:color w:val="231F20"/>
          <w:spacing w:val="2"/>
        </w:rPr>
        <w:t xml:space="preserve">Mondays </w:t>
      </w:r>
      <w:r>
        <w:rPr>
          <w:color w:val="231F20"/>
        </w:rPr>
        <w:t xml:space="preserve">and </w:t>
      </w:r>
      <w:r>
        <w:rPr>
          <w:color w:val="231F20"/>
          <w:spacing w:val="2"/>
        </w:rPr>
        <w:t xml:space="preserve">Saturdays, </w:t>
      </w:r>
      <w:r>
        <w:rPr>
          <w:color w:val="231F20"/>
          <w:spacing w:val="-3"/>
        </w:rPr>
        <w:t xml:space="preserve">7am </w:t>
      </w:r>
      <w:r>
        <w:rPr>
          <w:color w:val="231F20"/>
        </w:rPr>
        <w:t xml:space="preserve">to </w:t>
      </w:r>
      <w:r>
        <w:rPr>
          <w:color w:val="231F20"/>
          <w:spacing w:val="2"/>
        </w:rPr>
        <w:t xml:space="preserve">5pm. </w:t>
      </w:r>
      <w:r>
        <w:rPr>
          <w:color w:val="231F20"/>
        </w:rPr>
        <w:t>Night works will be advised as required.</w:t>
      </w:r>
    </w:p>
    <w:p w:rsidR="00E06140" w:rsidRDefault="00CA6675">
      <w:pPr>
        <w:pStyle w:val="BodyText"/>
        <w:spacing w:before="173" w:line="249" w:lineRule="auto"/>
        <w:ind w:left="107" w:right="1424"/>
      </w:pPr>
      <w:r>
        <w:rPr>
          <w:color w:val="231F20"/>
        </w:rPr>
        <w:t>From mid-2020, large bridge girders will be arriving for installation. Additional traffic changes in the area will be required for these works. More information will be provided closer to the date.</w:t>
      </w:r>
    </w:p>
    <w:p w:rsidR="00E06140" w:rsidRDefault="00E06140">
      <w:pPr>
        <w:pStyle w:val="BodyText"/>
        <w:spacing w:before="6"/>
        <w:rPr>
          <w:sz w:val="20"/>
        </w:rPr>
      </w:pPr>
    </w:p>
    <w:p w:rsidR="00E06140" w:rsidRDefault="00CA6675">
      <w:pPr>
        <w:pStyle w:val="Heading1"/>
        <w:spacing w:before="1"/>
      </w:pPr>
      <w:r>
        <w:rPr>
          <w:color w:val="424250"/>
        </w:rPr>
        <w:t>Piling works and pier construction on Maribyrnong River banks</w:t>
      </w:r>
    </w:p>
    <w:p w:rsidR="00E06140" w:rsidRDefault="00CA6675">
      <w:pPr>
        <w:pStyle w:val="BodyText"/>
        <w:spacing w:before="116" w:line="249" w:lineRule="auto"/>
        <w:ind w:left="107" w:right="1424"/>
      </w:pPr>
      <w:proofErr w:type="gramStart"/>
      <w:r>
        <w:rPr>
          <w:color w:val="231F20"/>
        </w:rPr>
        <w:t>River bank</w:t>
      </w:r>
      <w:proofErr w:type="gramEnd"/>
      <w:r>
        <w:rPr>
          <w:color w:val="231F20"/>
        </w:rPr>
        <w:t xml:space="preserve"> piling works, and pier construction will continue on both sides of the Maribyrnong River for approximately six months. Piling works are taking place along Mackenzie Road and will start on the west bank of the Maribyrnong River between Lyons Street and </w:t>
      </w:r>
      <w:proofErr w:type="spellStart"/>
      <w:r>
        <w:rPr>
          <w:color w:val="231F20"/>
        </w:rPr>
        <w:t>Youell</w:t>
      </w:r>
      <w:proofErr w:type="spellEnd"/>
      <w:r>
        <w:rPr>
          <w:color w:val="231F20"/>
        </w:rPr>
        <w:t xml:space="preserve"> Street from </w:t>
      </w:r>
      <w:r>
        <w:rPr>
          <w:b/>
          <w:color w:val="231F20"/>
        </w:rPr>
        <w:t>March 2020</w:t>
      </w:r>
      <w:r>
        <w:rPr>
          <w:color w:val="231F20"/>
        </w:rPr>
        <w:t>.</w:t>
      </w:r>
    </w:p>
    <w:p w:rsidR="00E06140" w:rsidRDefault="00CA6675">
      <w:pPr>
        <w:pStyle w:val="BodyText"/>
        <w:spacing w:before="172"/>
        <w:ind w:left="107"/>
      </w:pPr>
      <w:r>
        <w:rPr>
          <w:color w:val="231F20"/>
        </w:rPr>
        <w:t>Works are planned to take place between Mondays and Saturdays, 7am to 5pm.</w:t>
      </w:r>
    </w:p>
    <w:p w:rsidR="00E06140" w:rsidRDefault="00E06140">
      <w:pPr>
        <w:sectPr w:rsidR="00E06140">
          <w:type w:val="continuous"/>
          <w:pgSz w:w="11910" w:h="16840"/>
          <w:pgMar w:top="1580" w:right="620" w:bottom="280" w:left="1140" w:header="720" w:footer="720" w:gutter="0"/>
          <w:cols w:space="720"/>
        </w:sectPr>
      </w:pPr>
    </w:p>
    <w:p w:rsidR="00E06140" w:rsidRDefault="00CA6675">
      <w:pPr>
        <w:pStyle w:val="Heading1"/>
        <w:spacing w:before="70"/>
      </w:pPr>
      <w:r>
        <w:rPr>
          <w:color w:val="424250"/>
        </w:rPr>
        <w:lastRenderedPageBreak/>
        <w:t>Utility relocations</w:t>
      </w:r>
    </w:p>
    <w:p w:rsidR="00E06140" w:rsidRDefault="00CA6675">
      <w:pPr>
        <w:pStyle w:val="BodyText"/>
        <w:spacing w:before="117" w:line="249" w:lineRule="auto"/>
        <w:ind w:left="107" w:right="1424"/>
      </w:pPr>
      <w:r>
        <w:rPr>
          <w:color w:val="231F20"/>
        </w:rPr>
        <w:t xml:space="preserve">Utility works continue within the area including power relocation and gas works in </w:t>
      </w:r>
      <w:proofErr w:type="spellStart"/>
      <w:r>
        <w:rPr>
          <w:color w:val="231F20"/>
        </w:rPr>
        <w:t>Youell</w:t>
      </w:r>
      <w:proofErr w:type="spellEnd"/>
      <w:r>
        <w:rPr>
          <w:color w:val="231F20"/>
        </w:rPr>
        <w:t xml:space="preserve"> and Whitehall Streets, which will be ongoing from February to April.</w:t>
      </w:r>
    </w:p>
    <w:p w:rsidR="00E06140" w:rsidRDefault="00CA6675">
      <w:pPr>
        <w:pStyle w:val="BodyText"/>
        <w:spacing w:before="171" w:line="249" w:lineRule="auto"/>
        <w:ind w:left="107" w:right="1623"/>
        <w:jc w:val="both"/>
      </w:pPr>
      <w:r>
        <w:rPr>
          <w:color w:val="231F20"/>
        </w:rPr>
        <w:t>These</w:t>
      </w:r>
      <w:r>
        <w:rPr>
          <w:color w:val="231F20"/>
          <w:spacing w:val="-10"/>
        </w:rPr>
        <w:t xml:space="preserve"> </w:t>
      </w:r>
      <w:r>
        <w:rPr>
          <w:color w:val="231F20"/>
        </w:rPr>
        <w:t>works</w:t>
      </w:r>
      <w:r>
        <w:rPr>
          <w:color w:val="231F20"/>
          <w:spacing w:val="-10"/>
        </w:rPr>
        <w:t xml:space="preserve"> </w:t>
      </w:r>
      <w:r>
        <w:rPr>
          <w:color w:val="231F20"/>
        </w:rPr>
        <w:t>will</w:t>
      </w:r>
      <w:r>
        <w:rPr>
          <w:color w:val="231F20"/>
          <w:spacing w:val="-10"/>
        </w:rPr>
        <w:t xml:space="preserve"> </w:t>
      </w:r>
      <w:r>
        <w:rPr>
          <w:color w:val="231F20"/>
        </w:rPr>
        <w:t>be</w:t>
      </w:r>
      <w:r>
        <w:rPr>
          <w:color w:val="231F20"/>
          <w:spacing w:val="-10"/>
        </w:rPr>
        <w:t xml:space="preserve"> </w:t>
      </w:r>
      <w:r>
        <w:rPr>
          <w:color w:val="231F20"/>
        </w:rPr>
        <w:t>staged</w:t>
      </w:r>
      <w:r>
        <w:rPr>
          <w:color w:val="231F20"/>
          <w:spacing w:val="-10"/>
        </w:rPr>
        <w:t xml:space="preserve"> </w:t>
      </w:r>
      <w:r>
        <w:rPr>
          <w:color w:val="231F20"/>
        </w:rPr>
        <w:t>and</w:t>
      </w:r>
      <w:r>
        <w:rPr>
          <w:color w:val="231F20"/>
          <w:spacing w:val="-10"/>
        </w:rPr>
        <w:t xml:space="preserve"> </w:t>
      </w:r>
      <w:r>
        <w:rPr>
          <w:color w:val="231F20"/>
          <w:spacing w:val="-3"/>
        </w:rPr>
        <w:t>delivered</w:t>
      </w:r>
      <w:r>
        <w:rPr>
          <w:color w:val="231F20"/>
          <w:spacing w:val="-10"/>
        </w:rPr>
        <w:t xml:space="preserve"> </w:t>
      </w:r>
      <w:r>
        <w:rPr>
          <w:color w:val="231F20"/>
          <w:spacing w:val="-3"/>
        </w:rPr>
        <w:t>using</w:t>
      </w:r>
      <w:r>
        <w:rPr>
          <w:color w:val="231F20"/>
          <w:spacing w:val="-10"/>
        </w:rPr>
        <w:t xml:space="preserve"> </w:t>
      </w:r>
      <w:r>
        <w:rPr>
          <w:color w:val="231F20"/>
        </w:rPr>
        <w:t>a</w:t>
      </w:r>
      <w:r>
        <w:rPr>
          <w:color w:val="231F20"/>
          <w:spacing w:val="-10"/>
        </w:rPr>
        <w:t xml:space="preserve"> </w:t>
      </w:r>
      <w:r>
        <w:rPr>
          <w:color w:val="231F20"/>
        </w:rPr>
        <w:t>combination</w:t>
      </w:r>
      <w:r>
        <w:rPr>
          <w:color w:val="231F20"/>
          <w:spacing w:val="-10"/>
        </w:rPr>
        <w:t xml:space="preserve"> </w:t>
      </w:r>
      <w:r>
        <w:rPr>
          <w:color w:val="231F20"/>
        </w:rPr>
        <w:t>of</w:t>
      </w:r>
      <w:r>
        <w:rPr>
          <w:color w:val="231F20"/>
          <w:spacing w:val="-10"/>
        </w:rPr>
        <w:t xml:space="preserve"> </w:t>
      </w:r>
      <w:r>
        <w:rPr>
          <w:color w:val="231F20"/>
        </w:rPr>
        <w:t>open</w:t>
      </w:r>
      <w:r>
        <w:rPr>
          <w:color w:val="231F20"/>
          <w:spacing w:val="-9"/>
        </w:rPr>
        <w:t xml:space="preserve"> </w:t>
      </w:r>
      <w:r>
        <w:rPr>
          <w:color w:val="231F20"/>
          <w:spacing w:val="-3"/>
        </w:rPr>
        <w:t>trenching</w:t>
      </w:r>
      <w:r>
        <w:rPr>
          <w:color w:val="231F20"/>
          <w:spacing w:val="-10"/>
        </w:rPr>
        <w:t xml:space="preserve"> </w:t>
      </w:r>
      <w:r>
        <w:rPr>
          <w:color w:val="231F20"/>
        </w:rPr>
        <w:t>and</w:t>
      </w:r>
      <w:r>
        <w:rPr>
          <w:color w:val="231F20"/>
          <w:spacing w:val="-10"/>
        </w:rPr>
        <w:t xml:space="preserve"> </w:t>
      </w:r>
      <w:r>
        <w:rPr>
          <w:color w:val="231F20"/>
        </w:rPr>
        <w:t>cable</w:t>
      </w:r>
      <w:r>
        <w:rPr>
          <w:color w:val="231F20"/>
          <w:spacing w:val="-10"/>
        </w:rPr>
        <w:t xml:space="preserve"> </w:t>
      </w:r>
      <w:r>
        <w:rPr>
          <w:color w:val="231F20"/>
          <w:spacing w:val="-3"/>
        </w:rPr>
        <w:t xml:space="preserve">installation. </w:t>
      </w:r>
      <w:r>
        <w:rPr>
          <w:color w:val="231F20"/>
          <w:spacing w:val="2"/>
        </w:rPr>
        <w:t xml:space="preserve">These works will </w:t>
      </w:r>
      <w:r>
        <w:rPr>
          <w:color w:val="231F20"/>
        </w:rPr>
        <w:t xml:space="preserve">be </w:t>
      </w:r>
      <w:r>
        <w:rPr>
          <w:color w:val="231F20"/>
          <w:spacing w:val="2"/>
        </w:rPr>
        <w:t xml:space="preserve">delivered </w:t>
      </w:r>
      <w:r>
        <w:rPr>
          <w:color w:val="231F20"/>
        </w:rPr>
        <w:t xml:space="preserve">by </w:t>
      </w:r>
      <w:r>
        <w:rPr>
          <w:color w:val="231F20"/>
          <w:spacing w:val="2"/>
        </w:rPr>
        <w:t xml:space="preserve">the </w:t>
      </w:r>
      <w:r>
        <w:rPr>
          <w:color w:val="231F20"/>
          <w:spacing w:val="3"/>
        </w:rPr>
        <w:t xml:space="preserve">utility </w:t>
      </w:r>
      <w:r>
        <w:rPr>
          <w:color w:val="231F20"/>
          <w:spacing w:val="2"/>
        </w:rPr>
        <w:t xml:space="preserve">providers’ </w:t>
      </w:r>
      <w:r>
        <w:rPr>
          <w:color w:val="231F20"/>
          <w:spacing w:val="3"/>
        </w:rPr>
        <w:t xml:space="preserve">preferred contractors </w:t>
      </w:r>
      <w:r>
        <w:rPr>
          <w:color w:val="231F20"/>
        </w:rPr>
        <w:t xml:space="preserve">and </w:t>
      </w:r>
      <w:r>
        <w:rPr>
          <w:color w:val="231F20"/>
          <w:spacing w:val="3"/>
        </w:rPr>
        <w:t xml:space="preserve">supported </w:t>
      </w:r>
      <w:r>
        <w:rPr>
          <w:color w:val="231F20"/>
        </w:rPr>
        <w:t xml:space="preserve">by </w:t>
      </w:r>
      <w:r>
        <w:rPr>
          <w:color w:val="231F20"/>
          <w:spacing w:val="2"/>
        </w:rPr>
        <w:t xml:space="preserve">the </w:t>
      </w:r>
      <w:r>
        <w:rPr>
          <w:color w:val="231F20"/>
          <w:spacing w:val="3"/>
        </w:rPr>
        <w:t>Project</w:t>
      </w:r>
      <w:r>
        <w:rPr>
          <w:color w:val="231F20"/>
          <w:spacing w:val="5"/>
        </w:rPr>
        <w:t xml:space="preserve"> </w:t>
      </w:r>
      <w:r>
        <w:rPr>
          <w:color w:val="231F20"/>
          <w:spacing w:val="2"/>
        </w:rPr>
        <w:t>team.</w:t>
      </w:r>
    </w:p>
    <w:p w:rsidR="00E06140" w:rsidRDefault="00CA6675">
      <w:pPr>
        <w:pStyle w:val="BodyText"/>
        <w:spacing w:before="173" w:line="249" w:lineRule="auto"/>
        <w:ind w:left="107" w:right="1520"/>
        <w:jc w:val="both"/>
      </w:pPr>
      <w:r>
        <w:rPr>
          <w:color w:val="231F20"/>
        </w:rPr>
        <w:t xml:space="preserve">Works have been scheduled to take place during day and night to </w:t>
      </w:r>
      <w:proofErr w:type="spellStart"/>
      <w:r>
        <w:rPr>
          <w:color w:val="231F20"/>
        </w:rPr>
        <w:t>minimise</w:t>
      </w:r>
      <w:proofErr w:type="spellEnd"/>
      <w:r>
        <w:rPr>
          <w:color w:val="231F20"/>
        </w:rPr>
        <w:t xml:space="preserve"> impact to the community. Further notification will be provided for night works.</w:t>
      </w:r>
    </w:p>
    <w:p w:rsidR="00E06140" w:rsidRDefault="00CA6675">
      <w:pPr>
        <w:pStyle w:val="BodyText"/>
        <w:spacing w:before="3"/>
        <w:rPr>
          <w:sz w:val="18"/>
        </w:rPr>
      </w:pPr>
      <w:r>
        <w:rPr>
          <w:noProof/>
        </w:rPr>
        <w:drawing>
          <wp:anchor distT="0" distB="0" distL="0" distR="0" simplePos="0" relativeHeight="2" behindDoc="0" locked="0" layoutInCell="1" allowOverlap="1">
            <wp:simplePos x="0" y="0"/>
            <wp:positionH relativeFrom="page">
              <wp:posOffset>791999</wp:posOffset>
            </wp:positionH>
            <wp:positionV relativeFrom="paragraph">
              <wp:posOffset>158379</wp:posOffset>
            </wp:positionV>
            <wp:extent cx="5186058" cy="3666744"/>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5186058" cy="3666744"/>
                    </a:xfrm>
                    <a:prstGeom prst="rect">
                      <a:avLst/>
                    </a:prstGeom>
                  </pic:spPr>
                </pic:pic>
              </a:graphicData>
            </a:graphic>
          </wp:anchor>
        </w:drawing>
      </w:r>
    </w:p>
    <w:p w:rsidR="00E06140" w:rsidRDefault="00E06140">
      <w:pPr>
        <w:pStyle w:val="BodyText"/>
        <w:rPr>
          <w:sz w:val="20"/>
        </w:rPr>
      </w:pPr>
    </w:p>
    <w:p w:rsidR="00E06140" w:rsidRDefault="00E06140">
      <w:pPr>
        <w:pStyle w:val="BodyText"/>
        <w:spacing w:before="1"/>
        <w:rPr>
          <w:sz w:val="25"/>
        </w:rPr>
      </w:pPr>
    </w:p>
    <w:p w:rsidR="00E06140" w:rsidRDefault="00CA6675">
      <w:pPr>
        <w:pStyle w:val="Heading1"/>
        <w:spacing w:before="1"/>
      </w:pPr>
      <w:r>
        <w:rPr>
          <w:color w:val="424250"/>
        </w:rPr>
        <w:t xml:space="preserve">What to expect during </w:t>
      </w:r>
      <w:proofErr w:type="gramStart"/>
      <w:r>
        <w:rPr>
          <w:color w:val="424250"/>
        </w:rPr>
        <w:t>construction</w:t>
      </w:r>
      <w:proofErr w:type="gramEnd"/>
    </w:p>
    <w:p w:rsidR="00E06140" w:rsidRDefault="00CA6675">
      <w:pPr>
        <w:pStyle w:val="ListParagraph"/>
        <w:numPr>
          <w:ilvl w:val="0"/>
          <w:numId w:val="1"/>
        </w:numPr>
        <w:tabs>
          <w:tab w:val="left" w:pos="335"/>
        </w:tabs>
        <w:spacing w:before="106"/>
        <w:ind w:hanging="228"/>
        <w:rPr>
          <w:sz w:val="19"/>
        </w:rPr>
      </w:pPr>
      <w:r>
        <w:rPr>
          <w:color w:val="231F20"/>
          <w:sz w:val="19"/>
        </w:rPr>
        <w:t>We will notify you if there are any significant changes to the timing of our</w:t>
      </w:r>
      <w:r>
        <w:rPr>
          <w:color w:val="231F20"/>
          <w:spacing w:val="-5"/>
          <w:sz w:val="19"/>
        </w:rPr>
        <w:t xml:space="preserve"> </w:t>
      </w:r>
      <w:r>
        <w:rPr>
          <w:color w:val="231F20"/>
          <w:sz w:val="19"/>
        </w:rPr>
        <w:t>works.</w:t>
      </w:r>
    </w:p>
    <w:p w:rsidR="00E06140" w:rsidRDefault="00CA6675">
      <w:pPr>
        <w:pStyle w:val="ListParagraph"/>
        <w:numPr>
          <w:ilvl w:val="0"/>
          <w:numId w:val="1"/>
        </w:numPr>
        <w:tabs>
          <w:tab w:val="left" w:pos="335"/>
        </w:tabs>
        <w:spacing w:before="74" w:line="237" w:lineRule="auto"/>
        <w:ind w:right="2588"/>
        <w:rPr>
          <w:sz w:val="19"/>
        </w:rPr>
      </w:pPr>
      <w:r>
        <w:rPr>
          <w:color w:val="231F20"/>
          <w:spacing w:val="-3"/>
          <w:sz w:val="19"/>
        </w:rPr>
        <w:t>Traffic</w:t>
      </w:r>
      <w:r>
        <w:rPr>
          <w:color w:val="231F20"/>
          <w:spacing w:val="-11"/>
          <w:sz w:val="19"/>
        </w:rPr>
        <w:t xml:space="preserve"> </w:t>
      </w:r>
      <w:r>
        <w:rPr>
          <w:color w:val="231F20"/>
          <w:sz w:val="19"/>
        </w:rPr>
        <w:t>management</w:t>
      </w:r>
      <w:r>
        <w:rPr>
          <w:color w:val="231F20"/>
          <w:spacing w:val="-10"/>
          <w:sz w:val="19"/>
        </w:rPr>
        <w:t xml:space="preserve"> </w:t>
      </w:r>
      <w:r>
        <w:rPr>
          <w:color w:val="231F20"/>
          <w:sz w:val="19"/>
        </w:rPr>
        <w:t>will</w:t>
      </w:r>
      <w:r>
        <w:rPr>
          <w:color w:val="231F20"/>
          <w:spacing w:val="-11"/>
          <w:sz w:val="19"/>
        </w:rPr>
        <w:t xml:space="preserve"> </w:t>
      </w:r>
      <w:r>
        <w:rPr>
          <w:color w:val="231F20"/>
          <w:sz w:val="19"/>
        </w:rPr>
        <w:t>be</w:t>
      </w:r>
      <w:r>
        <w:rPr>
          <w:color w:val="231F20"/>
          <w:spacing w:val="-10"/>
          <w:sz w:val="19"/>
        </w:rPr>
        <w:t xml:space="preserve"> </w:t>
      </w:r>
      <w:r>
        <w:rPr>
          <w:color w:val="231F20"/>
          <w:sz w:val="19"/>
        </w:rPr>
        <w:t>in</w:t>
      </w:r>
      <w:r>
        <w:rPr>
          <w:color w:val="231F20"/>
          <w:spacing w:val="-10"/>
          <w:sz w:val="19"/>
        </w:rPr>
        <w:t xml:space="preserve"> </w:t>
      </w:r>
      <w:r>
        <w:rPr>
          <w:color w:val="231F20"/>
          <w:sz w:val="19"/>
        </w:rPr>
        <w:t>place</w:t>
      </w:r>
      <w:r>
        <w:rPr>
          <w:color w:val="231F20"/>
          <w:spacing w:val="-11"/>
          <w:sz w:val="19"/>
        </w:rPr>
        <w:t xml:space="preserve"> </w:t>
      </w:r>
      <w:r>
        <w:rPr>
          <w:color w:val="231F20"/>
          <w:sz w:val="19"/>
        </w:rPr>
        <w:t>to</w:t>
      </w:r>
      <w:r>
        <w:rPr>
          <w:color w:val="231F20"/>
          <w:spacing w:val="-10"/>
          <w:sz w:val="19"/>
        </w:rPr>
        <w:t xml:space="preserve"> </w:t>
      </w:r>
      <w:r>
        <w:rPr>
          <w:color w:val="231F20"/>
          <w:sz w:val="19"/>
        </w:rPr>
        <w:t>manage</w:t>
      </w:r>
      <w:r>
        <w:rPr>
          <w:color w:val="231F20"/>
          <w:spacing w:val="-10"/>
          <w:sz w:val="19"/>
        </w:rPr>
        <w:t xml:space="preserve"> </w:t>
      </w:r>
      <w:r>
        <w:rPr>
          <w:color w:val="231F20"/>
          <w:sz w:val="19"/>
        </w:rPr>
        <w:t>changed</w:t>
      </w:r>
      <w:r>
        <w:rPr>
          <w:color w:val="231F20"/>
          <w:spacing w:val="-11"/>
          <w:sz w:val="19"/>
        </w:rPr>
        <w:t xml:space="preserve"> </w:t>
      </w:r>
      <w:r>
        <w:rPr>
          <w:color w:val="231F20"/>
          <w:sz w:val="19"/>
        </w:rPr>
        <w:t>conditions</w:t>
      </w:r>
      <w:r>
        <w:rPr>
          <w:color w:val="231F20"/>
          <w:spacing w:val="-10"/>
          <w:sz w:val="19"/>
        </w:rPr>
        <w:t xml:space="preserve"> </w:t>
      </w:r>
      <w:r>
        <w:rPr>
          <w:color w:val="231F20"/>
          <w:sz w:val="19"/>
        </w:rPr>
        <w:t>including</w:t>
      </w:r>
      <w:r>
        <w:rPr>
          <w:color w:val="231F20"/>
          <w:spacing w:val="-10"/>
          <w:sz w:val="19"/>
        </w:rPr>
        <w:t xml:space="preserve"> </w:t>
      </w:r>
      <w:r>
        <w:rPr>
          <w:color w:val="231F20"/>
          <w:sz w:val="19"/>
        </w:rPr>
        <w:t>temporary access,</w:t>
      </w:r>
      <w:r>
        <w:rPr>
          <w:color w:val="231F20"/>
          <w:spacing w:val="-9"/>
          <w:sz w:val="19"/>
        </w:rPr>
        <w:t xml:space="preserve"> </w:t>
      </w:r>
      <w:r>
        <w:rPr>
          <w:color w:val="231F20"/>
          <w:sz w:val="19"/>
        </w:rPr>
        <w:t>changes</w:t>
      </w:r>
      <w:r>
        <w:rPr>
          <w:color w:val="231F20"/>
          <w:spacing w:val="-8"/>
          <w:sz w:val="19"/>
        </w:rPr>
        <w:t xml:space="preserve"> </w:t>
      </w:r>
      <w:r>
        <w:rPr>
          <w:color w:val="231F20"/>
          <w:sz w:val="19"/>
        </w:rPr>
        <w:t>to</w:t>
      </w:r>
      <w:r>
        <w:rPr>
          <w:color w:val="231F20"/>
          <w:spacing w:val="-8"/>
          <w:sz w:val="19"/>
        </w:rPr>
        <w:t xml:space="preserve"> </w:t>
      </w:r>
      <w:r>
        <w:rPr>
          <w:color w:val="231F20"/>
          <w:sz w:val="19"/>
        </w:rPr>
        <w:t>car</w:t>
      </w:r>
      <w:r>
        <w:rPr>
          <w:color w:val="231F20"/>
          <w:spacing w:val="-8"/>
          <w:sz w:val="19"/>
        </w:rPr>
        <w:t xml:space="preserve"> </w:t>
      </w:r>
      <w:r>
        <w:rPr>
          <w:color w:val="231F20"/>
          <w:sz w:val="19"/>
        </w:rPr>
        <w:t>parking</w:t>
      </w:r>
      <w:r>
        <w:rPr>
          <w:color w:val="231F20"/>
          <w:spacing w:val="-9"/>
          <w:sz w:val="19"/>
        </w:rPr>
        <w:t xml:space="preserve"> </w:t>
      </w:r>
      <w:r>
        <w:rPr>
          <w:color w:val="231F20"/>
          <w:sz w:val="19"/>
        </w:rPr>
        <w:t>spaces</w:t>
      </w:r>
      <w:r>
        <w:rPr>
          <w:color w:val="231F20"/>
          <w:spacing w:val="-8"/>
          <w:sz w:val="19"/>
        </w:rPr>
        <w:t xml:space="preserve"> </w:t>
      </w:r>
      <w:r>
        <w:rPr>
          <w:color w:val="231F20"/>
          <w:sz w:val="19"/>
        </w:rPr>
        <w:t>and</w:t>
      </w:r>
      <w:r>
        <w:rPr>
          <w:color w:val="231F20"/>
          <w:spacing w:val="-8"/>
          <w:sz w:val="19"/>
        </w:rPr>
        <w:t xml:space="preserve"> </w:t>
      </w:r>
      <w:r>
        <w:rPr>
          <w:color w:val="231F20"/>
          <w:sz w:val="19"/>
        </w:rPr>
        <w:t>signage</w:t>
      </w:r>
      <w:r>
        <w:rPr>
          <w:color w:val="231F20"/>
          <w:spacing w:val="-8"/>
          <w:sz w:val="19"/>
        </w:rPr>
        <w:t xml:space="preserve"> </w:t>
      </w:r>
      <w:r>
        <w:rPr>
          <w:color w:val="231F20"/>
          <w:sz w:val="19"/>
        </w:rPr>
        <w:t>to</w:t>
      </w:r>
      <w:r>
        <w:rPr>
          <w:color w:val="231F20"/>
          <w:spacing w:val="-8"/>
          <w:sz w:val="19"/>
        </w:rPr>
        <w:t xml:space="preserve"> </w:t>
      </w:r>
      <w:r>
        <w:rPr>
          <w:color w:val="231F20"/>
          <w:sz w:val="19"/>
        </w:rPr>
        <w:t>guide</w:t>
      </w:r>
      <w:r>
        <w:rPr>
          <w:color w:val="231F20"/>
          <w:spacing w:val="-9"/>
          <w:sz w:val="19"/>
        </w:rPr>
        <w:t xml:space="preserve"> </w:t>
      </w:r>
      <w:r>
        <w:rPr>
          <w:color w:val="231F20"/>
          <w:sz w:val="19"/>
        </w:rPr>
        <w:t>road</w:t>
      </w:r>
      <w:r>
        <w:rPr>
          <w:color w:val="231F20"/>
          <w:spacing w:val="-8"/>
          <w:sz w:val="19"/>
        </w:rPr>
        <w:t xml:space="preserve"> </w:t>
      </w:r>
      <w:r>
        <w:rPr>
          <w:color w:val="231F20"/>
          <w:sz w:val="19"/>
        </w:rPr>
        <w:t>users</w:t>
      </w:r>
      <w:r>
        <w:rPr>
          <w:color w:val="231F20"/>
          <w:spacing w:val="-8"/>
          <w:sz w:val="19"/>
        </w:rPr>
        <w:t xml:space="preserve"> </w:t>
      </w:r>
      <w:r>
        <w:rPr>
          <w:color w:val="231F20"/>
          <w:sz w:val="19"/>
        </w:rPr>
        <w:t>and</w:t>
      </w:r>
      <w:r>
        <w:rPr>
          <w:color w:val="231F20"/>
          <w:spacing w:val="-8"/>
          <w:sz w:val="19"/>
        </w:rPr>
        <w:t xml:space="preserve"> </w:t>
      </w:r>
      <w:r>
        <w:rPr>
          <w:color w:val="231F20"/>
          <w:sz w:val="19"/>
        </w:rPr>
        <w:t>cyclists.</w:t>
      </w:r>
    </w:p>
    <w:p w:rsidR="00E06140" w:rsidRDefault="00CA6675">
      <w:pPr>
        <w:pStyle w:val="ListParagraph"/>
        <w:numPr>
          <w:ilvl w:val="0"/>
          <w:numId w:val="1"/>
        </w:numPr>
        <w:tabs>
          <w:tab w:val="left" w:pos="335"/>
        </w:tabs>
        <w:spacing w:before="85"/>
        <w:ind w:hanging="228"/>
        <w:rPr>
          <w:sz w:val="19"/>
        </w:rPr>
      </w:pPr>
      <w:r>
        <w:rPr>
          <w:color w:val="231F20"/>
          <w:sz w:val="19"/>
        </w:rPr>
        <w:t>Dust will be managed on</w:t>
      </w:r>
      <w:r>
        <w:rPr>
          <w:color w:val="231F20"/>
          <w:spacing w:val="-4"/>
          <w:sz w:val="19"/>
        </w:rPr>
        <w:t xml:space="preserve"> </w:t>
      </w:r>
      <w:r>
        <w:rPr>
          <w:color w:val="231F20"/>
          <w:sz w:val="19"/>
        </w:rPr>
        <w:t>site.</w:t>
      </w:r>
    </w:p>
    <w:p w:rsidR="00E06140" w:rsidRDefault="00CA6675">
      <w:pPr>
        <w:pStyle w:val="ListParagraph"/>
        <w:numPr>
          <w:ilvl w:val="0"/>
          <w:numId w:val="1"/>
        </w:numPr>
        <w:tabs>
          <w:tab w:val="left" w:pos="335"/>
        </w:tabs>
        <w:ind w:hanging="228"/>
        <w:rPr>
          <w:sz w:val="19"/>
        </w:rPr>
      </w:pPr>
      <w:r>
        <w:rPr>
          <w:color w:val="231F20"/>
          <w:sz w:val="19"/>
        </w:rPr>
        <w:t>Some construction activities can create increased levels of noise and</w:t>
      </w:r>
      <w:r>
        <w:rPr>
          <w:color w:val="231F20"/>
          <w:spacing w:val="-3"/>
          <w:sz w:val="19"/>
        </w:rPr>
        <w:t xml:space="preserve"> </w:t>
      </w:r>
      <w:r>
        <w:rPr>
          <w:color w:val="231F20"/>
          <w:sz w:val="19"/>
        </w:rPr>
        <w:t>vibration.</w:t>
      </w:r>
    </w:p>
    <w:p w:rsidR="00E06140" w:rsidRDefault="00CA6675">
      <w:pPr>
        <w:pStyle w:val="BodyText"/>
        <w:spacing w:before="168" w:line="249" w:lineRule="auto"/>
        <w:ind w:left="107" w:right="939"/>
      </w:pPr>
      <w:r>
        <w:rPr>
          <w:color w:val="231F20"/>
        </w:rPr>
        <w:t>Assessments</w:t>
      </w:r>
      <w:r>
        <w:rPr>
          <w:color w:val="231F20"/>
          <w:spacing w:val="-10"/>
        </w:rPr>
        <w:t xml:space="preserve"> </w:t>
      </w:r>
      <w:r>
        <w:rPr>
          <w:color w:val="231F20"/>
          <w:spacing w:val="-3"/>
        </w:rPr>
        <w:t>have</w:t>
      </w:r>
      <w:r>
        <w:rPr>
          <w:color w:val="231F20"/>
          <w:spacing w:val="-9"/>
        </w:rPr>
        <w:t xml:space="preserve"> </w:t>
      </w:r>
      <w:r>
        <w:rPr>
          <w:color w:val="231F20"/>
        </w:rPr>
        <w:t>been</w:t>
      </w:r>
      <w:r>
        <w:rPr>
          <w:color w:val="231F20"/>
          <w:spacing w:val="-9"/>
        </w:rPr>
        <w:t xml:space="preserve"> </w:t>
      </w:r>
      <w:r>
        <w:rPr>
          <w:color w:val="231F20"/>
        </w:rPr>
        <w:t>conducted,</w:t>
      </w:r>
      <w:r>
        <w:rPr>
          <w:color w:val="231F20"/>
          <w:spacing w:val="-10"/>
        </w:rPr>
        <w:t xml:space="preserve"> </w:t>
      </w:r>
      <w:r>
        <w:rPr>
          <w:color w:val="231F20"/>
        </w:rPr>
        <w:t>which</w:t>
      </w:r>
      <w:r>
        <w:rPr>
          <w:color w:val="231F20"/>
          <w:spacing w:val="-9"/>
        </w:rPr>
        <w:t xml:space="preserve"> </w:t>
      </w:r>
      <w:r>
        <w:rPr>
          <w:color w:val="231F20"/>
        </w:rPr>
        <w:t>indicate</w:t>
      </w:r>
      <w:r>
        <w:rPr>
          <w:color w:val="231F20"/>
          <w:spacing w:val="-9"/>
        </w:rPr>
        <w:t xml:space="preserve"> </w:t>
      </w:r>
      <w:r>
        <w:rPr>
          <w:color w:val="231F20"/>
        </w:rPr>
        <w:t>the</w:t>
      </w:r>
      <w:r>
        <w:rPr>
          <w:color w:val="231F20"/>
          <w:spacing w:val="-9"/>
        </w:rPr>
        <w:t xml:space="preserve"> </w:t>
      </w:r>
      <w:r>
        <w:rPr>
          <w:color w:val="231F20"/>
        </w:rPr>
        <w:t>noise</w:t>
      </w:r>
      <w:r>
        <w:rPr>
          <w:color w:val="231F20"/>
          <w:spacing w:val="-10"/>
        </w:rPr>
        <w:t xml:space="preserve"> </w:t>
      </w:r>
      <w:r>
        <w:rPr>
          <w:color w:val="231F20"/>
        </w:rPr>
        <w:t>and</w:t>
      </w:r>
      <w:r>
        <w:rPr>
          <w:color w:val="231F20"/>
          <w:spacing w:val="-9"/>
        </w:rPr>
        <w:t xml:space="preserve"> </w:t>
      </w:r>
      <w:r>
        <w:rPr>
          <w:color w:val="231F20"/>
        </w:rPr>
        <w:t>vibration</w:t>
      </w:r>
      <w:r>
        <w:rPr>
          <w:color w:val="231F20"/>
          <w:spacing w:val="-9"/>
        </w:rPr>
        <w:t xml:space="preserve"> </w:t>
      </w:r>
      <w:r>
        <w:rPr>
          <w:color w:val="231F20"/>
          <w:spacing w:val="-3"/>
        </w:rPr>
        <w:t>levels</w:t>
      </w:r>
      <w:r>
        <w:rPr>
          <w:color w:val="231F20"/>
          <w:spacing w:val="-9"/>
        </w:rPr>
        <w:t xml:space="preserve"> </w:t>
      </w:r>
      <w:r>
        <w:rPr>
          <w:color w:val="231F20"/>
        </w:rPr>
        <w:t>are</w:t>
      </w:r>
      <w:r>
        <w:rPr>
          <w:color w:val="231F20"/>
          <w:spacing w:val="-10"/>
        </w:rPr>
        <w:t xml:space="preserve"> </w:t>
      </w:r>
      <w:r>
        <w:rPr>
          <w:color w:val="231F20"/>
        </w:rPr>
        <w:t>expected</w:t>
      </w:r>
      <w:r>
        <w:rPr>
          <w:color w:val="231F20"/>
          <w:spacing w:val="-9"/>
        </w:rPr>
        <w:t xml:space="preserve"> </w:t>
      </w:r>
      <w:r>
        <w:rPr>
          <w:color w:val="231F20"/>
        </w:rPr>
        <w:t>to</w:t>
      </w:r>
      <w:r>
        <w:rPr>
          <w:color w:val="231F20"/>
          <w:spacing w:val="-9"/>
        </w:rPr>
        <w:t xml:space="preserve"> </w:t>
      </w:r>
      <w:r>
        <w:rPr>
          <w:color w:val="231F20"/>
        </w:rPr>
        <w:t>remain within</w:t>
      </w:r>
      <w:r>
        <w:rPr>
          <w:color w:val="231F20"/>
          <w:spacing w:val="-9"/>
        </w:rPr>
        <w:t xml:space="preserve"> </w:t>
      </w:r>
      <w:r>
        <w:rPr>
          <w:color w:val="231F20"/>
        </w:rPr>
        <w:t>permissible</w:t>
      </w:r>
      <w:r>
        <w:rPr>
          <w:color w:val="231F20"/>
          <w:spacing w:val="-9"/>
        </w:rPr>
        <w:t xml:space="preserve"> </w:t>
      </w:r>
      <w:r>
        <w:rPr>
          <w:color w:val="231F20"/>
          <w:spacing w:val="-3"/>
        </w:rPr>
        <w:t>levels</w:t>
      </w:r>
      <w:r>
        <w:rPr>
          <w:color w:val="231F20"/>
          <w:spacing w:val="-9"/>
        </w:rPr>
        <w:t xml:space="preserve"> </w:t>
      </w:r>
      <w:r>
        <w:rPr>
          <w:color w:val="231F20"/>
        </w:rPr>
        <w:t>as</w:t>
      </w:r>
      <w:r>
        <w:rPr>
          <w:color w:val="231F20"/>
          <w:spacing w:val="-9"/>
        </w:rPr>
        <w:t xml:space="preserve"> </w:t>
      </w:r>
      <w:r>
        <w:rPr>
          <w:color w:val="231F20"/>
        </w:rPr>
        <w:t>documented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project’s</w:t>
      </w:r>
      <w:r>
        <w:rPr>
          <w:color w:val="231F20"/>
          <w:spacing w:val="-8"/>
        </w:rPr>
        <w:t xml:space="preserve"> </w:t>
      </w:r>
      <w:r>
        <w:rPr>
          <w:color w:val="231F20"/>
        </w:rPr>
        <w:t>Environmental</w:t>
      </w:r>
      <w:r>
        <w:rPr>
          <w:color w:val="231F20"/>
          <w:spacing w:val="-9"/>
        </w:rPr>
        <w:t xml:space="preserve"> </w:t>
      </w:r>
      <w:r>
        <w:rPr>
          <w:color w:val="231F20"/>
        </w:rPr>
        <w:t>Performance</w:t>
      </w:r>
      <w:r>
        <w:rPr>
          <w:color w:val="231F20"/>
          <w:spacing w:val="-9"/>
        </w:rPr>
        <w:t xml:space="preserve"> </w:t>
      </w:r>
      <w:r>
        <w:rPr>
          <w:color w:val="231F20"/>
        </w:rPr>
        <w:t>Requirements.</w:t>
      </w:r>
    </w:p>
    <w:p w:rsidR="00E06140" w:rsidRDefault="00E06140">
      <w:pPr>
        <w:pStyle w:val="BodyText"/>
        <w:spacing w:before="5"/>
        <w:rPr>
          <w:sz w:val="20"/>
        </w:rPr>
      </w:pPr>
    </w:p>
    <w:p w:rsidR="00E06140" w:rsidRPr="00CA6675" w:rsidRDefault="00CA6675">
      <w:pPr>
        <w:pStyle w:val="Heading1"/>
        <w:spacing w:line="228" w:lineRule="auto"/>
        <w:ind w:right="1522"/>
      </w:pPr>
      <w:r w:rsidRPr="00CA6675">
        <w:rPr>
          <w:color w:val="424250"/>
          <w:spacing w:val="-6"/>
        </w:rPr>
        <w:t xml:space="preserve">We </w:t>
      </w:r>
      <w:r w:rsidRPr="00CA6675">
        <w:rPr>
          <w:color w:val="424250"/>
        </w:rPr>
        <w:t xml:space="preserve">thank you for your patience during these works. </w:t>
      </w:r>
      <w:r w:rsidRPr="00CA6675">
        <w:rPr>
          <w:color w:val="424250"/>
          <w:spacing w:val="-6"/>
        </w:rPr>
        <w:t xml:space="preserve">We </w:t>
      </w:r>
      <w:r w:rsidRPr="00CA6675">
        <w:rPr>
          <w:color w:val="424250"/>
          <w:spacing w:val="-3"/>
        </w:rPr>
        <w:t xml:space="preserve">will </w:t>
      </w:r>
      <w:r w:rsidRPr="00CA6675">
        <w:rPr>
          <w:color w:val="424250"/>
        </w:rPr>
        <w:t>continue to notify you as these works progress.</w:t>
      </w:r>
    </w:p>
    <w:p w:rsidR="00E06140" w:rsidRDefault="00E06140">
      <w:pPr>
        <w:pStyle w:val="BodyText"/>
        <w:rPr>
          <w:rFonts w:ascii="Europa-Bold"/>
          <w:b/>
          <w:sz w:val="20"/>
        </w:rPr>
      </w:pPr>
    </w:p>
    <w:p w:rsidR="00E06140" w:rsidRDefault="00E06140">
      <w:pPr>
        <w:pStyle w:val="BodyText"/>
        <w:rPr>
          <w:rFonts w:ascii="Europa-Bold"/>
          <w:b/>
          <w:sz w:val="20"/>
        </w:rPr>
      </w:pPr>
    </w:p>
    <w:p w:rsidR="00E06140" w:rsidRDefault="00E06140">
      <w:pPr>
        <w:pStyle w:val="BodyText"/>
        <w:rPr>
          <w:rFonts w:ascii="Europa-Bold"/>
          <w:b/>
          <w:sz w:val="20"/>
        </w:rPr>
      </w:pPr>
    </w:p>
    <w:p w:rsidR="00E06140" w:rsidRDefault="00E06140">
      <w:pPr>
        <w:rPr>
          <w:rFonts w:ascii="Europa-Bold"/>
          <w:sz w:val="20"/>
        </w:rPr>
        <w:sectPr w:rsidR="00E06140">
          <w:pgSz w:w="11910" w:h="16840"/>
          <w:pgMar w:top="1100" w:right="620" w:bottom="0" w:left="1140" w:header="720" w:footer="720" w:gutter="0"/>
          <w:cols w:space="720"/>
        </w:sectPr>
      </w:pPr>
    </w:p>
    <w:p w:rsidR="00E06140" w:rsidRDefault="00E06140">
      <w:pPr>
        <w:pStyle w:val="BodyText"/>
        <w:spacing w:before="4"/>
        <w:rPr>
          <w:rFonts w:ascii="Europa-Bold"/>
          <w:b/>
          <w:sz w:val="20"/>
        </w:rPr>
      </w:pPr>
    </w:p>
    <w:p w:rsidR="00E06140" w:rsidRDefault="00CA6675">
      <w:pPr>
        <w:spacing w:before="1" w:line="249" w:lineRule="auto"/>
        <w:ind w:left="107"/>
        <w:rPr>
          <w:b/>
          <w:sz w:val="16"/>
        </w:rPr>
      </w:pPr>
      <w:r>
        <w:rPr>
          <w:b/>
          <w:color w:val="343644"/>
          <w:sz w:val="16"/>
        </w:rPr>
        <w:t xml:space="preserve">westgatetunnelproject.vic.gov.au </w:t>
      </w:r>
      <w:hyperlink r:id="rId12">
        <w:r>
          <w:rPr>
            <w:b/>
            <w:color w:val="343644"/>
            <w:sz w:val="16"/>
          </w:rPr>
          <w:t>info@wgta.vic.gov.au</w:t>
        </w:r>
      </w:hyperlink>
    </w:p>
    <w:p w:rsidR="00E06140" w:rsidRDefault="00CA6675">
      <w:pPr>
        <w:spacing w:before="1"/>
        <w:ind w:left="107"/>
        <w:rPr>
          <w:b/>
          <w:sz w:val="16"/>
        </w:rPr>
      </w:pPr>
      <w:r>
        <w:rPr>
          <w:b/>
          <w:color w:val="343644"/>
          <w:sz w:val="16"/>
        </w:rPr>
        <w:t>1800 105 105</w:t>
      </w:r>
    </w:p>
    <w:p w:rsidR="00E06140" w:rsidRDefault="00CA6675">
      <w:pPr>
        <w:spacing w:before="65" w:line="249" w:lineRule="auto"/>
        <w:ind w:left="107"/>
        <w:rPr>
          <w:sz w:val="16"/>
        </w:rPr>
      </w:pPr>
      <w:r>
        <w:rPr>
          <w:color w:val="343644"/>
          <w:sz w:val="16"/>
        </w:rPr>
        <w:t>West Gate Tunnel Project Info Centre Corner of Somerville Rd and Whitehall St Yarraville VIC 3013</w:t>
      </w:r>
    </w:p>
    <w:p w:rsidR="00E06140" w:rsidRDefault="00CA6675">
      <w:pPr>
        <w:pStyle w:val="BodyText"/>
        <w:spacing w:before="3"/>
        <w:rPr>
          <w:sz w:val="22"/>
        </w:rPr>
      </w:pPr>
      <w:r>
        <w:br w:type="column"/>
      </w:r>
    </w:p>
    <w:p w:rsidR="00E06140" w:rsidRDefault="00CA6675">
      <w:pPr>
        <w:tabs>
          <w:tab w:val="left" w:pos="3225"/>
        </w:tabs>
        <w:spacing w:before="1" w:line="194" w:lineRule="exact"/>
        <w:ind w:left="1001"/>
        <w:rPr>
          <w:sz w:val="16"/>
        </w:rPr>
      </w:pP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Please</w:t>
      </w:r>
      <w:r>
        <w:rPr>
          <w:color w:val="343644"/>
          <w:spacing w:val="-9"/>
          <w:position w:val="1"/>
          <w:sz w:val="16"/>
        </w:rPr>
        <w:t xml:space="preserve"> </w:t>
      </w:r>
      <w:r>
        <w:rPr>
          <w:color w:val="343644"/>
          <w:spacing w:val="-5"/>
          <w:position w:val="1"/>
          <w:sz w:val="16"/>
        </w:rPr>
        <w:t>contact</w:t>
      </w:r>
      <w:r>
        <w:rPr>
          <w:color w:val="343644"/>
          <w:spacing w:val="-10"/>
          <w:position w:val="1"/>
          <w:sz w:val="16"/>
        </w:rPr>
        <w:t xml:space="preserve"> </w:t>
      </w:r>
      <w:r>
        <w:rPr>
          <w:color w:val="343644"/>
          <w:spacing w:val="-3"/>
          <w:position w:val="1"/>
          <w:sz w:val="16"/>
        </w:rPr>
        <w:t>us</w:t>
      </w:r>
      <w:r>
        <w:rPr>
          <w:color w:val="343644"/>
          <w:spacing w:val="-9"/>
          <w:position w:val="1"/>
          <w:sz w:val="16"/>
        </w:rPr>
        <w:t xml:space="preserve"> </w:t>
      </w:r>
      <w:r>
        <w:rPr>
          <w:color w:val="343644"/>
          <w:spacing w:val="-3"/>
          <w:position w:val="1"/>
          <w:sz w:val="16"/>
        </w:rPr>
        <w:t>if</w:t>
      </w:r>
      <w:r>
        <w:rPr>
          <w:color w:val="343644"/>
          <w:spacing w:val="-9"/>
          <w:position w:val="1"/>
          <w:sz w:val="16"/>
        </w:rPr>
        <w:t xml:space="preserve"> </w:t>
      </w:r>
      <w:r>
        <w:rPr>
          <w:color w:val="343644"/>
          <w:spacing w:val="-4"/>
          <w:position w:val="1"/>
          <w:sz w:val="16"/>
        </w:rPr>
        <w:t>you</w:t>
      </w:r>
      <w:r>
        <w:rPr>
          <w:color w:val="343644"/>
          <w:spacing w:val="-9"/>
          <w:position w:val="1"/>
          <w:sz w:val="16"/>
        </w:rPr>
        <w:t xml:space="preserve"> </w:t>
      </w:r>
      <w:r>
        <w:rPr>
          <w:color w:val="343644"/>
          <w:spacing w:val="-4"/>
          <w:position w:val="1"/>
          <w:sz w:val="16"/>
        </w:rPr>
        <w:t>would</w:t>
      </w:r>
      <w:r>
        <w:rPr>
          <w:color w:val="343644"/>
          <w:spacing w:val="-10"/>
          <w:position w:val="1"/>
          <w:sz w:val="16"/>
        </w:rPr>
        <w:t xml:space="preserve"> </w:t>
      </w:r>
      <w:r>
        <w:rPr>
          <w:color w:val="343644"/>
          <w:spacing w:val="-4"/>
          <w:position w:val="1"/>
          <w:sz w:val="16"/>
        </w:rPr>
        <w:t>like</w:t>
      </w:r>
      <w:r>
        <w:rPr>
          <w:color w:val="343644"/>
          <w:spacing w:val="-9"/>
          <w:position w:val="1"/>
          <w:sz w:val="16"/>
        </w:rPr>
        <w:t xml:space="preserve"> </w:t>
      </w:r>
      <w:r>
        <w:rPr>
          <w:color w:val="343644"/>
          <w:spacing w:val="-5"/>
          <w:position w:val="1"/>
          <w:sz w:val="16"/>
        </w:rPr>
        <w:t>this</w:t>
      </w:r>
    </w:p>
    <w:p w:rsidR="00E06140" w:rsidRDefault="00CA6675">
      <w:pPr>
        <w:spacing w:line="184" w:lineRule="exact"/>
        <w:ind w:left="3225"/>
        <w:rPr>
          <w:sz w:val="16"/>
        </w:rPr>
      </w:pPr>
      <w:r>
        <w:rPr>
          <w:color w:val="343644"/>
          <w:sz w:val="16"/>
        </w:rPr>
        <w:t>information in an accessible format.</w:t>
      </w:r>
    </w:p>
    <w:p w:rsidR="00E06140" w:rsidRDefault="00E06140">
      <w:pPr>
        <w:pStyle w:val="BodyText"/>
        <w:spacing w:before="4"/>
      </w:pPr>
    </w:p>
    <w:p w:rsidR="00E06140" w:rsidRDefault="00CA6675">
      <w:pPr>
        <w:spacing w:before="1" w:line="249" w:lineRule="auto"/>
        <w:ind w:left="107" w:right="332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p w:rsidR="00E06140" w:rsidRDefault="00E06140">
      <w:pPr>
        <w:spacing w:line="249" w:lineRule="auto"/>
        <w:rPr>
          <w:sz w:val="16"/>
        </w:rPr>
        <w:sectPr w:rsidR="00E06140">
          <w:type w:val="continuous"/>
          <w:pgSz w:w="11910" w:h="16840"/>
          <w:pgMar w:top="1580" w:right="620" w:bottom="280" w:left="1140" w:header="720" w:footer="720" w:gutter="0"/>
          <w:cols w:num="2" w:space="720" w:equalWidth="0">
            <w:col w:w="3122" w:space="790"/>
            <w:col w:w="6238"/>
          </w:cols>
        </w:sectPr>
      </w:pPr>
    </w:p>
    <w:p w:rsidR="00E06140" w:rsidRDefault="00CA6675">
      <w:pPr>
        <w:pStyle w:val="BodyText"/>
        <w:rPr>
          <w:sz w:val="20"/>
        </w:rPr>
      </w:pPr>
      <w:r>
        <w:rPr>
          <w:noProof/>
        </w:rPr>
        <w:drawing>
          <wp:anchor distT="0" distB="0" distL="0" distR="0" simplePos="0" relativeHeight="251556864" behindDoc="1" locked="0" layoutInCell="1" allowOverlap="1">
            <wp:simplePos x="0" y="0"/>
            <wp:positionH relativeFrom="page">
              <wp:posOffset>0</wp:posOffset>
            </wp:positionH>
            <wp:positionV relativeFrom="page">
              <wp:posOffset>8775003</wp:posOffset>
            </wp:positionV>
            <wp:extent cx="7560005" cy="1916998"/>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7560005" cy="1916998"/>
                    </a:xfrm>
                    <a:prstGeom prst="rect">
                      <a:avLst/>
                    </a:prstGeom>
                  </pic:spPr>
                </pic:pic>
              </a:graphicData>
            </a:graphic>
          </wp:anchor>
        </w:drawing>
      </w:r>
    </w:p>
    <w:p w:rsidR="00E06140" w:rsidRDefault="00E06140">
      <w:pPr>
        <w:pStyle w:val="BodyText"/>
        <w:rPr>
          <w:sz w:val="20"/>
        </w:rPr>
      </w:pPr>
    </w:p>
    <w:p w:rsidR="00E06140" w:rsidRDefault="00E06140">
      <w:pPr>
        <w:pStyle w:val="BodyText"/>
        <w:rPr>
          <w:sz w:val="20"/>
        </w:rPr>
      </w:pPr>
    </w:p>
    <w:p w:rsidR="00E06140" w:rsidRDefault="00E06140">
      <w:pPr>
        <w:pStyle w:val="BodyText"/>
        <w:spacing w:before="9"/>
        <w:rPr>
          <w:sz w:val="17"/>
        </w:rPr>
      </w:pPr>
    </w:p>
    <w:p w:rsidR="00E06140" w:rsidRDefault="00CA6675">
      <w:pPr>
        <w:spacing w:before="98"/>
        <w:ind w:left="6128"/>
        <w:rPr>
          <w:sz w:val="12"/>
        </w:rPr>
      </w:pPr>
      <w:proofErr w:type="spellStart"/>
      <w:r>
        <w:rPr>
          <w:color w:val="343644"/>
          <w:sz w:val="12"/>
        </w:rPr>
        <w:t>Authorised</w:t>
      </w:r>
      <w:proofErr w:type="spellEnd"/>
      <w:r>
        <w:rPr>
          <w:color w:val="343644"/>
          <w:sz w:val="12"/>
        </w:rPr>
        <w:t xml:space="preserve"> by the Victorian Government, 1 Treasury Place, Melbourne</w:t>
      </w:r>
    </w:p>
    <w:sectPr w:rsidR="00E06140">
      <w:type w:val="continuous"/>
      <w:pgSz w:w="11910" w:h="16840"/>
      <w:pgMar w:top="158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ropa-Bold">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7F45"/>
    <w:multiLevelType w:val="hybridMultilevel"/>
    <w:tmpl w:val="B0D4454C"/>
    <w:lvl w:ilvl="0" w:tplc="DB96A71C">
      <w:numFmt w:val="bullet"/>
      <w:lvlText w:val="•"/>
      <w:lvlJc w:val="left"/>
      <w:pPr>
        <w:ind w:left="334" w:hanging="227"/>
      </w:pPr>
      <w:rPr>
        <w:rFonts w:ascii="Europa-Bold" w:eastAsia="Europa-Bold" w:hAnsi="Europa-Bold" w:cs="Europa-Bold" w:hint="default"/>
        <w:b/>
        <w:bCs/>
        <w:color w:val="231F20"/>
        <w:spacing w:val="-6"/>
        <w:w w:val="100"/>
        <w:sz w:val="19"/>
        <w:szCs w:val="19"/>
        <w:lang w:val="en-US" w:eastAsia="en-US" w:bidi="en-US"/>
      </w:rPr>
    </w:lvl>
    <w:lvl w:ilvl="1" w:tplc="66509242">
      <w:numFmt w:val="bullet"/>
      <w:lvlText w:val="•"/>
      <w:lvlJc w:val="left"/>
      <w:pPr>
        <w:ind w:left="1320" w:hanging="227"/>
      </w:pPr>
      <w:rPr>
        <w:rFonts w:hint="default"/>
        <w:lang w:val="en-US" w:eastAsia="en-US" w:bidi="en-US"/>
      </w:rPr>
    </w:lvl>
    <w:lvl w:ilvl="2" w:tplc="921CCCE2">
      <w:numFmt w:val="bullet"/>
      <w:lvlText w:val="•"/>
      <w:lvlJc w:val="left"/>
      <w:pPr>
        <w:ind w:left="2301" w:hanging="227"/>
      </w:pPr>
      <w:rPr>
        <w:rFonts w:hint="default"/>
        <w:lang w:val="en-US" w:eastAsia="en-US" w:bidi="en-US"/>
      </w:rPr>
    </w:lvl>
    <w:lvl w:ilvl="3" w:tplc="AF46A928">
      <w:numFmt w:val="bullet"/>
      <w:lvlText w:val="•"/>
      <w:lvlJc w:val="left"/>
      <w:pPr>
        <w:ind w:left="3281" w:hanging="227"/>
      </w:pPr>
      <w:rPr>
        <w:rFonts w:hint="default"/>
        <w:lang w:val="en-US" w:eastAsia="en-US" w:bidi="en-US"/>
      </w:rPr>
    </w:lvl>
    <w:lvl w:ilvl="4" w:tplc="D9541B9A">
      <w:numFmt w:val="bullet"/>
      <w:lvlText w:val="•"/>
      <w:lvlJc w:val="left"/>
      <w:pPr>
        <w:ind w:left="4262" w:hanging="227"/>
      </w:pPr>
      <w:rPr>
        <w:rFonts w:hint="default"/>
        <w:lang w:val="en-US" w:eastAsia="en-US" w:bidi="en-US"/>
      </w:rPr>
    </w:lvl>
    <w:lvl w:ilvl="5" w:tplc="32484F12">
      <w:numFmt w:val="bullet"/>
      <w:lvlText w:val="•"/>
      <w:lvlJc w:val="left"/>
      <w:pPr>
        <w:ind w:left="5242" w:hanging="227"/>
      </w:pPr>
      <w:rPr>
        <w:rFonts w:hint="default"/>
        <w:lang w:val="en-US" w:eastAsia="en-US" w:bidi="en-US"/>
      </w:rPr>
    </w:lvl>
    <w:lvl w:ilvl="6" w:tplc="DA881118">
      <w:numFmt w:val="bullet"/>
      <w:lvlText w:val="•"/>
      <w:lvlJc w:val="left"/>
      <w:pPr>
        <w:ind w:left="6223" w:hanging="227"/>
      </w:pPr>
      <w:rPr>
        <w:rFonts w:hint="default"/>
        <w:lang w:val="en-US" w:eastAsia="en-US" w:bidi="en-US"/>
      </w:rPr>
    </w:lvl>
    <w:lvl w:ilvl="7" w:tplc="216CA34C">
      <w:numFmt w:val="bullet"/>
      <w:lvlText w:val="•"/>
      <w:lvlJc w:val="left"/>
      <w:pPr>
        <w:ind w:left="7203" w:hanging="227"/>
      </w:pPr>
      <w:rPr>
        <w:rFonts w:hint="default"/>
        <w:lang w:val="en-US" w:eastAsia="en-US" w:bidi="en-US"/>
      </w:rPr>
    </w:lvl>
    <w:lvl w:ilvl="8" w:tplc="3EE07C2A">
      <w:numFmt w:val="bullet"/>
      <w:lvlText w:val="•"/>
      <w:lvlJc w:val="left"/>
      <w:pPr>
        <w:ind w:left="8184"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06140"/>
    <w:rsid w:val="003F7F00"/>
    <w:rsid w:val="00CA6675"/>
    <w:rsid w:val="00E06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57E30CE-8BB8-4679-9FF0-610379AA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72"/>
      <w:ind w:left="334" w:hanging="2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7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0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gta.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3UE6NPRFMZNX-254032258-8743</_dlc_DocId>
    <_dlc_DocIdUrl xmlns="5f3dec1c-4caf-44d7-995f-e4c50bdfc3e1">
      <Url>https://transurbangroup.sharepoint.com/sites/wgtp/_layouts/15/DocIdRedir.aspx?ID=3UE6NPRFMZNX-254032258-8743</Url>
      <Description>3UE6NPRFMZNX-254032258-8743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0A990-BFF2-44C4-B727-5B270C19FD7E}">
  <ds:schemaRefs>
    <ds:schemaRef ds:uri="http://schemas.microsoft.com/sharepoint/events"/>
  </ds:schemaRefs>
</ds:datastoreItem>
</file>

<file path=customXml/itemProps2.xml><?xml version="1.0" encoding="utf-8"?>
<ds:datastoreItem xmlns:ds="http://schemas.openxmlformats.org/officeDocument/2006/customXml" ds:itemID="{C6F54BAC-1F14-412D-8D1B-3413C12E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552E5-BC45-4354-8A57-B25087155162}">
  <ds:schemaRefs>
    <ds:schemaRef ds:uri="http://purl.org/dc/terms/"/>
    <ds:schemaRef ds:uri="http://schemas.microsoft.com/office/2006/documentManagement/types"/>
    <ds:schemaRef ds:uri="5f3dec1c-4caf-44d7-995f-e4c50bdfc3e1"/>
    <ds:schemaRef ds:uri="d1a842e8-7505-41e5-873c-1979602d247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F643B2-9213-4FB2-8592-F4504692B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Fairley (MTIA)</dc:creator>
  <cp:lastModifiedBy>Rebecca Fairley (MTIA)</cp:lastModifiedBy>
  <cp:revision>2</cp:revision>
  <cp:lastPrinted>2020-02-20T01:13:00Z</cp:lastPrinted>
  <dcterms:created xsi:type="dcterms:W3CDTF">2020-02-20T01:15:00Z</dcterms:created>
  <dcterms:modified xsi:type="dcterms:W3CDTF">2020-02-20T01:15:00Z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Adobe InDesign 15.0 (Windows)</vt:lpwstr>
  </property>
  <property fmtid="{D5CDD505-2E9C-101B-9397-08002B2CF9AE}" pid="4" name="LastSaved">
    <vt:filetime>2020-02-19T00:00:00Z</vt:filetime>
  </property>
  <property fmtid="{D5CDD505-2E9C-101B-9397-08002B2CF9AE}" pid="5" name="ContentTypeId">
    <vt:lpwstr>0x0101001B1FB6B870228147A8239A8E87BF514F</vt:lpwstr>
  </property>
  <property fmtid="{D5CDD505-2E9C-101B-9397-08002B2CF9AE}" pid="6" name="_dlc_DocIdItemGuid">
    <vt:lpwstr>bb0eecbb-dd5b-4863-982a-2bb760792920</vt:lpwstr>
  </property>
</Properties>
</file>