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5FBA5B8C" w:rsidR="006A7B89" w:rsidRPr="00F2597D" w:rsidRDefault="00656541" w:rsidP="006A7B89">
      <w:pPr>
        <w:pStyle w:val="CoverChapter"/>
      </w:pPr>
      <w:r>
        <w:rPr>
          <w:noProof/>
        </w:rPr>
        <w:fldChar w:fldCharType="begin"/>
      </w:r>
      <w:r w:rsidRPr="00F2597D">
        <w:rPr>
          <w:noProof/>
        </w:rPr>
        <w:instrText xml:space="preserve"> STYLEREF  "Heading 1" \n  \* MERGEFORMAT </w:instrText>
      </w:r>
      <w:r>
        <w:rPr>
          <w:noProof/>
        </w:rPr>
        <w:fldChar w:fldCharType="separate"/>
      </w:r>
      <w:r w:rsidR="00DA4427">
        <w:rPr>
          <w:noProof/>
        </w:rPr>
        <w:t>Chapter 11</w:t>
      </w:r>
      <w:r>
        <w:rPr>
          <w:noProof/>
        </w:rPr>
        <w:fldChar w:fldCharType="end"/>
      </w:r>
    </w:p>
    <w:p w14:paraId="538F95D8" w14:textId="6AE82065" w:rsidR="00F955BB" w:rsidRPr="00F955BB" w:rsidRDefault="006B7B4C" w:rsidP="00F2597D">
      <w:pPr>
        <w:pStyle w:val="CoverTitle"/>
        <w:rPr>
          <w:rStyle w:val="CharacterStyle-BaseColour"/>
        </w:rPr>
      </w:pPr>
      <w:sdt>
        <w:sdt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134675">
            <w:t>Offsets</w:t>
          </w:r>
        </w:sdtContent>
      </w:sdt>
    </w:p>
    <w:p w14:paraId="79AF9091" w14:textId="1A147CFC" w:rsidR="00F955BB" w:rsidRPr="00230A80" w:rsidRDefault="00D64701" w:rsidP="00F955BB">
      <w:pPr>
        <w:pStyle w:val="BodyTextSingleSpacing"/>
        <w:rPr>
          <w:rStyle w:val="CharacterStyle-BaseColour"/>
        </w:rPr>
      </w:pPr>
      <w:r>
        <w:rPr>
          <w:rStyle w:val="CharacterStyle-BaseColour"/>
        </w:rPr>
        <w:t>September</w:t>
      </w:r>
      <w:r w:rsidR="00FD1CDC" w:rsidRPr="00230A80">
        <w:rPr>
          <w:rStyle w:val="CharacterStyle-BaseColour"/>
        </w:rPr>
        <w:t xml:space="preserve"> </w:t>
      </w:r>
      <w:r w:rsidR="00F955BB" w:rsidRPr="00230A80">
        <w:rPr>
          <w:rStyle w:val="CharacterStyle-BaseColour"/>
        </w:rPr>
        <w:t>2019</w:t>
      </w:r>
    </w:p>
    <w:p w14:paraId="536B0CEB" w14:textId="77777777" w:rsidR="00F955BB" w:rsidRPr="00E054C4" w:rsidRDefault="00F955BB" w:rsidP="00C46BED">
      <w:pPr>
        <w:pStyle w:val="CoverTitle"/>
        <w:sectPr w:rsidR="00F955BB" w:rsidRPr="00E054C4"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35BB3D1C" w14:textId="2230332C" w:rsidR="00F1004A" w:rsidRPr="00C91D01" w:rsidRDefault="00F1004A" w:rsidP="00F1004A">
      <w:pPr>
        <w:pStyle w:val="Chapternumber"/>
      </w:pPr>
      <w:r w:rsidRPr="00C91D01">
        <w:lastRenderedPageBreak/>
        <w:fldChar w:fldCharType="begin"/>
      </w:r>
      <w:r w:rsidRPr="00C91D01">
        <w:instrText xml:space="preserve"> STYLEREF  "Heading 1" \n  \* MERGEFORMAT </w:instrText>
      </w:r>
      <w:r w:rsidRPr="00C91D01">
        <w:fldChar w:fldCharType="separate"/>
      </w:r>
      <w:r w:rsidR="00DA4427">
        <w:rPr>
          <w:noProof/>
        </w:rPr>
        <w:t>Chapter 11</w:t>
      </w:r>
      <w:r w:rsidRPr="00C91D01">
        <w:fldChar w:fldCharType="end"/>
      </w:r>
    </w:p>
    <w:bookmarkStart w:id="2" w:name="_Toc19798677"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0D9DBEFD" w:rsidR="00A63B36" w:rsidRPr="00C91D01" w:rsidRDefault="00134675" w:rsidP="0026281E">
          <w:pPr>
            <w:pStyle w:val="Heading1"/>
          </w:pPr>
          <w:r>
            <w:t>Offsets</w:t>
          </w:r>
        </w:p>
      </w:sdtContent>
    </w:sdt>
    <w:bookmarkEnd w:id="2" w:displacedByCustomXml="prev"/>
    <w:bookmarkEnd w:id="0" w:displacedByCustomXml="prev"/>
    <w:p w14:paraId="1BFE01C7" w14:textId="77777777" w:rsidR="004C724A" w:rsidRPr="00685DF1" w:rsidRDefault="004C724A" w:rsidP="004C724A">
      <w:pPr>
        <w:pStyle w:val="BodyText"/>
      </w:pPr>
      <w:r w:rsidRPr="00685DF1">
        <w:t xml:space="preserve">This chapter responds to Section 2.7 of the PER Guidelines. It explains how North East Link would compensate for residual impacts to Matters of National Environmental Significance (MNES) or environmental values on Commonwealth land. </w:t>
      </w:r>
    </w:p>
    <w:p w14:paraId="7A96F2F3" w14:textId="77777777" w:rsidR="004C724A" w:rsidRPr="00685DF1" w:rsidRDefault="004C724A" w:rsidP="004C724A">
      <w:pPr>
        <w:pStyle w:val="Heading2"/>
      </w:pPr>
      <w:bookmarkStart w:id="3" w:name="_Toc535270583"/>
      <w:bookmarkStart w:id="4" w:name="_Toc19798678"/>
      <w:r w:rsidRPr="00685DF1">
        <w:t>Background</w:t>
      </w:r>
      <w:bookmarkEnd w:id="3"/>
      <w:bookmarkEnd w:id="4"/>
    </w:p>
    <w:p w14:paraId="0BF3554F" w14:textId="77777777" w:rsidR="004C724A" w:rsidRPr="00685DF1" w:rsidRDefault="004C724A" w:rsidP="004C724A">
      <w:pPr>
        <w:pStyle w:val="BodyText"/>
      </w:pPr>
      <w:r w:rsidRPr="00685DF1">
        <w:t>The term ‘environmental offsets’ refers to measures that compensate for the residual adverse impacts of an action on the environment. Offsets provide environmental benefits to counterbalance the impacts that remain after avoidance and mitigation measures are implemented. These remaining, unavoidable impacts are termed ‘residual impacts’.</w:t>
      </w:r>
    </w:p>
    <w:p w14:paraId="111C6316" w14:textId="47AA1A63" w:rsidR="004C724A" w:rsidRPr="00685DF1" w:rsidRDefault="004C724A" w:rsidP="004C724A">
      <w:pPr>
        <w:pStyle w:val="BodyText"/>
      </w:pPr>
      <w:r w:rsidRPr="00685DF1">
        <w:t xml:space="preserve">As indicated in </w:t>
      </w:r>
      <w:r w:rsidR="00ED0945">
        <w:t>Section</w:t>
      </w:r>
      <w:r w:rsidRPr="00685DF1">
        <w:t xml:space="preserve"> 5.2 of the Environment Protection and Biodiversity Conservation Act 1999 (EPBC Act) </w:t>
      </w:r>
      <w:r w:rsidRPr="004C724A">
        <w:rPr>
          <w:i/>
        </w:rPr>
        <w:t>Environmental Offsets Policy</w:t>
      </w:r>
      <w:r w:rsidRPr="00685DF1">
        <w:t xml:space="preserve">, offsets are not required where the residual impacts of a proposed action are not thought to be significant, or could be reasonably avoided or mitigated. </w:t>
      </w:r>
    </w:p>
    <w:p w14:paraId="0911FCFE" w14:textId="77777777" w:rsidR="004C724A" w:rsidRPr="00685DF1" w:rsidRDefault="004C724A" w:rsidP="004C724A">
      <w:pPr>
        <w:pStyle w:val="BodyText"/>
      </w:pPr>
      <w:r w:rsidRPr="00685DF1">
        <w:t>For offsets to be considered suitable, they must meet the following offset principles:</w:t>
      </w:r>
    </w:p>
    <w:p w14:paraId="12234004" w14:textId="77777777" w:rsidR="004C724A" w:rsidRPr="00685DF1" w:rsidRDefault="004C724A" w:rsidP="004C724A">
      <w:pPr>
        <w:pStyle w:val="BodyBullet1"/>
      </w:pPr>
      <w:r w:rsidRPr="00685DF1">
        <w:t>Deliver an overall conservation outcome that improves or maintains the viability of the aspect of the environment that is protected by national environment law and affected by the proposed action</w:t>
      </w:r>
    </w:p>
    <w:p w14:paraId="6D5BA594" w14:textId="77777777" w:rsidR="004C724A" w:rsidRPr="00685DF1" w:rsidRDefault="004C724A" w:rsidP="004C724A">
      <w:pPr>
        <w:pStyle w:val="BodyBullet1"/>
      </w:pPr>
      <w:r w:rsidRPr="00685DF1">
        <w:t>Be built around direct offsets but may include other compensatory measures</w:t>
      </w:r>
    </w:p>
    <w:p w14:paraId="6FEC0D95" w14:textId="77777777" w:rsidR="004C724A" w:rsidRPr="00685DF1" w:rsidRDefault="004C724A" w:rsidP="004C724A">
      <w:pPr>
        <w:pStyle w:val="BodyBullet1"/>
      </w:pPr>
      <w:r w:rsidRPr="00685DF1">
        <w:t>Be in proportion to the level of statutory protection that applies to the protected matter</w:t>
      </w:r>
    </w:p>
    <w:p w14:paraId="4DD1FFD8" w14:textId="77777777" w:rsidR="004C724A" w:rsidRPr="00685DF1" w:rsidRDefault="004C724A" w:rsidP="004C724A">
      <w:pPr>
        <w:pStyle w:val="BodyBullet1"/>
      </w:pPr>
      <w:r w:rsidRPr="00685DF1">
        <w:t>Be of a size and scale proportionate to the residual impacts on the protected matter</w:t>
      </w:r>
    </w:p>
    <w:p w14:paraId="0C50DEE8" w14:textId="77777777" w:rsidR="004C724A" w:rsidRPr="00685DF1" w:rsidRDefault="004C724A" w:rsidP="004C724A">
      <w:pPr>
        <w:pStyle w:val="BodyBullet1"/>
      </w:pPr>
      <w:r w:rsidRPr="00685DF1">
        <w:t>Effectively account for and manage the risks of the offset not succeeding</w:t>
      </w:r>
    </w:p>
    <w:p w14:paraId="1584312B" w14:textId="143EE8B7" w:rsidR="004C724A" w:rsidRPr="00685DF1" w:rsidRDefault="004C724A" w:rsidP="004C724A">
      <w:pPr>
        <w:pStyle w:val="BodyBullet1"/>
      </w:pPr>
      <w:r w:rsidRPr="00685DF1">
        <w:t xml:space="preserve">Be additional to what is already required, determined by law or planning regulations or agreed to under other schemes or programs (this does not preclude the recognition of state or territory offsets that may be suitable as offsets under the EPBC Act for the same action; as per </w:t>
      </w:r>
      <w:r w:rsidR="00ED0945">
        <w:t>Section</w:t>
      </w:r>
      <w:r w:rsidRPr="00685DF1">
        <w:t xml:space="preserve"> 7.6 of the Environmental Offsets Policy)</w:t>
      </w:r>
    </w:p>
    <w:p w14:paraId="0B5EEBA8" w14:textId="77777777" w:rsidR="004C724A" w:rsidRPr="00685DF1" w:rsidRDefault="004C724A" w:rsidP="004C724A">
      <w:pPr>
        <w:pStyle w:val="BodyBullet1"/>
      </w:pPr>
      <w:r w:rsidRPr="00685DF1">
        <w:t xml:space="preserve">Be efficient, effective, timely, transparent, scientifically robust and reasonable </w:t>
      </w:r>
    </w:p>
    <w:p w14:paraId="538345E0" w14:textId="77777777" w:rsidR="004C724A" w:rsidRPr="00685DF1" w:rsidRDefault="004C724A" w:rsidP="004C724A">
      <w:pPr>
        <w:pStyle w:val="BodyBullet1"/>
      </w:pPr>
      <w:r w:rsidRPr="00685DF1">
        <w:t>Have transparent governance arrangements including being able to be readily measured, monitored, audited and enforced.</w:t>
      </w:r>
    </w:p>
    <w:p w14:paraId="6E1C84E7" w14:textId="77777777" w:rsidR="004C724A" w:rsidRPr="00685DF1" w:rsidRDefault="004C724A" w:rsidP="004C724A">
      <w:pPr>
        <w:pStyle w:val="Heading2"/>
      </w:pPr>
      <w:bookmarkStart w:id="5" w:name="_Toc535270584"/>
      <w:bookmarkStart w:id="6" w:name="_Toc19798679"/>
      <w:r w:rsidRPr="00685DF1">
        <w:lastRenderedPageBreak/>
        <w:t>Commonwealth offsets</w:t>
      </w:r>
      <w:bookmarkEnd w:id="5"/>
      <w:bookmarkEnd w:id="6"/>
      <w:r w:rsidRPr="00685DF1">
        <w:t xml:space="preserve"> </w:t>
      </w:r>
    </w:p>
    <w:p w14:paraId="77A0BEAB" w14:textId="77777777" w:rsidR="00104E6E" w:rsidRDefault="004C724A" w:rsidP="00876F53">
      <w:pPr>
        <w:pStyle w:val="BodyText"/>
      </w:pPr>
      <w:r w:rsidRPr="00685DF1">
        <w:t xml:space="preserve">As discussed in Chapters 7 to 10 of this PER, avoidance and mitigation measures have been developed to manage potential impacts associated with the action. North East Link would therefore be unlikely to result in significant residual impacts to MNES or environmental values on Commonwealth land that require offsetting under the EPBC Act. </w:t>
      </w:r>
    </w:p>
    <w:p w14:paraId="2D89DE96" w14:textId="365F0DCA" w:rsidR="005D26A0" w:rsidRDefault="005D26A0" w:rsidP="00104E6E">
      <w:pPr>
        <w:pStyle w:val="Heading3"/>
      </w:pPr>
      <w:bookmarkStart w:id="7" w:name="_Toc19798680"/>
      <w:r>
        <w:t>Matted Flax-lily</w:t>
      </w:r>
      <w:bookmarkEnd w:id="7"/>
      <w:r>
        <w:t xml:space="preserve"> </w:t>
      </w:r>
    </w:p>
    <w:p w14:paraId="09D7AA87" w14:textId="0DC0107C" w:rsidR="004C724A" w:rsidRPr="00685DF1" w:rsidRDefault="004C724A" w:rsidP="004C724A">
      <w:pPr>
        <w:pStyle w:val="BodyText"/>
      </w:pPr>
      <w:r w:rsidRPr="00685DF1">
        <w:t>This includes Matted Flax-lily</w:t>
      </w:r>
      <w:r w:rsidR="001F7827" w:rsidRPr="001F7827">
        <w:t xml:space="preserve"> </w:t>
      </w:r>
      <w:r w:rsidR="001F7827" w:rsidRPr="001F7827">
        <w:rPr>
          <w:rStyle w:val="Italics"/>
        </w:rPr>
        <w:t>Dianella amoena</w:t>
      </w:r>
      <w:r w:rsidRPr="00685DF1">
        <w:t>, where salvage and translocation has been proposed to prevent the loss of individual plants that otherwise would be affected by North East Link. The plan for the salvage and translocation of Matted Flax-lily is described in Chapter 7 – Impacts on listed threatened species and ecological communities, and on migratory species. The plan would involve plant subdivision (cloning) of those plants requiring salvage and managing them in a nursery before translocating them to suitable recipient sites that would support the success of the species. A copy of the Salvage and Translocation Plan is provided as Appendix F to PER Technical Appendix A – Flora and fauna technical report.</w:t>
      </w:r>
      <w:r w:rsidR="00493862">
        <w:t xml:space="preserve"> </w:t>
      </w:r>
    </w:p>
    <w:p w14:paraId="31B5B7F0" w14:textId="04746ADB" w:rsidR="004C724A" w:rsidRDefault="004C724A" w:rsidP="004C724A">
      <w:pPr>
        <w:pStyle w:val="BodyText"/>
      </w:pPr>
      <w:r w:rsidRPr="00685DF1">
        <w:t>Therefore, offsets under the EPBC Act for Matted Flax-lily are not proposed.</w:t>
      </w:r>
    </w:p>
    <w:p w14:paraId="01340012" w14:textId="0D29904E" w:rsidR="005D26A0" w:rsidRDefault="005D26A0" w:rsidP="002B05F6">
      <w:pPr>
        <w:pStyle w:val="Heading3"/>
      </w:pPr>
      <w:bookmarkStart w:id="8" w:name="_Toc19798681"/>
      <w:r>
        <w:t>Studley Park Gum</w:t>
      </w:r>
      <w:bookmarkEnd w:id="8"/>
    </w:p>
    <w:p w14:paraId="76A5FA17" w14:textId="36D25873" w:rsidR="00D24ACE" w:rsidRDefault="002139D2" w:rsidP="00D24ACE">
      <w:pPr>
        <w:pStyle w:val="BodyText"/>
      </w:pPr>
      <w:r w:rsidRPr="002139D2">
        <w:t xml:space="preserve">As discussed in Chapter 9 – Impacts on the whole of the environment on Commonwealth land, 44 Studley Park Gum are expected to be directly lost from inside the project boundary </w:t>
      </w:r>
      <w:r w:rsidR="00062605">
        <w:t>on</w:t>
      </w:r>
      <w:r w:rsidRPr="002139D2">
        <w:t xml:space="preserve"> Commonwealth land due to North East Link. </w:t>
      </w:r>
      <w:r w:rsidR="00E07B34">
        <w:t xml:space="preserve">A further three Studley Park Gum large trees have the potential to be </w:t>
      </w:r>
      <w:r>
        <w:t>lost fro</w:t>
      </w:r>
      <w:r w:rsidRPr="00685DF1">
        <w:t>m</w:t>
      </w:r>
      <w:r>
        <w:t xml:space="preserve"> outside the project boundary </w:t>
      </w:r>
      <w:r w:rsidR="00062605">
        <w:t>on</w:t>
      </w:r>
      <w:r w:rsidRPr="00685DF1">
        <w:t xml:space="preserve"> Commonwealth land </w:t>
      </w:r>
      <w:r>
        <w:t>due to</w:t>
      </w:r>
      <w:r w:rsidR="00E07B34">
        <w:t xml:space="preserve"> groundwater drawdown </w:t>
      </w:r>
      <w:r w:rsidR="008A0E78">
        <w:t xml:space="preserve">during operation </w:t>
      </w:r>
      <w:r w:rsidR="00E07B34">
        <w:t xml:space="preserve">in the long-term. </w:t>
      </w:r>
    </w:p>
    <w:p w14:paraId="221E17A3" w14:textId="22B271D5" w:rsidR="00423DC4" w:rsidRDefault="008A0E78" w:rsidP="00423DC4">
      <w:pPr>
        <w:pStyle w:val="BodyText"/>
      </w:pPr>
      <w:r>
        <w:t xml:space="preserve">To mitigate potential impacts of groundwater drawdown on Studley Park Gums at Simpson Barracks, a </w:t>
      </w:r>
      <w:r w:rsidR="00423DC4">
        <w:t xml:space="preserve">Studley Park Gum </w:t>
      </w:r>
      <w:r>
        <w:t xml:space="preserve">Groundwater Dependent Ecosystem Monitoring and Mitigation </w:t>
      </w:r>
      <w:r w:rsidR="00423DC4">
        <w:t>Strategy</w:t>
      </w:r>
      <w:r>
        <w:t xml:space="preserve"> </w:t>
      </w:r>
      <w:r w:rsidR="00C52AAE">
        <w:t>would</w:t>
      </w:r>
      <w:r>
        <w:t xml:space="preserve"> be implemented as part of the </w:t>
      </w:r>
      <w:r w:rsidR="00C52AAE">
        <w:t>p</w:t>
      </w:r>
      <w:r>
        <w:t xml:space="preserve">roject. However, as this mitigation would not avoid or mitigate the predicted loss of 47 Studley Park Gum individuals, it is expected that the residual impact on plants on Commonwealth land </w:t>
      </w:r>
      <w:r w:rsidR="00423DC4">
        <w:t>would</w:t>
      </w:r>
      <w:r>
        <w:t xml:space="preserve"> be significant.</w:t>
      </w:r>
      <w:r w:rsidR="00423DC4">
        <w:t xml:space="preserve"> In accordance with </w:t>
      </w:r>
      <w:r w:rsidR="00423DC4" w:rsidRPr="00876F53">
        <w:rPr>
          <w:i/>
        </w:rPr>
        <w:t>the EPBC Act Environmental Offsets Policy</w:t>
      </w:r>
      <w:r w:rsidR="00423DC4">
        <w:t>, this would trigger a requirement for offsets for impacts to Studley Park Gum on Commonwealth land.</w:t>
      </w:r>
      <w:r w:rsidR="00ED0945">
        <w:t xml:space="preserve"> </w:t>
      </w:r>
    </w:p>
    <w:p w14:paraId="777D958A" w14:textId="77777777" w:rsidR="00423DC4" w:rsidRDefault="00423DC4" w:rsidP="00104E6E">
      <w:pPr>
        <w:pStyle w:val="BodyText"/>
        <w:keepNext/>
      </w:pPr>
      <w:r>
        <w:lastRenderedPageBreak/>
        <w:t xml:space="preserve">Under the </w:t>
      </w:r>
      <w:r w:rsidRPr="00876F53">
        <w:rPr>
          <w:i/>
        </w:rPr>
        <w:t>EPBC Act Environmental Offsets Policy</w:t>
      </w:r>
      <w:r>
        <w:t xml:space="preserve">, offsets are defined as measures that compensate for the residual impacts of an action. Offsets can comprise a combination of direct offsets and other compensatory measures. An offset may include: </w:t>
      </w:r>
    </w:p>
    <w:p w14:paraId="27DEBA5B" w14:textId="1747FFEE" w:rsidR="00423DC4" w:rsidRDefault="00423DC4" w:rsidP="00876F53">
      <w:pPr>
        <w:pStyle w:val="BodyBullet1"/>
      </w:pPr>
      <w:r>
        <w:t>Improving existing habitat for the protected matter</w:t>
      </w:r>
    </w:p>
    <w:p w14:paraId="26A00C34" w14:textId="5C0CA9D2" w:rsidR="00423DC4" w:rsidRDefault="00423DC4" w:rsidP="00876F53">
      <w:pPr>
        <w:pStyle w:val="BodyBullet1"/>
      </w:pPr>
      <w:r>
        <w:t>Creating new habitat for the protected matter</w:t>
      </w:r>
    </w:p>
    <w:p w14:paraId="6500E3E1" w14:textId="453DF0F4" w:rsidR="00423DC4" w:rsidRDefault="00423DC4" w:rsidP="00F75846">
      <w:pPr>
        <w:pStyle w:val="BodyBullet1"/>
        <w:keepNext/>
      </w:pPr>
      <w:r>
        <w:t>Reducing threats to the protected matter</w:t>
      </w:r>
    </w:p>
    <w:p w14:paraId="6E332965" w14:textId="7755CCBC" w:rsidR="00423DC4" w:rsidRDefault="00423DC4" w:rsidP="00876F53">
      <w:pPr>
        <w:pStyle w:val="BodyBullet1"/>
      </w:pPr>
      <w:r>
        <w:t>Averting the loss of a protected matter or its habitat that is under threat.</w:t>
      </w:r>
    </w:p>
    <w:p w14:paraId="3BC7EECB" w14:textId="77777777" w:rsidR="00423DC4" w:rsidRDefault="00423DC4" w:rsidP="00423DC4">
      <w:pPr>
        <w:pStyle w:val="BodyText"/>
      </w:pPr>
      <w:r>
        <w:t xml:space="preserve">By its very nature, the known population of Studley Park Gum is small both in distribution and numbers of individuals, given it is a rare fertile hybrid of two commonly occurring species (the River Red Gum and Swamp Gum). </w:t>
      </w:r>
    </w:p>
    <w:p w14:paraId="0020B931" w14:textId="77777777" w:rsidR="00423DC4" w:rsidRDefault="00423DC4" w:rsidP="00423DC4">
      <w:pPr>
        <w:pStyle w:val="BodyText"/>
      </w:pPr>
      <w:r>
        <w:t xml:space="preserve">Because of its inherently small population, determining a direct offset that improves and secures an existing population which accounts for at least 90 per cent of the offset requirements is not possible. There is also a lack of existing known habitat. According to the offsets policy, deviation from the 90 per cent direct offset requirement is able to be considered where scientific uncertainty is so high that it isn’t possible to determine a direct offset that is likely to benefit the protected matter. </w:t>
      </w:r>
    </w:p>
    <w:p w14:paraId="026D3F4E" w14:textId="69BEF58C" w:rsidR="00423DC4" w:rsidRDefault="00423DC4" w:rsidP="00423DC4">
      <w:pPr>
        <w:pStyle w:val="BodyText"/>
      </w:pPr>
      <w:r>
        <w:t>Studley Park Gum itself is not a protected matter however the environment on Commonwealth land is a protected matter. Therefore, instead of delivering direct offsets that secures and manages an existing population or habitat for the Studley Park Gum, NELP proposes to contribute to the conservation of Studley Park Gum by establishing new habitat through the implementation of the Studley Park Gum Management Framework (the Framework) (</w:t>
      </w:r>
      <w:r w:rsidR="00C52AAE">
        <w:t>see PER Technical Appendix A – Flora and fauna</w:t>
      </w:r>
      <w:r>
        <w:t xml:space="preserve">). This approach is expected to result in a viable outcome noting that the creation of new habitat for a protected matter is a type of direct offset under the </w:t>
      </w:r>
      <w:r w:rsidRPr="00876F53">
        <w:rPr>
          <w:i/>
        </w:rPr>
        <w:t>EPBC Act Environmental Offsets Policy</w:t>
      </w:r>
      <w:r>
        <w:t xml:space="preserve">. </w:t>
      </w:r>
    </w:p>
    <w:p w14:paraId="34225726" w14:textId="77777777" w:rsidR="00423DC4" w:rsidRDefault="00423DC4" w:rsidP="00423DC4">
      <w:pPr>
        <w:pStyle w:val="BodyText"/>
      </w:pPr>
      <w:r>
        <w:t>The Framework has been developed as the proposed offset measure for the impacts to Studley Park Gum on Commonwealth land. The Framework commits to the following measures:</w:t>
      </w:r>
    </w:p>
    <w:p w14:paraId="24761D6B" w14:textId="09F93EF4" w:rsidR="00423DC4" w:rsidRDefault="00423DC4" w:rsidP="00876F53">
      <w:pPr>
        <w:pStyle w:val="BodyBullet1"/>
      </w:pPr>
      <w:r>
        <w:t>Developing and implementing a ‘seed collection and propagation plan’, which provides detailed methods for the collection, storage and propagation of Studley Park Gum seeds</w:t>
      </w:r>
    </w:p>
    <w:p w14:paraId="6253568B" w14:textId="67D6D7ED" w:rsidR="00423DC4" w:rsidRDefault="00423DC4" w:rsidP="00876F53">
      <w:pPr>
        <w:pStyle w:val="BodyBullet1"/>
      </w:pPr>
      <w:r>
        <w:t>Identifying a recipient site with appropriate conditions to enable establishment of a self</w:t>
      </w:r>
      <w:r w:rsidRPr="00876F53">
        <w:t>‐</w:t>
      </w:r>
      <w:r>
        <w:t>sustaining Studley Park Gum population</w:t>
      </w:r>
    </w:p>
    <w:p w14:paraId="322BEB53" w14:textId="3BEB27F5" w:rsidR="00423DC4" w:rsidRDefault="00423DC4" w:rsidP="00876F53">
      <w:pPr>
        <w:pStyle w:val="BodyBullet1"/>
      </w:pPr>
      <w:r>
        <w:t>Planting 288 Studley Park Gum saplings at the recipient site to achieve the establishment goal of a minimum of 98 Studley Park Gum plants after three years</w:t>
      </w:r>
    </w:p>
    <w:p w14:paraId="59EFA2B2" w14:textId="1662F182" w:rsidR="00423DC4" w:rsidRDefault="00423DC4" w:rsidP="00876F53">
      <w:pPr>
        <w:pStyle w:val="BodyBullet1"/>
      </w:pPr>
      <w:r>
        <w:t>Developing and implementing a management plan for the recipient site, which includes detailed site-specific actions.</w:t>
      </w:r>
    </w:p>
    <w:p w14:paraId="594174CF" w14:textId="77777777" w:rsidR="00423DC4" w:rsidRDefault="00423DC4" w:rsidP="00752CAE">
      <w:pPr>
        <w:pStyle w:val="BodyText"/>
        <w:keepNext/>
      </w:pPr>
      <w:r>
        <w:lastRenderedPageBreak/>
        <w:t>It is acknowledged that this approach has not previously been proposed for the taxon. Given this, uncertainties exist around the potential success (risk of failure) of the Framework. These uncertainties have been considered in the development of the Framework and the responses documented below:</w:t>
      </w:r>
    </w:p>
    <w:p w14:paraId="3F2B037D" w14:textId="2CAD2A07" w:rsidR="00423DC4" w:rsidRDefault="00423DC4" w:rsidP="00876F53">
      <w:pPr>
        <w:pStyle w:val="BodyBullet1"/>
      </w:pPr>
      <w:r>
        <w:t xml:space="preserve">There is the potential that an insufficient volume of Studley Park Gum seed is collected. </w:t>
      </w:r>
    </w:p>
    <w:p w14:paraId="7031A787" w14:textId="781DF4B8" w:rsidR="00423DC4" w:rsidRDefault="00423DC4" w:rsidP="00E42E67">
      <w:pPr>
        <w:pStyle w:val="BodyIndent1"/>
      </w:pPr>
      <w:r>
        <w:t xml:space="preserve">In response the Seed Collection and Propagation Plan (see PER Technical Appendix A – Flora and fauna) identifies five ‘collections’ of Studley Park Gum seed. At each collection numerous individual trees </w:t>
      </w:r>
      <w:r w:rsidR="00C52AAE">
        <w:t>would</w:t>
      </w:r>
      <w:r>
        <w:t xml:space="preserve"> be targeted and fruit and seed taken (two collections have been completed as at August 2019).</w:t>
      </w:r>
    </w:p>
    <w:p w14:paraId="3BF4CD12" w14:textId="3F5B5F42" w:rsidR="00423DC4" w:rsidRDefault="00423DC4" w:rsidP="00876F53">
      <w:pPr>
        <w:pStyle w:val="BodyBullet1"/>
      </w:pPr>
      <w:r>
        <w:t xml:space="preserve">There is the potential that the collected seed is not viable. </w:t>
      </w:r>
    </w:p>
    <w:p w14:paraId="396BFC16" w14:textId="77777777" w:rsidR="00423DC4" w:rsidRDefault="00423DC4" w:rsidP="00E42E67">
      <w:pPr>
        <w:pStyle w:val="BodyIndent1"/>
      </w:pPr>
      <w:r>
        <w:t>The Royal Botanic Gardens of Victoria have been engaged to store and test seed viability through germination testing.</w:t>
      </w:r>
    </w:p>
    <w:p w14:paraId="3A3E8A5B" w14:textId="77777777" w:rsidR="00423DC4" w:rsidRDefault="00423DC4" w:rsidP="00876F53">
      <w:pPr>
        <w:pStyle w:val="BodyBullet1"/>
      </w:pPr>
      <w:r>
        <w:t xml:space="preserve">The potential that saplings display morphological characteristics more closely aligned with one parent species. </w:t>
      </w:r>
    </w:p>
    <w:p w14:paraId="29E11898" w14:textId="0D91F5E3" w:rsidR="00423DC4" w:rsidRDefault="00423DC4" w:rsidP="00E42E67">
      <w:pPr>
        <w:pStyle w:val="BodyIndent1"/>
      </w:pPr>
      <w:r>
        <w:t xml:space="preserve">As part of the propagation process the horticulturalist </w:t>
      </w:r>
      <w:r w:rsidR="00C52AAE">
        <w:t>would</w:t>
      </w:r>
      <w:r>
        <w:t xml:space="preserve"> observe the morphology being expressed by the seedlings. Those plants that are clearly showing a strong tendency to the morphological characteristics of either River Red Gum or Swamp Gum </w:t>
      </w:r>
      <w:r w:rsidR="00C52AAE">
        <w:t>would</w:t>
      </w:r>
      <w:r>
        <w:t xml:space="preserve"> be excluded from the numbers of trees considered to be Studley Park Gum.</w:t>
      </w:r>
    </w:p>
    <w:p w14:paraId="3E8140E4" w14:textId="77777777" w:rsidR="00423DC4" w:rsidRDefault="00423DC4" w:rsidP="00876F53">
      <w:pPr>
        <w:pStyle w:val="BodyBullet1"/>
      </w:pPr>
      <w:r>
        <w:t xml:space="preserve">Failure to reach the 2:1 target. </w:t>
      </w:r>
    </w:p>
    <w:p w14:paraId="63910FC3" w14:textId="77777777" w:rsidR="00423DC4" w:rsidRDefault="00423DC4" w:rsidP="00E42E67">
      <w:pPr>
        <w:pStyle w:val="BodyIndent1"/>
      </w:pPr>
      <w:r>
        <w:t>The Framework has been conservative and assumes annual death of up to 30 per cent (year on year) of planted Studley Park Gums over the three years of the Framework. In reality, with appropriate planting, maintenance and management it is reasonable to assume that mortality would not be so high and that overall at least 50 per cent (144) of planted Studley Park Gums survive past three years.</w:t>
      </w:r>
    </w:p>
    <w:p w14:paraId="1A296800" w14:textId="77777777" w:rsidR="00423DC4" w:rsidRDefault="00423DC4" w:rsidP="00876F53">
      <w:pPr>
        <w:pStyle w:val="BodyBullet1"/>
      </w:pPr>
      <w:r>
        <w:t xml:space="preserve">Contingency planning. </w:t>
      </w:r>
    </w:p>
    <w:p w14:paraId="08629BC6" w14:textId="41879434" w:rsidR="00423DC4" w:rsidRDefault="00423DC4" w:rsidP="00E42E67">
      <w:pPr>
        <w:pStyle w:val="BodyIndent1"/>
      </w:pPr>
      <w:r>
        <w:t>There is still the potential that the Framework fails to meet its goal of the establishment of 98 Studley Park Gums displaying strong morphological affinities with other Studley Park Gums at Simpson Barracks. The Framework documents evaluation and contingency measures to be implemented if the Framework looks likely to fail.</w:t>
      </w:r>
    </w:p>
    <w:p w14:paraId="49FEA244" w14:textId="54DE397F" w:rsidR="00423DC4" w:rsidRDefault="00423DC4" w:rsidP="00423DC4">
      <w:pPr>
        <w:pStyle w:val="BodyText"/>
      </w:pPr>
      <w:r>
        <w:t xml:space="preserve">It is proposed that once a recipient site(s) is selected, a more detailed Studley Park Gum Management Plan </w:t>
      </w:r>
      <w:r w:rsidR="00C52AAE">
        <w:t>would</w:t>
      </w:r>
      <w:r>
        <w:t xml:space="preserve"> be prepared and approved by DELWP. </w:t>
      </w:r>
    </w:p>
    <w:p w14:paraId="5497423E" w14:textId="77777777" w:rsidR="00423DC4" w:rsidRDefault="00423DC4" w:rsidP="00423DC4">
      <w:pPr>
        <w:pStyle w:val="BodyText"/>
      </w:pPr>
      <w:r>
        <w:t xml:space="preserve">In addition to the above, at the State level native vegetation offsets would be provided based on the Victorian Guidelines (DELWP 2017a) to offset for the removal of native vegetation (which Studley Park Gum trees form part of) directly impacted by the project, and three Studley Park Gum trees expected to experience premature mortality due to long term groundwater drawdown. </w:t>
      </w:r>
    </w:p>
    <w:p w14:paraId="094D5E51" w14:textId="16FA1364" w:rsidR="00423DC4" w:rsidRDefault="00423DC4" w:rsidP="00876F53">
      <w:pPr>
        <w:pStyle w:val="BodyText"/>
      </w:pPr>
      <w:r w:rsidRPr="00876F53">
        <w:rPr>
          <w:rStyle w:val="BodyTextChar"/>
        </w:rPr>
        <w:t>Implementing the Studley Park Gum Management Framework (</w:t>
      </w:r>
      <w:r w:rsidR="00C52AAE">
        <w:t>see PER Technical Appendix A – Flora and fauna</w:t>
      </w:r>
      <w:r w:rsidRPr="00876F53">
        <w:rPr>
          <w:rStyle w:val="BodyTextChar"/>
        </w:rPr>
        <w:t xml:space="preserve">) and State offsets is in line with the </w:t>
      </w:r>
      <w:r w:rsidRPr="00876F53">
        <w:rPr>
          <w:rStyle w:val="BodyTextChar"/>
          <w:i/>
        </w:rPr>
        <w:t>EPBC Act Environmental Offsets Policy</w:t>
      </w:r>
      <w:r w:rsidRPr="00876F53">
        <w:rPr>
          <w:rStyle w:val="BodyTextChar"/>
        </w:rPr>
        <w:t xml:space="preserve"> and commensurate with the conservation status of the species</w:t>
      </w:r>
      <w:r>
        <w:t>.</w:t>
      </w:r>
    </w:p>
    <w:p w14:paraId="235E4330" w14:textId="77777777" w:rsidR="004C724A" w:rsidRPr="00685DF1" w:rsidRDefault="004C724A" w:rsidP="004C724A">
      <w:pPr>
        <w:pStyle w:val="Heading2"/>
      </w:pPr>
      <w:bookmarkStart w:id="9" w:name="_Toc535270586"/>
      <w:bookmarkStart w:id="10" w:name="_Toc19798682"/>
      <w:r w:rsidRPr="00685DF1">
        <w:t>State offsets</w:t>
      </w:r>
      <w:bookmarkEnd w:id="9"/>
      <w:bookmarkEnd w:id="10"/>
      <w:r w:rsidRPr="00685DF1">
        <w:t xml:space="preserve"> </w:t>
      </w:r>
    </w:p>
    <w:p w14:paraId="72444979" w14:textId="49DA65F3" w:rsidR="004C724A" w:rsidRPr="00685DF1" w:rsidRDefault="004C724A" w:rsidP="004C724A">
      <w:pPr>
        <w:pStyle w:val="BodyText"/>
      </w:pPr>
      <w:r w:rsidRPr="00685DF1">
        <w:t xml:space="preserve">It is acknowledged that under Victorian legislation, offsetting is required to compensate for the loss of native vegetation (containing large trees) and scattered native trees in accordance with the </w:t>
      </w:r>
      <w:r w:rsidRPr="004C724A">
        <w:rPr>
          <w:i/>
        </w:rPr>
        <w:t xml:space="preserve">Guidelines for the removal, destruction or lopping of native vegetation </w:t>
      </w:r>
      <w:sdt>
        <w:sdtPr>
          <w:id w:val="-1426656525"/>
          <w:citation/>
        </w:sdtPr>
        <w:sdtEndPr/>
        <w:sdtContent>
          <w:r w:rsidRPr="00685DF1">
            <w:fldChar w:fldCharType="begin"/>
          </w:r>
          <w:r w:rsidRPr="00685DF1">
            <w:instrText xml:space="preserve"> CITATION DEL7a4 \l 5129 </w:instrText>
          </w:r>
          <w:r w:rsidRPr="00685DF1">
            <w:fldChar w:fldCharType="separate"/>
          </w:r>
          <w:r w:rsidR="00DA4427" w:rsidRPr="00DA4427">
            <w:rPr>
              <w:noProof/>
            </w:rPr>
            <w:t>(DELWP, 2017a)</w:t>
          </w:r>
          <w:r w:rsidRPr="00685DF1">
            <w:fldChar w:fldCharType="end"/>
          </w:r>
        </w:sdtContent>
      </w:sdt>
      <w:r w:rsidRPr="00685DF1">
        <w:t xml:space="preserve">. The PER Guidelines specify that </w:t>
      </w:r>
      <w:r w:rsidRPr="004C724A">
        <w:rPr>
          <w:i/>
        </w:rPr>
        <w:t>‘Offsets required for residual impacts to state listed matters occurring on Commonwealth land can be offset using state offsets policies but must also meet the principles of the EPBC Act Environmental Offsets policy’</w:t>
      </w:r>
      <w:r w:rsidRPr="00685DF1">
        <w:t xml:space="preserve">. North East Link Project (NELP) is committed to offsetting the loss of all native vegetation in accordance with the state requirements, including native vegetation on Commonwealth land. This approach has been discussed with the Australian Government’s Department of Energy and Environment (DoEE) and agreed to in principle in October 2018. </w:t>
      </w:r>
    </w:p>
    <w:p w14:paraId="40C39A46" w14:textId="66D4E133" w:rsidR="004C724A" w:rsidRPr="00685DF1" w:rsidRDefault="004C724A" w:rsidP="004C724A">
      <w:pPr>
        <w:pStyle w:val="BodyText"/>
      </w:pPr>
      <w:r w:rsidRPr="00685DF1" w:rsidDel="00D24ACE">
        <w:t>As discussed in Chapter 9 – Impacts on the whole of the environment on Commonwealth land, approximately 10.98 hectares of Plains Grassy Woodland</w:t>
      </w:r>
      <w:r w:rsidR="00ED0945">
        <w:t xml:space="preserve"> </w:t>
      </w:r>
      <w:r w:rsidRPr="00685DF1" w:rsidDel="00D24ACE">
        <w:t>are expected to be lost from Commonwealth land due to North East Link</w:t>
      </w:r>
      <w:r w:rsidRPr="00685DF1">
        <w:t xml:space="preserve">. These losses would be offset along with the rest of the vegetation lost due to the action (that is outside Commonwealth land) under the State process administered by Victoria’s Department of Environment, Land, Water and Planning (DELWP). </w:t>
      </w:r>
    </w:p>
    <w:p w14:paraId="2B0237E3" w14:textId="77777777" w:rsidR="004C724A" w:rsidRPr="00685DF1" w:rsidRDefault="004C724A" w:rsidP="004C724A">
      <w:pPr>
        <w:pStyle w:val="BodyText"/>
      </w:pPr>
      <w:r w:rsidRPr="00685DF1">
        <w:t>It should be noted that NELP conservatively considered all native vegetation within the project boundary would be lost due to the action, to determine the maximum possible offsetting required. However, there would be requirements to minimise the amount of native vegetation lost through the detailed design development of North East Link, and the overall impact is expected to reduce.</w:t>
      </w:r>
    </w:p>
    <w:p w14:paraId="0F26CBBF" w14:textId="574B8DFB" w:rsidR="004C724A" w:rsidRPr="00685DF1" w:rsidRDefault="004C724A" w:rsidP="004C724A">
      <w:pPr>
        <w:pStyle w:val="BodyText"/>
      </w:pPr>
      <w:r w:rsidRPr="00685DF1">
        <w:t>The expected project-wide vegetation removal was analysed through DELWP’s EnSym Native Vegetation Re</w:t>
      </w:r>
      <w:r w:rsidR="001726FF">
        <w:t>moval</w:t>
      </w:r>
      <w:r w:rsidRPr="00685DF1">
        <w:t xml:space="preserve"> (NVR) tool to determine the project offset requirements. This tool assesses whether the removal of vegetation (including scattered trees) has the potential to affect significant habitat of threatened species and uses mapped habitat to determine the offset requirements that compensate for vegetation loss due to North East Link. </w:t>
      </w:r>
      <w:r w:rsidR="0015097B">
        <w:t xml:space="preserve">An updated NVR report was received from DELWP in June 2019 and </w:t>
      </w:r>
      <w:r w:rsidR="002B70E2">
        <w:t xml:space="preserve">the results </w:t>
      </w:r>
      <w:r w:rsidRPr="00685DF1">
        <w:t xml:space="preserve">are summarised below. </w:t>
      </w:r>
    </w:p>
    <w:p w14:paraId="5E630E6A" w14:textId="509EC642" w:rsidR="004C724A" w:rsidRPr="00685DF1" w:rsidRDefault="004C724A" w:rsidP="004C724A">
      <w:pPr>
        <w:pStyle w:val="BodyBullet1"/>
      </w:pPr>
      <w:r w:rsidRPr="004C724A">
        <w:rPr>
          <w:b/>
        </w:rPr>
        <w:t>General offset amount:</w:t>
      </w:r>
      <w:r w:rsidRPr="00685DF1">
        <w:t xml:space="preserve"> </w:t>
      </w:r>
      <w:r w:rsidR="002B70E2">
        <w:t>9.384</w:t>
      </w:r>
      <w:r w:rsidRPr="00685DF1">
        <w:t xml:space="preserve"> general habitat units</w:t>
      </w:r>
      <w:r w:rsidR="00E42E67">
        <w:t>:</w:t>
      </w:r>
    </w:p>
    <w:p w14:paraId="192CE2E9" w14:textId="77777777" w:rsidR="004C724A" w:rsidRPr="00685DF1" w:rsidRDefault="004C724A" w:rsidP="004C724A">
      <w:pPr>
        <w:pStyle w:val="BodyBullet2"/>
      </w:pPr>
      <w:r w:rsidRPr="00685DF1">
        <w:t>Vicinity – Port Philip and Westernport Catchment Management Authority (CMA) or Banyule City, Boroondara City, Manningham City, Nillumbik Shire, Whitehorse City Council</w:t>
      </w:r>
    </w:p>
    <w:p w14:paraId="6A09B56C" w14:textId="7F43D5AB" w:rsidR="004C724A" w:rsidRPr="00685DF1" w:rsidRDefault="004C724A" w:rsidP="004C724A">
      <w:pPr>
        <w:pStyle w:val="BodyBullet2"/>
      </w:pPr>
      <w:r w:rsidRPr="00685DF1">
        <w:t>Minimum strategic biodiversity value: 0.</w:t>
      </w:r>
      <w:r w:rsidR="002B70E2" w:rsidRPr="00685DF1">
        <w:t>1</w:t>
      </w:r>
      <w:r w:rsidR="002B70E2">
        <w:t>64</w:t>
      </w:r>
    </w:p>
    <w:p w14:paraId="1181D398" w14:textId="6869061E" w:rsidR="004C724A" w:rsidRPr="00685DF1" w:rsidRDefault="004C724A" w:rsidP="004C724A">
      <w:pPr>
        <w:pStyle w:val="BodyBullet2"/>
      </w:pPr>
      <w:r w:rsidRPr="00685DF1">
        <w:t>Large trees: 1</w:t>
      </w:r>
      <w:r w:rsidR="002B70E2">
        <w:t>22</w:t>
      </w:r>
      <w:r w:rsidRPr="00685DF1">
        <w:t xml:space="preserve"> large trees</w:t>
      </w:r>
    </w:p>
    <w:p w14:paraId="3C9F1C26" w14:textId="77777777" w:rsidR="004C724A" w:rsidRPr="004C724A" w:rsidRDefault="004C724A" w:rsidP="004C724A">
      <w:pPr>
        <w:pStyle w:val="BodyBullet1"/>
        <w:rPr>
          <w:b/>
        </w:rPr>
      </w:pPr>
      <w:r w:rsidRPr="004C724A">
        <w:rPr>
          <w:b/>
        </w:rPr>
        <w:t>Species offset amount</w:t>
      </w:r>
      <w:r w:rsidRPr="00E42E67">
        <w:rPr>
          <w:bCs/>
        </w:rPr>
        <w:t>:</w:t>
      </w:r>
    </w:p>
    <w:p w14:paraId="3F07C4E8" w14:textId="77777777" w:rsidR="004C724A" w:rsidRPr="00685DF1" w:rsidRDefault="004C724A" w:rsidP="004C724A">
      <w:pPr>
        <w:pStyle w:val="BodyBullet2"/>
      </w:pPr>
      <w:r w:rsidRPr="00685DF1">
        <w:t>22.945 species units of habitat for Grey-headed Flying-fox</w:t>
      </w:r>
    </w:p>
    <w:p w14:paraId="283872BD" w14:textId="10DCE625" w:rsidR="004C724A" w:rsidRPr="00685DF1" w:rsidRDefault="004C724A" w:rsidP="004C724A">
      <w:pPr>
        <w:pStyle w:val="BodyBullet2"/>
      </w:pPr>
      <w:r w:rsidRPr="00685DF1">
        <w:t xml:space="preserve">Large trees: </w:t>
      </w:r>
      <w:r w:rsidR="002B70E2">
        <w:t>57</w:t>
      </w:r>
      <w:r w:rsidRPr="00685DF1">
        <w:t xml:space="preserve"> trees</w:t>
      </w:r>
    </w:p>
    <w:p w14:paraId="18968EC9" w14:textId="77777777" w:rsidR="004C724A" w:rsidRPr="004C724A" w:rsidRDefault="004C724A" w:rsidP="004C724A">
      <w:pPr>
        <w:pStyle w:val="BodyBullet1"/>
        <w:rPr>
          <w:b/>
        </w:rPr>
      </w:pPr>
      <w:r w:rsidRPr="004C724A">
        <w:rPr>
          <w:b/>
        </w:rPr>
        <w:t>Total number of large trees that the offset must protect</w:t>
      </w:r>
      <w:r w:rsidRPr="00E42E67">
        <w:rPr>
          <w:bCs/>
        </w:rPr>
        <w:t>:</w:t>
      </w:r>
      <w:r w:rsidRPr="004C724A">
        <w:rPr>
          <w:b/>
        </w:rPr>
        <w:t xml:space="preserve"> </w:t>
      </w:r>
      <w:r w:rsidRPr="00027604">
        <w:t>179.</w:t>
      </w:r>
    </w:p>
    <w:p w14:paraId="3565E8FA" w14:textId="4A266D77" w:rsidR="004C724A" w:rsidRDefault="004C724A" w:rsidP="00E42E67">
      <w:pPr>
        <w:pStyle w:val="BodyText"/>
      </w:pPr>
      <w:r w:rsidRPr="00685DF1">
        <w:t>The ability to achieve the offset requirements is subject to the State offsetting process administered by DELWP. The purpose of the offsets is to secure vegetation that is equivalent to the native vegetation being removed or assumed lost, and in this way, make a contribution to Victoria’s biodiversity.</w:t>
      </w:r>
    </w:p>
    <w:sectPr w:rsidR="004C724A" w:rsidSect="003E7DA4">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ED5A9" w14:textId="77777777" w:rsidR="0040134D" w:rsidRDefault="0040134D" w:rsidP="00A02FC6">
      <w:r>
        <w:separator/>
      </w:r>
    </w:p>
    <w:p w14:paraId="6067AC6E" w14:textId="77777777" w:rsidR="0040134D" w:rsidRDefault="0040134D"/>
    <w:p w14:paraId="044ED15B" w14:textId="77777777" w:rsidR="0040134D" w:rsidRDefault="0040134D"/>
  </w:endnote>
  <w:endnote w:type="continuationSeparator" w:id="0">
    <w:p w14:paraId="5BE8247C" w14:textId="77777777" w:rsidR="0040134D" w:rsidRDefault="0040134D" w:rsidP="00A02FC6">
      <w:r>
        <w:continuationSeparator/>
      </w:r>
    </w:p>
    <w:p w14:paraId="73CC9B62" w14:textId="77777777" w:rsidR="0040134D" w:rsidRDefault="0040134D"/>
    <w:p w14:paraId="0B7205DA" w14:textId="77777777" w:rsidR="0040134D" w:rsidRDefault="004013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566A358E-9F1D-43A1-9F44-154A8C789E75}"/>
    <w:embedBold r:id="rId2" w:fontKey="{2E7A85D9-D22E-4C50-861C-A10BACE48CEB}"/>
    <w:embedItalic r:id="rId3" w:fontKey="{CAEDDA9D-590D-42D8-AE63-1FD1D7694201}"/>
  </w:font>
  <w:font w:name="Nunito SemiBold">
    <w:panose1 w:val="00000700000000000000"/>
    <w:charset w:val="00"/>
    <w:family w:val="auto"/>
    <w:pitch w:val="variable"/>
    <w:sig w:usb0="20000007" w:usb1="00000001" w:usb2="00000000" w:usb3="00000000" w:csb0="00000193" w:csb1="00000000"/>
    <w:embedRegular r:id="rId4" w:fontKey="{4B76F724-BC36-453C-AE27-29CD1BAB68C6}"/>
  </w:font>
  <w:font w:name="Tahoma">
    <w:panose1 w:val="020B0604030504040204"/>
    <w:charset w:val="00"/>
    <w:family w:val="swiss"/>
    <w:pitch w:val="variable"/>
    <w:sig w:usb0="E1002EFF" w:usb1="C000605B" w:usb2="00000029" w:usb3="00000000" w:csb0="000101FF" w:csb1="00000000"/>
    <w:embedRegular r:id="rId5" w:fontKey="{C15A91D3-0612-4B00-AF19-86D59E3FE0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37DA8EC5"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6B7B4C">
      <w:t>11–ii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6B7B4C">
      <w:rPr>
        <w:lang w:val="en-US"/>
      </w:rPr>
      <w:t>Chapter 11</w:t>
    </w:r>
    <w:r>
      <w:rPr>
        <w:lang w:val="en-US"/>
      </w:rPr>
      <w:fldChar w:fldCharType="end"/>
    </w:r>
    <w:r w:rsidRPr="006A7B89">
      <w:t xml:space="preserve"> – </w:t>
    </w:r>
    <w:fldSimple w:instr=" STYLEREF  &quot;Heading 1&quot;  \* MERGEFORMAT ">
      <w:r w:rsidR="006B7B4C">
        <w:t>Offsets</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57E98D0B"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6B7B4C">
      <w:rPr>
        <w:lang w:val="en-US"/>
      </w:rPr>
      <w:t>Chapter 11</w:t>
    </w:r>
    <w:r>
      <w:rPr>
        <w:lang w:val="en-US"/>
      </w:rPr>
      <w:fldChar w:fldCharType="end"/>
    </w:r>
    <w:r w:rsidRPr="00AD6412">
      <w:t xml:space="preserve"> – </w:t>
    </w:r>
    <w:fldSimple w:instr=" STYLEREF  &quot;Heading 1&quot;  \* MERGEFORMAT ">
      <w:r w:rsidR="006B7B4C">
        <w:t>Offsets</w:t>
      </w:r>
    </w:fldSimple>
    <w:r w:rsidRPr="00AD6412">
      <w:t xml:space="preserve"> | </w:t>
    </w:r>
    <w:r w:rsidRPr="00AD6412">
      <w:fldChar w:fldCharType="begin"/>
    </w:r>
    <w:r w:rsidRPr="00AD6412">
      <w:instrText xml:space="preserve"> PAGE   \* MERGEFORMAT </w:instrText>
    </w:r>
    <w:r w:rsidRPr="00AD6412">
      <w:fldChar w:fldCharType="separate"/>
    </w:r>
    <w:r w:rsidR="006B7B4C">
      <w:t>11–iii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2D23B2" w:rsidRPr="00013A54" w:rsidRDefault="002D23B2"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1EC03532"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6B7B4C">
      <w:t>11–2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6B7B4C">
      <w:rPr>
        <w:lang w:val="en-US"/>
      </w:rPr>
      <w:t>Chapter 11</w:t>
    </w:r>
    <w:r>
      <w:rPr>
        <w:lang w:val="en-US"/>
      </w:rPr>
      <w:fldChar w:fldCharType="end"/>
    </w:r>
    <w:r w:rsidRPr="006A7B89">
      <w:t xml:space="preserve"> – </w:t>
    </w:r>
    <w:fldSimple w:instr=" STYLEREF  &quot;Heading 1&quot;  \* MERGEFORMAT ">
      <w:r w:rsidR="006B7B4C">
        <w:t>Offsets</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3CDC9FA7"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6B7B4C">
      <w:rPr>
        <w:lang w:val="en-US"/>
      </w:rPr>
      <w:t>Chapter 11</w:t>
    </w:r>
    <w:r>
      <w:rPr>
        <w:lang w:val="en-US"/>
      </w:rPr>
      <w:fldChar w:fldCharType="end"/>
    </w:r>
    <w:r w:rsidRPr="00AD6412">
      <w:t xml:space="preserve"> – </w:t>
    </w:r>
    <w:fldSimple w:instr=" STYLEREF  &quot;Heading 1&quot;  \* MERGEFORMAT ">
      <w:r w:rsidR="006B7B4C">
        <w:t>Offsets</w:t>
      </w:r>
    </w:fldSimple>
    <w:r w:rsidRPr="00AD6412">
      <w:t xml:space="preserve"> | </w:t>
    </w:r>
    <w:r w:rsidRPr="00AD6412">
      <w:fldChar w:fldCharType="begin"/>
    </w:r>
    <w:r w:rsidRPr="00AD6412">
      <w:instrText xml:space="preserve"> PAGE   \* MERGEFORMAT </w:instrText>
    </w:r>
    <w:r w:rsidRPr="00AD6412">
      <w:fldChar w:fldCharType="separate"/>
    </w:r>
    <w:r w:rsidR="006B7B4C">
      <w:t>11–1</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429B6" w14:textId="77777777" w:rsidR="0040134D" w:rsidRDefault="0040134D" w:rsidP="0036083B">
      <w:pPr>
        <w:spacing w:before="360"/>
      </w:pPr>
      <w:r>
        <w:separator/>
      </w:r>
    </w:p>
    <w:p w14:paraId="18A0F4ED" w14:textId="77777777" w:rsidR="0040134D" w:rsidRDefault="0040134D"/>
    <w:p w14:paraId="71E0D859" w14:textId="77777777" w:rsidR="0040134D" w:rsidRDefault="0040134D"/>
  </w:footnote>
  <w:footnote w:type="continuationSeparator" w:id="0">
    <w:p w14:paraId="6D55B111" w14:textId="77777777" w:rsidR="0040134D" w:rsidRDefault="0040134D" w:rsidP="0036083B">
      <w:pPr>
        <w:spacing w:before="360"/>
      </w:pPr>
      <w:r>
        <w:continuationSeparator/>
      </w:r>
    </w:p>
    <w:p w14:paraId="0B76C4A0" w14:textId="77777777" w:rsidR="0040134D" w:rsidRDefault="0040134D"/>
    <w:p w14:paraId="6661F3BB" w14:textId="77777777" w:rsidR="0040134D" w:rsidRDefault="0040134D"/>
  </w:footnote>
  <w:footnote w:type="continuationNotice" w:id="1">
    <w:p w14:paraId="0EB37A55" w14:textId="77777777" w:rsidR="0040134D" w:rsidRDefault="0040134D" w:rsidP="00A02FC6"/>
    <w:p w14:paraId="1668C4AE" w14:textId="77777777" w:rsidR="0040134D" w:rsidRDefault="0040134D"/>
    <w:p w14:paraId="4C4E0AB9" w14:textId="77777777" w:rsidR="0040134D" w:rsidRDefault="0040134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2D23B2" w:rsidRDefault="002D23B2" w:rsidP="007C7ADA">
    <w:pPr>
      <w:pStyle w:val="Header"/>
    </w:pPr>
    <w:r>
      <w:rPr>
        <w:noProof/>
        <w:lang w:eastAsia="en-AU"/>
      </w:rPr>
      <mc:AlternateContent>
        <mc:Choice Requires="wps">
          <w:drawing>
            <wp:anchor distT="0" distB="0" distL="114300" distR="114300" simplePos="0" relativeHeight="251658240" behindDoc="0" locked="0" layoutInCell="1" allowOverlap="1" wp14:anchorId="4E2F50D2" wp14:editId="4F84BAE2">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31E9B1" id="Straight Connector 23"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Bj7wEAABsEAAAOAAAAZHJzL2Uyb0RvYy54bWysU9uO0zAQfUfiHyy/t0l622zUdLVtWV4Q&#10;VCx8gNexG0u+yTZNK8S/M3aTFAESAvHijDNzZuacGa8fzkqiE3NeGF3jYppjxDQ1jdDHGn/+9DQp&#10;MfKB6IZIo1mNL8zjh83rV+vOVmxmWiMb5hAk0b7qbI3bEGyVZZ62TBE/NZZpcHLjFAlwdcescaSD&#10;7EpmszxfZZ1xjXWGMu/h7/7qxJuUn3NGwwfOPQtI1hh6C+l06XyJZ7ZZk+roiG0F7dsg/9CFIkJD&#10;0THVngSCvjjxSyolqDPe8DClRmWGc0FZ4gBsivwnNs8tsSxxAXG8HWXy/y8tfX86OCSaGs/mGGmi&#10;YEbPwRFxbAPaGa1BQeMQOCM7dg7vfOitK7+vu6Kc7++eVpPt4r6cLObb+eR+UW4nxd2s3C5nj4+r&#10;N4tvUefshs8666tUOg4qmTt9cBAUb94eXKxx5k7FL6iEzmlkl3Fk0Ami8LNYFstVnsNo6eCEOgPS&#10;Oh/eMqNQNGoshY5ykoqcgMa1pSEE+rvVTla4SBaDpf7IOEgUqyV0Wk62kw6dCKwVoZTpUPQUU3SE&#10;cSHlCMz/DOzjI5Slxf0b8IhIlY0OI1gJbdzvqofz0DK/xg8KXHlHCV5Mc0lTSdLABqYh9q8lrviP&#10;9wS/venNdwAAAP//AwBQSwMEFAAGAAgAAAAhAMzOlrjfAAAACQEAAA8AAABkcnMvZG93bnJldi54&#10;bWxMj1FLw0AQhN+F/odjC76IvbTaGmIuRYXSByti4w+45rZJaG4v5C5p6q93BUEfd2aYnS9dj7YR&#10;A3a+dqRgPotAIBXO1FQq+Mw3tzEIHzQZ3ThCBRf0sM4mV6lOjDvTBw77UAouIZ9oBVUIbSKlLyq0&#10;2s9ci8Te0XVWBz67UppOn7ncNnIRRStpdU38odItvlRYnPa9VbDdPOPr8tKX92a5zW+GfPf29R4r&#10;dT0dnx5BBBzDXxh+5vN0yHjTwfVkvGgUMEhg9SGag2B7cRevGOXwK8kslf8Jsm8AAAD//wMAUEsB&#10;Ai0AFAAGAAgAAAAhALaDOJL+AAAA4QEAABMAAAAAAAAAAAAAAAAAAAAAAFtDb250ZW50X1R5cGVz&#10;XS54bWxQSwECLQAUAAYACAAAACEAOP0h/9YAAACUAQAACwAAAAAAAAAAAAAAAAAvAQAAX3JlbHMv&#10;LnJlbHNQSwECLQAUAAYACAAAACEA4QLgY+8BAAAbBAAADgAAAAAAAAAAAAAAAAAuAgAAZHJzL2Uy&#10;b0RvYy54bWxQSwECLQAUAAYACAAAACEAzM6WuN8AAAAJAQAADwAAAAAAAAAAAAAAAABJBAAAZHJz&#10;L2Rvd25yZXYueG1sUEsFBgAAAAAEAAQA8wAAAFUFA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2D23B2" w:rsidRDefault="002D23B2" w:rsidP="005810AD">
    <w:pPr>
      <w:pStyle w:val="Header"/>
    </w:pPr>
    <w:r>
      <w:rPr>
        <w:noProof/>
        <w:lang w:eastAsia="en-AU"/>
      </w:rPr>
      <w:drawing>
        <wp:anchor distT="0" distB="0" distL="114300" distR="114300" simplePos="0" relativeHeight="251660288" behindDoc="1" locked="1" layoutInCell="1" allowOverlap="1" wp14:anchorId="12B7F931" wp14:editId="667C7815">
          <wp:simplePos x="1078302" y="414068"/>
          <wp:positionH relativeFrom="page">
            <wp:align>right</wp:align>
          </wp:positionH>
          <wp:positionV relativeFrom="page">
            <wp:align>top</wp:align>
          </wp:positionV>
          <wp:extent cx="3798000" cy="1184400"/>
          <wp:effectExtent l="0" t="0" r="0" b="0"/>
          <wp:wrapNone/>
          <wp:docPr id="2" name="Pictur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075ACAB8" w:rsidR="002D23B2" w:rsidRPr="00D3135D" w:rsidRDefault="008B5E4E" w:rsidP="000C3A8D">
    <w:pPr>
      <w:pStyle w:val="HeaderFirstPage"/>
    </w:pPr>
    <w:r>
      <w:rPr>
        <w:lang w:eastAsia="en-AU"/>
      </w:rPr>
      <w:drawing>
        <wp:anchor distT="0" distB="0" distL="114300" distR="114300" simplePos="0" relativeHeight="251656192" behindDoc="1" locked="1" layoutInCell="1" allowOverlap="1" wp14:anchorId="411FA59F" wp14:editId="62BF0A36">
          <wp:simplePos x="0" y="0"/>
          <wp:positionH relativeFrom="column">
            <wp:posOffset>-1079500</wp:posOffset>
          </wp:positionH>
          <wp:positionV relativeFrom="paragraph">
            <wp:posOffset>-360680</wp:posOffset>
          </wp:positionV>
          <wp:extent cx="7561571" cy="10693400"/>
          <wp:effectExtent l="0" t="0" r="1905" b="0"/>
          <wp:wrapNone/>
          <wp:docPr id="3" name="Pictur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 Ch 11.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2D23B2">
      <w:t xml:space="preserve">Public </w:t>
    </w:r>
    <w:r w:rsidR="002D23B2" w:rsidRPr="00D3135D">
      <w:t>Environment</w:t>
    </w:r>
    <w:r w:rsidR="002D23B2">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250E62" w:themeColor="accent1"/>
        <w:sz w:val="18"/>
      </w:rPr>
    </w:lvl>
    <w:lvl w:ilvl="1">
      <w:start w:val="1"/>
      <w:numFmt w:val="bullet"/>
      <w:lvlText w:val="–"/>
      <w:lvlJc w:val="left"/>
      <w:pPr>
        <w:ind w:left="680" w:hanging="340"/>
      </w:pPr>
      <w:rPr>
        <w:rFonts w:ascii="Arial" w:hAnsi="Arial" w:hint="default"/>
        <w:b w:val="0"/>
        <w:i w:val="0"/>
        <w:color w:val="250E62" w:themeColor="accent1"/>
        <w:sz w:val="18"/>
      </w:rPr>
    </w:lvl>
    <w:lvl w:ilvl="2">
      <w:start w:val="1"/>
      <w:numFmt w:val="bullet"/>
      <w:lvlText w:val="-"/>
      <w:lvlJc w:val="left"/>
      <w:pPr>
        <w:ind w:left="1020" w:hanging="340"/>
      </w:pPr>
      <w:rPr>
        <w:rFonts w:ascii="Arial" w:hAnsi="Arial" w:hint="default"/>
        <w:b w:val="0"/>
        <w:i w:val="0"/>
        <w:color w:val="250E62"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C7376B5"/>
    <w:multiLevelType w:val="multilevel"/>
    <w:tmpl w:val="086C8800"/>
    <w:lvl w:ilvl="0">
      <w:start w:val="11"/>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250E62" w:themeColor="accent1"/>
      </w:rPr>
    </w:lvl>
    <w:lvl w:ilvl="1">
      <w:start w:val="1"/>
      <w:numFmt w:val="lowerLetter"/>
      <w:lvlText w:val="%2"/>
      <w:lvlJc w:val="left"/>
      <w:pPr>
        <w:ind w:left="680" w:hanging="340"/>
      </w:pPr>
      <w:rPr>
        <w:rFonts w:hint="default"/>
        <w:color w:val="250E62" w:themeColor="accent1"/>
      </w:rPr>
    </w:lvl>
    <w:lvl w:ilvl="2">
      <w:start w:val="1"/>
      <w:numFmt w:val="lowerRoman"/>
      <w:lvlText w:val="%3"/>
      <w:lvlJc w:val="left"/>
      <w:pPr>
        <w:ind w:left="1021" w:hanging="341"/>
      </w:pPr>
      <w:rPr>
        <w:rFonts w:hint="default"/>
        <w:color w:val="250E62"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631707"/>
    <w:multiLevelType w:val="multilevel"/>
    <w:tmpl w:val="315CE1EC"/>
    <w:lvl w:ilvl="0">
      <w:start w:val="1"/>
      <w:numFmt w:val="upperLetter"/>
      <w:lvlText w:val="Appendix %1"/>
      <w:lvlJc w:val="left"/>
      <w:pPr>
        <w:ind w:left="2552" w:hanging="2552"/>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250E62" w:themeColor="accent1"/>
        <w:sz w:val="22"/>
      </w:rPr>
    </w:lvl>
    <w:lvl w:ilvl="7">
      <w:start w:val="1"/>
      <w:numFmt w:val="decimal"/>
      <w:lvlText w:val="%1.%2.%3.%4.%5.%6.%7.%8."/>
      <w:lvlJc w:val="left"/>
      <w:pPr>
        <w:ind w:left="3744" w:hanging="1224"/>
      </w:pPr>
      <w:rPr>
        <w:rFonts w:hint="default"/>
        <w:b w:val="0"/>
        <w:i w:val="0"/>
        <w:color w:val="250E62" w:themeColor="accent1"/>
        <w:sz w:val="22"/>
      </w:rPr>
    </w:lvl>
    <w:lvl w:ilvl="8">
      <w:start w:val="1"/>
      <w:numFmt w:val="decimal"/>
      <w:lvlText w:val="%1.%2.%3.%4.%5.%6.%7.%8.%9."/>
      <w:lvlJc w:val="left"/>
      <w:pPr>
        <w:ind w:left="4320" w:hanging="1440"/>
      </w:pPr>
      <w:rPr>
        <w:rFonts w:hint="default"/>
        <w:b w:val="0"/>
        <w:i w:val="0"/>
        <w:color w:val="250E62" w:themeColor="accent1"/>
        <w:sz w:val="22"/>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250E62" w:themeColor="accent1"/>
        <w:sz w:val="22"/>
      </w:rPr>
    </w:lvl>
    <w:lvl w:ilvl="7">
      <w:start w:val="1"/>
      <w:numFmt w:val="decimal"/>
      <w:lvlText w:val="%1.%2.%3.%4.%5.%6.%7.%8."/>
      <w:lvlJc w:val="left"/>
      <w:pPr>
        <w:ind w:left="3744" w:hanging="1224"/>
      </w:pPr>
      <w:rPr>
        <w:rFonts w:hint="default"/>
        <w:b w:val="0"/>
        <w:i w:val="0"/>
        <w:color w:val="250E62" w:themeColor="accent1"/>
        <w:sz w:val="22"/>
      </w:rPr>
    </w:lvl>
    <w:lvl w:ilvl="8">
      <w:start w:val="1"/>
      <w:numFmt w:val="decimal"/>
      <w:lvlText w:val="%1.%2.%3.%4.%5.%6.%7.%8.%9."/>
      <w:lvlJc w:val="left"/>
      <w:pPr>
        <w:ind w:left="4320" w:hanging="1440"/>
      </w:pPr>
      <w:rPr>
        <w:rFonts w:hint="default"/>
        <w:b w:val="0"/>
        <w:i w:val="0"/>
        <w:color w:val="250E62"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866E13"/>
    <w:multiLevelType w:val="multilevel"/>
    <w:tmpl w:val="6F1AB578"/>
    <w:lvl w:ilvl="0">
      <w:start w:val="1"/>
      <w:numFmt w:val="decimal"/>
      <w:suff w:val="nothing"/>
      <w:lvlText w:val="Chapter %1"/>
      <w:lvlJc w:val="left"/>
      <w:pPr>
        <w:ind w:left="0" w:firstLine="0"/>
      </w:pPr>
      <w:rPr>
        <w:rFonts w:hint="default"/>
        <w:color w:val="009A44" w:themeColor="accent2"/>
      </w:rPr>
    </w:lvl>
    <w:lvl w:ilvl="1">
      <w:start w:val="1"/>
      <w:numFmt w:val="decimal"/>
      <w:lvlText w:val="%1.%2"/>
      <w:lvlJc w:val="left"/>
      <w:pPr>
        <w:ind w:left="1418" w:hanging="1418"/>
      </w:pPr>
      <w:rPr>
        <w:rFonts w:hint="default"/>
        <w:color w:val="250E62" w:themeColor="accent1"/>
      </w:rPr>
    </w:lvl>
    <w:lvl w:ilvl="2">
      <w:start w:val="1"/>
      <w:numFmt w:val="decimal"/>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4" w15:restartNumberingAfterBreak="0">
    <w:nsid w:val="75CF5E10"/>
    <w:multiLevelType w:val="multilevel"/>
    <w:tmpl w:val="72549E40"/>
    <w:lvl w:ilvl="0">
      <w:start w:val="1"/>
      <w:numFmt w:val="decimal"/>
      <w:lvlText w:val="%1"/>
      <w:lvlJc w:val="left"/>
      <w:pPr>
        <w:ind w:left="851" w:hanging="851"/>
      </w:pPr>
      <w:rPr>
        <w:rFonts w:hint="default"/>
        <w:color w:val="636569" w:themeColor="text2"/>
      </w:rPr>
    </w:lvl>
    <w:lvl w:ilvl="1">
      <w:start w:val="1"/>
      <w:numFmt w:val="decimal"/>
      <w:lvlText w:val="%1.%2"/>
      <w:lvlJc w:val="left"/>
      <w:pPr>
        <w:ind w:left="1134" w:hanging="1134"/>
      </w:pPr>
      <w:rPr>
        <w:rFonts w:hint="default"/>
        <w:color w:val="636569" w:themeColor="text2"/>
      </w:rPr>
    </w:lvl>
    <w:lvl w:ilvl="2">
      <w:start w:val="1"/>
      <w:numFmt w:val="decimal"/>
      <w:lvlText w:val="%1.%2.%3"/>
      <w:lvlJc w:val="left"/>
      <w:pPr>
        <w:ind w:left="1418" w:hanging="1418"/>
      </w:pPr>
      <w:rPr>
        <w:rFonts w:hint="default"/>
        <w:color w:val="250E62" w:themeColor="accent1"/>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5"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3"/>
  </w:num>
  <w:num w:numId="13">
    <w:abstractNumId w:val="23"/>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3"/>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8"/>
  </w:num>
  <w:num w:numId="20">
    <w:abstractNumId w:val="25"/>
  </w:num>
  <w:num w:numId="21">
    <w:abstractNumId w:val="20"/>
  </w:num>
  <w:num w:numId="22">
    <w:abstractNumId w:val="14"/>
  </w:num>
  <w:num w:numId="23">
    <w:abstractNumId w:val="12"/>
  </w:num>
  <w:num w:numId="24">
    <w:abstractNumId w:val="10"/>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Restart w:val="0"/>
        <w:isLgl/>
        <w:lvlText w:val="%1.%2"/>
        <w:lvlJc w:val="left"/>
        <w:pPr>
          <w:ind w:left="851" w:hanging="851"/>
        </w:pPr>
        <w:rPr>
          <w:rFonts w:hint="default"/>
          <w:color w:val="636569" w:themeColor="text2"/>
        </w:rPr>
      </w:lvl>
    </w:lvlOverride>
    <w:lvlOverride w:ilvl="2">
      <w:lvl w:ilvl="2">
        <w:start w:val="1"/>
        <w:numFmt w:val="decimal"/>
        <w:lvlRestart w:val="0"/>
        <w:isLgl/>
        <w:lvlText w:val="%1.%2.%3"/>
        <w:lvlJc w:val="left"/>
        <w:pPr>
          <w:ind w:left="1021" w:hanging="1021"/>
        </w:pPr>
        <w:rPr>
          <w:rFonts w:hint="default"/>
          <w:color w:val="636569"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250E62" w:themeColor="accent1"/>
        </w:rPr>
      </w:lvl>
    </w:lvlOverride>
    <w:lvlOverride w:ilvl="7">
      <w:lvl w:ilvl="7">
        <w:start w:val="1"/>
        <w:numFmt w:val="lowerLetter"/>
        <w:lvlText w:val="%8"/>
        <w:lvlJc w:val="left"/>
        <w:pPr>
          <w:ind w:left="680" w:hanging="340"/>
        </w:pPr>
        <w:rPr>
          <w:rFonts w:hint="default"/>
          <w:color w:val="250E62" w:themeColor="accent1"/>
        </w:rPr>
      </w:lvl>
    </w:lvlOverride>
    <w:lvlOverride w:ilvl="8">
      <w:lvl w:ilvl="8">
        <w:start w:val="1"/>
        <w:numFmt w:val="lowerRoman"/>
        <w:lvlText w:val="%9"/>
        <w:lvlJc w:val="left"/>
        <w:pPr>
          <w:ind w:left="1021" w:hanging="341"/>
        </w:pPr>
        <w:rPr>
          <w:rFonts w:hint="default"/>
          <w:color w:val="250E62" w:themeColor="accent1"/>
        </w:rPr>
      </w:lvl>
    </w:lvlOverride>
  </w:num>
  <w:num w:numId="29">
    <w:abstractNumId w:val="21"/>
  </w:num>
  <w:num w:numId="30">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636569" w:themeColor="text2"/>
        </w:rPr>
      </w:lvl>
    </w:lvlOverride>
    <w:lvlOverride w:ilvl="3">
      <w:lvl w:ilvl="3">
        <w:start w:val="1"/>
        <w:numFmt w:val="none"/>
        <w:suff w:val="nothing"/>
        <w:lvlText w:val=""/>
        <w:lvlJc w:val="left"/>
        <w:pPr>
          <w:ind w:left="0" w:firstLine="0"/>
        </w:pPr>
        <w:rPr>
          <w:rFonts w:hint="default"/>
          <w:color w:val="636569" w:themeColor="text2"/>
        </w:rPr>
      </w:lvl>
    </w:lvlOverride>
    <w:lvlOverride w:ilvl="4">
      <w:lvl w:ilvl="4">
        <w:start w:val="1"/>
        <w:numFmt w:val="none"/>
        <w:suff w:val="nothing"/>
        <w:lvlText w:val=""/>
        <w:lvlJc w:val="left"/>
        <w:pPr>
          <w:ind w:left="851" w:hanging="851"/>
        </w:pPr>
        <w:rPr>
          <w:rFonts w:hint="default"/>
          <w:color w:val="636569" w:themeColor="text2"/>
        </w:rPr>
      </w:lvl>
    </w:lvlOverride>
    <w:lvlOverride w:ilvl="5">
      <w:lvl w:ilvl="5">
        <w:start w:val="1"/>
        <w:numFmt w:val="decimal"/>
        <w:suff w:val="nothing"/>
        <w:lvlText w:val="%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decimal"/>
        <w:lvlRestart w:val="0"/>
        <w:suff w:val="nothing"/>
        <w:lvlText w:val="%7"/>
        <w:lvlJc w:val="left"/>
        <w:pPr>
          <w:ind w:left="0" w:firstLine="0"/>
        </w:pPr>
        <w:rPr>
          <w:rFonts w:hint="default"/>
          <w:color w:val="636569" w:themeColor="text2"/>
        </w:rPr>
      </w:lvl>
    </w:lvlOverride>
    <w:lvlOverride w:ilvl="8">
      <w:lvl w:ilvl="8">
        <w:start w:val="1"/>
        <w:numFmt w:val="decimal"/>
        <w:lvlRestart w:val="0"/>
        <w:suff w:val="nothing"/>
        <w:lvlText w:val="%7"/>
        <w:lvlJc w:val="left"/>
        <w:pPr>
          <w:ind w:left="0" w:firstLine="0"/>
        </w:pPr>
        <w:rPr>
          <w:rFonts w:hint="default"/>
          <w:color w:val="636569" w:themeColor="text2"/>
        </w:rPr>
      </w:lvl>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 w:ilvl="0">
        <w:start w:val="1"/>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 w:ilvl="0">
        <w:start w:val="10"/>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5">
    <w:abstractNumId w:val="15"/>
  </w:num>
  <w:num w:numId="36">
    <w:abstractNumId w:val="24"/>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0"/>
      <w:lvl w:ilvl="0">
        <w:start w:val="10"/>
        <w:numFmt w:val="decimal"/>
        <w:lvlText w:val="%1"/>
        <w:lvlJc w:val="left"/>
        <w:pPr>
          <w:ind w:left="851" w:hanging="851"/>
        </w:pPr>
        <w:rPr>
          <w:rFonts w:hint="default"/>
          <w:color w:val="B6BE34"/>
        </w:rPr>
      </w:lvl>
    </w:lvlOverride>
    <w:lvlOverride w:ilvl="1">
      <w:startOverride w:val="10"/>
      <w:lvl w:ilvl="1">
        <w:start w:val="10"/>
        <w:numFmt w:val="decimal"/>
        <w:lvlText w:val="%1.%2"/>
        <w:lvlJc w:val="left"/>
        <w:pPr>
          <w:ind w:left="851" w:hanging="851"/>
        </w:pPr>
        <w:rPr>
          <w:rFonts w:hint="default"/>
          <w:color w:val="636569" w:themeColor="text2"/>
        </w:rPr>
      </w:lvl>
    </w:lvlOverride>
    <w:lvlOverride w:ilvl="2">
      <w:startOverride w:val="10"/>
      <w:lvl w:ilvl="2">
        <w:start w:val="10"/>
        <w:numFmt w:val="decimal"/>
        <w:lvlText w:val="%1.%2.%3"/>
        <w:lvlJc w:val="left"/>
        <w:pPr>
          <w:ind w:left="1021" w:hanging="1021"/>
        </w:pPr>
        <w:rPr>
          <w:rFonts w:hint="default"/>
          <w:color w:val="250E62" w:themeColor="accent1"/>
        </w:rPr>
      </w:lvl>
    </w:lvlOverride>
    <w:lvlOverride w:ilvl="3">
      <w:startOverride w:val="1"/>
      <w:lvl w:ilvl="3">
        <w:start w:val="1"/>
        <w:numFmt w:val="none"/>
        <w:lvlRestart w:val="0"/>
        <w:suff w:val="nothing"/>
        <w:lvlText w:val=""/>
        <w:lvlJc w:val="left"/>
        <w:pPr>
          <w:ind w:left="0" w:firstLine="0"/>
        </w:pPr>
        <w:rPr>
          <w:rFonts w:hint="default"/>
          <w:color w:val="636569" w:themeColor="text2"/>
        </w:rPr>
      </w:lvl>
    </w:lvlOverride>
    <w:lvlOverride w:ilvl="4">
      <w:startOverride w:val="1"/>
      <w:lvl w:ilvl="4">
        <w:start w:val="1"/>
        <w:numFmt w:val="none"/>
        <w:lvlRestart w:val="0"/>
        <w:suff w:val="nothing"/>
        <w:lvlText w:val=""/>
        <w:lvlJc w:val="left"/>
        <w:pPr>
          <w:ind w:left="0" w:firstLine="0"/>
        </w:pPr>
        <w:rPr>
          <w:rFonts w:hint="default"/>
          <w:color w:val="636569" w:themeColor="text2"/>
        </w:rPr>
      </w:lvl>
    </w:lvlOverride>
    <w:lvlOverride w:ilvl="5">
      <w:startOverride w:val="1"/>
      <w:lvl w:ilvl="5">
        <w:start w:val="1"/>
        <w:numFmt w:val="none"/>
        <w:lvlRestart w:val="0"/>
        <w:suff w:val="nothing"/>
        <w:lvlText w:val="%6%4"/>
        <w:lvlJc w:val="left"/>
        <w:pPr>
          <w:ind w:left="0" w:firstLine="0"/>
        </w:pPr>
        <w:rPr>
          <w:rFonts w:hint="default"/>
          <w:color w:val="636569" w:themeColor="text2"/>
        </w:rPr>
      </w:lvl>
    </w:lvlOverride>
    <w:lvlOverride w:ilvl="6">
      <w:startOverride w:val="1"/>
      <w:lvl w:ilvl="6">
        <w:start w:val="1"/>
        <w:numFmt w:val="none"/>
        <w:lvlRestart w:val="0"/>
        <w:suff w:val="nothing"/>
        <w:lvlText w:val=""/>
        <w:lvlJc w:val="left"/>
        <w:pPr>
          <w:ind w:left="0" w:firstLine="0"/>
        </w:pPr>
        <w:rPr>
          <w:rFonts w:hint="default"/>
          <w:color w:val="636569" w:themeColor="text2"/>
        </w:rPr>
      </w:lvl>
    </w:lvlOverride>
    <w:lvlOverride w:ilvl="7">
      <w:startOverride w:val="1"/>
      <w:lvl w:ilvl="7">
        <w:start w:val="1"/>
        <w:numFmt w:val="none"/>
        <w:lvlRestart w:val="0"/>
        <w:suff w:val="nothing"/>
        <w:lvlText w:val=""/>
        <w:lvlJc w:val="left"/>
        <w:pPr>
          <w:ind w:left="0" w:firstLine="0"/>
        </w:pPr>
        <w:rPr>
          <w:rFonts w:hint="default"/>
          <w:color w:val="636569" w:themeColor="text2"/>
        </w:rPr>
      </w:lvl>
    </w:lvlOverride>
    <w:lvlOverride w:ilvl="8">
      <w:startOverride w:val="1"/>
      <w:lvl w:ilvl="8">
        <w:start w:val="1"/>
        <w:numFmt w:val="none"/>
        <w:lvlRestart w:val="0"/>
        <w:suff w:val="nothing"/>
        <w:lvlText w:val=""/>
        <w:lvlJc w:val="left"/>
        <w:pPr>
          <w:ind w:left="0" w:firstLine="0"/>
        </w:pPr>
        <w:rPr>
          <w:rFonts w:hint="default"/>
          <w:color w:val="636569" w:themeColor="text2"/>
        </w:rPr>
      </w:lvl>
    </w:lvlOverride>
  </w:num>
  <w:num w:numId="38">
    <w:abstractNumId w:val="24"/>
  </w:num>
  <w:num w:numId="39">
    <w:abstractNumId w:val="24"/>
    <w:lvlOverride w:ilvl="0">
      <w:lvl w:ilvl="0">
        <w:start w:val="10"/>
        <w:numFmt w:val="decimal"/>
        <w:lvlText w:val="%1"/>
        <w:lvlJc w:val="left"/>
        <w:pPr>
          <w:ind w:left="851" w:hanging="851"/>
        </w:pPr>
        <w:rPr>
          <w:rFonts w:hint="default"/>
          <w:color w:val="B6BE34"/>
        </w:rPr>
      </w:lvl>
    </w:lvlOverride>
    <w:lvlOverride w:ilvl="1">
      <w:lvl w:ilvl="1">
        <w:start w:val="10"/>
        <w:numFmt w:val="decimal"/>
        <w:lvlText w:val="%1.%2"/>
        <w:lvlJc w:val="left"/>
        <w:pPr>
          <w:ind w:left="851" w:hanging="851"/>
        </w:pPr>
        <w:rPr>
          <w:rFonts w:hint="default"/>
          <w:color w:val="636569" w:themeColor="text2"/>
        </w:rPr>
      </w:lvl>
    </w:lvlOverride>
    <w:lvlOverride w:ilvl="2">
      <w:lvl w:ilvl="2">
        <w:start w:val="10"/>
        <w:numFmt w:val="decimal"/>
        <w:lvlText w:val="%1.%2.%3"/>
        <w:lvlJc w:val="left"/>
        <w:pPr>
          <w:ind w:left="1361" w:hanging="136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0">
    <w:abstractNumId w:val="24"/>
  </w:num>
  <w:num w:numId="41">
    <w:abstractNumId w:val="2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3"/>
  </w:num>
  <w:num w:numId="44">
    <w:abstractNumId w:val="13"/>
    <w:lvlOverride w:ilvl="0">
      <w:lvl w:ilvl="0">
        <w:start w:val="27"/>
        <w:numFmt w:val="decimal"/>
        <w:pStyle w:val="Heading1"/>
        <w:lvlText w:val="Chapter %1"/>
        <w:lvlJc w:val="left"/>
        <w:pPr>
          <w:tabs>
            <w:tab w:val="num" w:pos="9072"/>
          </w:tabs>
          <w:ind w:left="0" w:firstLine="0"/>
        </w:pPr>
        <w:rPr>
          <w:rFonts w:hint="default"/>
          <w:color w:val="009A44" w:themeColor="accent2"/>
        </w:rPr>
      </w:lvl>
    </w:lvlOverride>
    <w:lvlOverride w:ilvl="1">
      <w:lvl w:ilvl="1">
        <w:start w:val="1"/>
        <w:numFmt w:val="decimal"/>
        <w:pStyle w:val="Heading2"/>
        <w:lvlText w:val="%1.%2"/>
        <w:lvlJc w:val="left"/>
        <w:pPr>
          <w:ind w:left="1418" w:hanging="1418"/>
        </w:pPr>
        <w:rPr>
          <w:rFonts w:hint="default"/>
          <w:color w:val="250E62" w:themeColor="accent1"/>
        </w:rPr>
      </w:lvl>
    </w:lvlOverride>
    <w:lvlOverride w:ilvl="2">
      <w:lvl w:ilvl="2">
        <w:start w:val="1"/>
        <w:numFmt w:val="decimal"/>
        <w:pStyle w:val="Heading3"/>
        <w:lvlText w:val="%1.%2.%3"/>
        <w:lvlJc w:val="left"/>
        <w:pPr>
          <w:ind w:left="1418" w:hanging="1418"/>
        </w:pPr>
        <w:rPr>
          <w:rFonts w:hint="default"/>
          <w:color w:val="009A44"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5">
    <w:abstractNumId w:val="19"/>
  </w:num>
  <w:num w:numId="46">
    <w:abstractNumId w:val="13"/>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 w:numId="51">
    <w:abstractNumId w:val="23"/>
  </w:num>
  <w:num w:numId="52">
    <w:abstractNumId w:val="23"/>
  </w:num>
  <w:num w:numId="53">
    <w:abstractNumId w:val="23"/>
  </w:num>
  <w:num w:numId="54">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SortMethod w:val="0000"/>
  <w:documentProtection w:formatting="1" w:enforcement="1"/>
  <w:defaultTabStop w:val="720"/>
  <w:evenAndOddHeaders/>
  <w:characterSpacingControl w:val="doNotCompress"/>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AC7"/>
    <w:rsid w:val="00003622"/>
    <w:rsid w:val="00007E73"/>
    <w:rsid w:val="00013A54"/>
    <w:rsid w:val="00013C24"/>
    <w:rsid w:val="00014A01"/>
    <w:rsid w:val="0001553D"/>
    <w:rsid w:val="00017047"/>
    <w:rsid w:val="00021CEC"/>
    <w:rsid w:val="00023787"/>
    <w:rsid w:val="00025963"/>
    <w:rsid w:val="000267FC"/>
    <w:rsid w:val="00027604"/>
    <w:rsid w:val="00027A10"/>
    <w:rsid w:val="00027AFC"/>
    <w:rsid w:val="00030198"/>
    <w:rsid w:val="000303C6"/>
    <w:rsid w:val="0003047D"/>
    <w:rsid w:val="00035088"/>
    <w:rsid w:val="00036C14"/>
    <w:rsid w:val="00037D07"/>
    <w:rsid w:val="0004094D"/>
    <w:rsid w:val="00044695"/>
    <w:rsid w:val="0004776D"/>
    <w:rsid w:val="00047F4F"/>
    <w:rsid w:val="00050AF0"/>
    <w:rsid w:val="00052CFD"/>
    <w:rsid w:val="00053ED4"/>
    <w:rsid w:val="0005668D"/>
    <w:rsid w:val="00056FDF"/>
    <w:rsid w:val="00062416"/>
    <w:rsid w:val="00062605"/>
    <w:rsid w:val="000639E5"/>
    <w:rsid w:val="00070A2B"/>
    <w:rsid w:val="0007669C"/>
    <w:rsid w:val="00080123"/>
    <w:rsid w:val="00083077"/>
    <w:rsid w:val="00095E7F"/>
    <w:rsid w:val="000A247E"/>
    <w:rsid w:val="000A2DFD"/>
    <w:rsid w:val="000A4DFB"/>
    <w:rsid w:val="000A554C"/>
    <w:rsid w:val="000A661C"/>
    <w:rsid w:val="000A6F16"/>
    <w:rsid w:val="000B5B9F"/>
    <w:rsid w:val="000B5D48"/>
    <w:rsid w:val="000B7555"/>
    <w:rsid w:val="000C0031"/>
    <w:rsid w:val="000C1A6D"/>
    <w:rsid w:val="000C2020"/>
    <w:rsid w:val="000C2DBD"/>
    <w:rsid w:val="000C3A8D"/>
    <w:rsid w:val="000C4409"/>
    <w:rsid w:val="000C5AB3"/>
    <w:rsid w:val="000C6688"/>
    <w:rsid w:val="000C7A90"/>
    <w:rsid w:val="000D16A5"/>
    <w:rsid w:val="000D255B"/>
    <w:rsid w:val="000D4CE8"/>
    <w:rsid w:val="000D72B1"/>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4E6E"/>
    <w:rsid w:val="001078E8"/>
    <w:rsid w:val="001130DB"/>
    <w:rsid w:val="0011570F"/>
    <w:rsid w:val="00116DDF"/>
    <w:rsid w:val="00117B0A"/>
    <w:rsid w:val="00120813"/>
    <w:rsid w:val="00120DF1"/>
    <w:rsid w:val="00122255"/>
    <w:rsid w:val="001229F0"/>
    <w:rsid w:val="00122FCC"/>
    <w:rsid w:val="00123162"/>
    <w:rsid w:val="001234E9"/>
    <w:rsid w:val="00124A1C"/>
    <w:rsid w:val="0012791D"/>
    <w:rsid w:val="001320D7"/>
    <w:rsid w:val="0013218F"/>
    <w:rsid w:val="001331C9"/>
    <w:rsid w:val="00134675"/>
    <w:rsid w:val="00142291"/>
    <w:rsid w:val="00144BBA"/>
    <w:rsid w:val="00147E56"/>
    <w:rsid w:val="001503D3"/>
    <w:rsid w:val="0015097B"/>
    <w:rsid w:val="00150F46"/>
    <w:rsid w:val="00153CF5"/>
    <w:rsid w:val="00154355"/>
    <w:rsid w:val="001574D4"/>
    <w:rsid w:val="00157ECB"/>
    <w:rsid w:val="00161FE6"/>
    <w:rsid w:val="00163CED"/>
    <w:rsid w:val="001668AB"/>
    <w:rsid w:val="00172168"/>
    <w:rsid w:val="001726FF"/>
    <w:rsid w:val="00172886"/>
    <w:rsid w:val="00173811"/>
    <w:rsid w:val="00174C76"/>
    <w:rsid w:val="00174E12"/>
    <w:rsid w:val="001775A3"/>
    <w:rsid w:val="00181925"/>
    <w:rsid w:val="00181A7E"/>
    <w:rsid w:val="00192F51"/>
    <w:rsid w:val="0019472B"/>
    <w:rsid w:val="00196EC8"/>
    <w:rsid w:val="001976D2"/>
    <w:rsid w:val="00197EFB"/>
    <w:rsid w:val="001A181E"/>
    <w:rsid w:val="001A7160"/>
    <w:rsid w:val="001A75E1"/>
    <w:rsid w:val="001A76AF"/>
    <w:rsid w:val="001B30F7"/>
    <w:rsid w:val="001B4565"/>
    <w:rsid w:val="001B515C"/>
    <w:rsid w:val="001B7703"/>
    <w:rsid w:val="001C1A26"/>
    <w:rsid w:val="001C1AC7"/>
    <w:rsid w:val="001C1E5B"/>
    <w:rsid w:val="001C3F61"/>
    <w:rsid w:val="001C5EC2"/>
    <w:rsid w:val="001C6171"/>
    <w:rsid w:val="001D15FC"/>
    <w:rsid w:val="001D1BDA"/>
    <w:rsid w:val="001D25DA"/>
    <w:rsid w:val="001D3B17"/>
    <w:rsid w:val="001D5F37"/>
    <w:rsid w:val="001D6464"/>
    <w:rsid w:val="001D6F2D"/>
    <w:rsid w:val="001E013A"/>
    <w:rsid w:val="001E11E4"/>
    <w:rsid w:val="001E2899"/>
    <w:rsid w:val="001E4C74"/>
    <w:rsid w:val="001E7FC7"/>
    <w:rsid w:val="001F3F88"/>
    <w:rsid w:val="001F571B"/>
    <w:rsid w:val="001F6DF9"/>
    <w:rsid w:val="001F76EB"/>
    <w:rsid w:val="001F7827"/>
    <w:rsid w:val="00201900"/>
    <w:rsid w:val="002021BF"/>
    <w:rsid w:val="00204EE2"/>
    <w:rsid w:val="00207206"/>
    <w:rsid w:val="00207F25"/>
    <w:rsid w:val="00212BA8"/>
    <w:rsid w:val="002134B1"/>
    <w:rsid w:val="002139D2"/>
    <w:rsid w:val="00213EDF"/>
    <w:rsid w:val="002142B2"/>
    <w:rsid w:val="00214BFE"/>
    <w:rsid w:val="00217987"/>
    <w:rsid w:val="00220CDD"/>
    <w:rsid w:val="002215C7"/>
    <w:rsid w:val="00222DEB"/>
    <w:rsid w:val="00224E65"/>
    <w:rsid w:val="00231721"/>
    <w:rsid w:val="00237A77"/>
    <w:rsid w:val="0024199C"/>
    <w:rsid w:val="002428EE"/>
    <w:rsid w:val="00245DF1"/>
    <w:rsid w:val="00247065"/>
    <w:rsid w:val="00247807"/>
    <w:rsid w:val="002500AE"/>
    <w:rsid w:val="0025023D"/>
    <w:rsid w:val="00253B4A"/>
    <w:rsid w:val="00254110"/>
    <w:rsid w:val="0025542C"/>
    <w:rsid w:val="002561AD"/>
    <w:rsid w:val="0025787E"/>
    <w:rsid w:val="002609FD"/>
    <w:rsid w:val="00261F88"/>
    <w:rsid w:val="0026281E"/>
    <w:rsid w:val="00265073"/>
    <w:rsid w:val="0027245C"/>
    <w:rsid w:val="00277AF5"/>
    <w:rsid w:val="002811F9"/>
    <w:rsid w:val="00281BBF"/>
    <w:rsid w:val="00282B57"/>
    <w:rsid w:val="00283B87"/>
    <w:rsid w:val="002867A7"/>
    <w:rsid w:val="00287D24"/>
    <w:rsid w:val="00292D2A"/>
    <w:rsid w:val="0029345C"/>
    <w:rsid w:val="00293DA5"/>
    <w:rsid w:val="00294914"/>
    <w:rsid w:val="0029614E"/>
    <w:rsid w:val="002A05B1"/>
    <w:rsid w:val="002A4AF1"/>
    <w:rsid w:val="002B05F6"/>
    <w:rsid w:val="002B282F"/>
    <w:rsid w:val="002B4B77"/>
    <w:rsid w:val="002B65E9"/>
    <w:rsid w:val="002B6EF0"/>
    <w:rsid w:val="002B70E2"/>
    <w:rsid w:val="002B721E"/>
    <w:rsid w:val="002C1713"/>
    <w:rsid w:val="002C2990"/>
    <w:rsid w:val="002C555F"/>
    <w:rsid w:val="002C6E43"/>
    <w:rsid w:val="002D1CB1"/>
    <w:rsid w:val="002D22B9"/>
    <w:rsid w:val="002D23B2"/>
    <w:rsid w:val="002D310F"/>
    <w:rsid w:val="002D3A61"/>
    <w:rsid w:val="002D6B00"/>
    <w:rsid w:val="002D6BA2"/>
    <w:rsid w:val="002E0392"/>
    <w:rsid w:val="002E2BC7"/>
    <w:rsid w:val="002E3267"/>
    <w:rsid w:val="002E3E20"/>
    <w:rsid w:val="002E6F57"/>
    <w:rsid w:val="002F12AE"/>
    <w:rsid w:val="002F2EB9"/>
    <w:rsid w:val="002F30E8"/>
    <w:rsid w:val="002F4826"/>
    <w:rsid w:val="003007CF"/>
    <w:rsid w:val="00302352"/>
    <w:rsid w:val="00302F49"/>
    <w:rsid w:val="003103FD"/>
    <w:rsid w:val="003108F5"/>
    <w:rsid w:val="003109B3"/>
    <w:rsid w:val="00312040"/>
    <w:rsid w:val="0031364F"/>
    <w:rsid w:val="00315FBA"/>
    <w:rsid w:val="0031787A"/>
    <w:rsid w:val="00320991"/>
    <w:rsid w:val="00320D25"/>
    <w:rsid w:val="00321B47"/>
    <w:rsid w:val="00322D89"/>
    <w:rsid w:val="00323E9D"/>
    <w:rsid w:val="00330D1A"/>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6083B"/>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B4207"/>
    <w:rsid w:val="003B4537"/>
    <w:rsid w:val="003C0DA8"/>
    <w:rsid w:val="003C1A84"/>
    <w:rsid w:val="003C5558"/>
    <w:rsid w:val="003D10B7"/>
    <w:rsid w:val="003D266F"/>
    <w:rsid w:val="003D303F"/>
    <w:rsid w:val="003D4975"/>
    <w:rsid w:val="003D71C8"/>
    <w:rsid w:val="003D7E5A"/>
    <w:rsid w:val="003E1380"/>
    <w:rsid w:val="003E15AE"/>
    <w:rsid w:val="003E1CBD"/>
    <w:rsid w:val="003E7DA4"/>
    <w:rsid w:val="003F1CA7"/>
    <w:rsid w:val="003F420F"/>
    <w:rsid w:val="003F47AB"/>
    <w:rsid w:val="003F49E3"/>
    <w:rsid w:val="003F6A1C"/>
    <w:rsid w:val="003F7E5E"/>
    <w:rsid w:val="0040134D"/>
    <w:rsid w:val="00402D0A"/>
    <w:rsid w:val="00402D84"/>
    <w:rsid w:val="0040469E"/>
    <w:rsid w:val="00405331"/>
    <w:rsid w:val="00406CA3"/>
    <w:rsid w:val="00406CDC"/>
    <w:rsid w:val="00411981"/>
    <w:rsid w:val="00411AF1"/>
    <w:rsid w:val="00415AEA"/>
    <w:rsid w:val="00417616"/>
    <w:rsid w:val="00421148"/>
    <w:rsid w:val="0042310B"/>
    <w:rsid w:val="00423DC4"/>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3041"/>
    <w:rsid w:val="00455F4F"/>
    <w:rsid w:val="00462270"/>
    <w:rsid w:val="00464C87"/>
    <w:rsid w:val="004655E6"/>
    <w:rsid w:val="004700A2"/>
    <w:rsid w:val="004733D1"/>
    <w:rsid w:val="0047403B"/>
    <w:rsid w:val="00477850"/>
    <w:rsid w:val="00483363"/>
    <w:rsid w:val="004837F4"/>
    <w:rsid w:val="00483C20"/>
    <w:rsid w:val="00483FAB"/>
    <w:rsid w:val="00485503"/>
    <w:rsid w:val="00485C9D"/>
    <w:rsid w:val="00486313"/>
    <w:rsid w:val="00486F0E"/>
    <w:rsid w:val="00487846"/>
    <w:rsid w:val="00493862"/>
    <w:rsid w:val="00495B17"/>
    <w:rsid w:val="00497842"/>
    <w:rsid w:val="004A1755"/>
    <w:rsid w:val="004A1A93"/>
    <w:rsid w:val="004A25A9"/>
    <w:rsid w:val="004A32BF"/>
    <w:rsid w:val="004A505C"/>
    <w:rsid w:val="004A55F8"/>
    <w:rsid w:val="004A635F"/>
    <w:rsid w:val="004A71F6"/>
    <w:rsid w:val="004B02C2"/>
    <w:rsid w:val="004B4494"/>
    <w:rsid w:val="004B5A0E"/>
    <w:rsid w:val="004B6B78"/>
    <w:rsid w:val="004C02F1"/>
    <w:rsid w:val="004C1CD1"/>
    <w:rsid w:val="004C3157"/>
    <w:rsid w:val="004C3C0E"/>
    <w:rsid w:val="004C5028"/>
    <w:rsid w:val="004C6EBF"/>
    <w:rsid w:val="004C724A"/>
    <w:rsid w:val="004C72D8"/>
    <w:rsid w:val="004D3D6E"/>
    <w:rsid w:val="004D5078"/>
    <w:rsid w:val="004D56AE"/>
    <w:rsid w:val="004D5DF5"/>
    <w:rsid w:val="004D7600"/>
    <w:rsid w:val="004D7995"/>
    <w:rsid w:val="004E3A1F"/>
    <w:rsid w:val="004E4524"/>
    <w:rsid w:val="004E593B"/>
    <w:rsid w:val="004F487D"/>
    <w:rsid w:val="004F6FF0"/>
    <w:rsid w:val="004F7D42"/>
    <w:rsid w:val="00501622"/>
    <w:rsid w:val="00504BC3"/>
    <w:rsid w:val="00505DE8"/>
    <w:rsid w:val="00506AF3"/>
    <w:rsid w:val="00507661"/>
    <w:rsid w:val="005128F5"/>
    <w:rsid w:val="00514AD3"/>
    <w:rsid w:val="00514F08"/>
    <w:rsid w:val="005151D9"/>
    <w:rsid w:val="0051542F"/>
    <w:rsid w:val="005210AD"/>
    <w:rsid w:val="00521453"/>
    <w:rsid w:val="005217F5"/>
    <w:rsid w:val="005248A1"/>
    <w:rsid w:val="00526B45"/>
    <w:rsid w:val="00526CCC"/>
    <w:rsid w:val="00530CE8"/>
    <w:rsid w:val="005324AD"/>
    <w:rsid w:val="00533A6E"/>
    <w:rsid w:val="00536EAB"/>
    <w:rsid w:val="005469E6"/>
    <w:rsid w:val="00546B28"/>
    <w:rsid w:val="00546C0D"/>
    <w:rsid w:val="005479BA"/>
    <w:rsid w:val="00553022"/>
    <w:rsid w:val="005555EB"/>
    <w:rsid w:val="00557167"/>
    <w:rsid w:val="00560C70"/>
    <w:rsid w:val="0056128E"/>
    <w:rsid w:val="00561EE9"/>
    <w:rsid w:val="00562578"/>
    <w:rsid w:val="00564ED5"/>
    <w:rsid w:val="005667A7"/>
    <w:rsid w:val="00570CCB"/>
    <w:rsid w:val="005726F5"/>
    <w:rsid w:val="005769EB"/>
    <w:rsid w:val="00577E17"/>
    <w:rsid w:val="005804B5"/>
    <w:rsid w:val="005810AD"/>
    <w:rsid w:val="00584114"/>
    <w:rsid w:val="005850C2"/>
    <w:rsid w:val="0059127D"/>
    <w:rsid w:val="005927CD"/>
    <w:rsid w:val="00593B97"/>
    <w:rsid w:val="0059442A"/>
    <w:rsid w:val="0059789D"/>
    <w:rsid w:val="005A1F81"/>
    <w:rsid w:val="005A4ABD"/>
    <w:rsid w:val="005A4F3A"/>
    <w:rsid w:val="005A70AD"/>
    <w:rsid w:val="005B4698"/>
    <w:rsid w:val="005C0108"/>
    <w:rsid w:val="005C0ABF"/>
    <w:rsid w:val="005C2F2C"/>
    <w:rsid w:val="005C3AB9"/>
    <w:rsid w:val="005C40D6"/>
    <w:rsid w:val="005C44B4"/>
    <w:rsid w:val="005C4602"/>
    <w:rsid w:val="005C50AF"/>
    <w:rsid w:val="005C65BD"/>
    <w:rsid w:val="005D0C80"/>
    <w:rsid w:val="005D1392"/>
    <w:rsid w:val="005D222A"/>
    <w:rsid w:val="005D26A0"/>
    <w:rsid w:val="005D4B62"/>
    <w:rsid w:val="005D5201"/>
    <w:rsid w:val="005D57B1"/>
    <w:rsid w:val="005D5C68"/>
    <w:rsid w:val="005D699B"/>
    <w:rsid w:val="005D6F64"/>
    <w:rsid w:val="005E3F1B"/>
    <w:rsid w:val="005E4B51"/>
    <w:rsid w:val="005E5AA8"/>
    <w:rsid w:val="005F0552"/>
    <w:rsid w:val="005F06E7"/>
    <w:rsid w:val="005F21D1"/>
    <w:rsid w:val="005F323C"/>
    <w:rsid w:val="005F4F6C"/>
    <w:rsid w:val="005F5C12"/>
    <w:rsid w:val="00602D49"/>
    <w:rsid w:val="00603A97"/>
    <w:rsid w:val="0060421B"/>
    <w:rsid w:val="00606B19"/>
    <w:rsid w:val="00615C9A"/>
    <w:rsid w:val="006162DA"/>
    <w:rsid w:val="00616446"/>
    <w:rsid w:val="006165E2"/>
    <w:rsid w:val="00617357"/>
    <w:rsid w:val="00617423"/>
    <w:rsid w:val="006174CB"/>
    <w:rsid w:val="00617D69"/>
    <w:rsid w:val="00620023"/>
    <w:rsid w:val="00622B87"/>
    <w:rsid w:val="006234D0"/>
    <w:rsid w:val="006274A2"/>
    <w:rsid w:val="00635338"/>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B6B48"/>
    <w:rsid w:val="006B7B4C"/>
    <w:rsid w:val="006C0F69"/>
    <w:rsid w:val="006C3C2E"/>
    <w:rsid w:val="006C6A18"/>
    <w:rsid w:val="006C6A97"/>
    <w:rsid w:val="006D1AD8"/>
    <w:rsid w:val="006D28B3"/>
    <w:rsid w:val="006D2A06"/>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2AC1"/>
    <w:rsid w:val="007149BB"/>
    <w:rsid w:val="007157A0"/>
    <w:rsid w:val="00715BAA"/>
    <w:rsid w:val="0072195F"/>
    <w:rsid w:val="00721A8F"/>
    <w:rsid w:val="007234F3"/>
    <w:rsid w:val="00725095"/>
    <w:rsid w:val="00725229"/>
    <w:rsid w:val="00726DE4"/>
    <w:rsid w:val="007310BC"/>
    <w:rsid w:val="007355DF"/>
    <w:rsid w:val="00741C47"/>
    <w:rsid w:val="00743987"/>
    <w:rsid w:val="00744227"/>
    <w:rsid w:val="00746949"/>
    <w:rsid w:val="00750425"/>
    <w:rsid w:val="00752CAE"/>
    <w:rsid w:val="00753FD1"/>
    <w:rsid w:val="00756604"/>
    <w:rsid w:val="00757D65"/>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913F5"/>
    <w:rsid w:val="00792F51"/>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C20B1"/>
    <w:rsid w:val="007C4567"/>
    <w:rsid w:val="007C45F9"/>
    <w:rsid w:val="007C4D71"/>
    <w:rsid w:val="007C7ADA"/>
    <w:rsid w:val="007D167B"/>
    <w:rsid w:val="007D61D9"/>
    <w:rsid w:val="007E01CA"/>
    <w:rsid w:val="007E1530"/>
    <w:rsid w:val="007E157D"/>
    <w:rsid w:val="007E343E"/>
    <w:rsid w:val="007E6CAC"/>
    <w:rsid w:val="007E7B44"/>
    <w:rsid w:val="007F008C"/>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0FAD"/>
    <w:rsid w:val="00851BB7"/>
    <w:rsid w:val="0085261C"/>
    <w:rsid w:val="00853623"/>
    <w:rsid w:val="00853807"/>
    <w:rsid w:val="00855449"/>
    <w:rsid w:val="00860178"/>
    <w:rsid w:val="008632CB"/>
    <w:rsid w:val="00864B28"/>
    <w:rsid w:val="00864C2A"/>
    <w:rsid w:val="00872159"/>
    <w:rsid w:val="0087697F"/>
    <w:rsid w:val="00876F53"/>
    <w:rsid w:val="008821C2"/>
    <w:rsid w:val="0088751D"/>
    <w:rsid w:val="008912F0"/>
    <w:rsid w:val="0089291A"/>
    <w:rsid w:val="00892BBD"/>
    <w:rsid w:val="00893314"/>
    <w:rsid w:val="008972AA"/>
    <w:rsid w:val="0089785B"/>
    <w:rsid w:val="008978E0"/>
    <w:rsid w:val="008A0E78"/>
    <w:rsid w:val="008A6602"/>
    <w:rsid w:val="008A6729"/>
    <w:rsid w:val="008A7A62"/>
    <w:rsid w:val="008B0140"/>
    <w:rsid w:val="008B14FC"/>
    <w:rsid w:val="008B15B0"/>
    <w:rsid w:val="008B2733"/>
    <w:rsid w:val="008B5E4E"/>
    <w:rsid w:val="008B7C2E"/>
    <w:rsid w:val="008C22A7"/>
    <w:rsid w:val="008C22EF"/>
    <w:rsid w:val="008C277F"/>
    <w:rsid w:val="008C4729"/>
    <w:rsid w:val="008C5248"/>
    <w:rsid w:val="008D14E7"/>
    <w:rsid w:val="008D1A44"/>
    <w:rsid w:val="008D1B5A"/>
    <w:rsid w:val="008D2F19"/>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1E39"/>
    <w:rsid w:val="00912409"/>
    <w:rsid w:val="00913058"/>
    <w:rsid w:val="0091346B"/>
    <w:rsid w:val="0091417F"/>
    <w:rsid w:val="0092081B"/>
    <w:rsid w:val="009255E3"/>
    <w:rsid w:val="009260C9"/>
    <w:rsid w:val="00930539"/>
    <w:rsid w:val="009311BB"/>
    <w:rsid w:val="00931C71"/>
    <w:rsid w:val="00935367"/>
    <w:rsid w:val="009372CC"/>
    <w:rsid w:val="00943408"/>
    <w:rsid w:val="00943FAB"/>
    <w:rsid w:val="00944625"/>
    <w:rsid w:val="00945112"/>
    <w:rsid w:val="009468A1"/>
    <w:rsid w:val="00946D02"/>
    <w:rsid w:val="00951032"/>
    <w:rsid w:val="00951AD0"/>
    <w:rsid w:val="00953922"/>
    <w:rsid w:val="0095520B"/>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A0854"/>
    <w:rsid w:val="009A2890"/>
    <w:rsid w:val="009A3A36"/>
    <w:rsid w:val="009A44C4"/>
    <w:rsid w:val="009B2312"/>
    <w:rsid w:val="009B282F"/>
    <w:rsid w:val="009B4B26"/>
    <w:rsid w:val="009B5232"/>
    <w:rsid w:val="009B588C"/>
    <w:rsid w:val="009C0DE0"/>
    <w:rsid w:val="009C1260"/>
    <w:rsid w:val="009C1824"/>
    <w:rsid w:val="009C3849"/>
    <w:rsid w:val="009C4301"/>
    <w:rsid w:val="009C739D"/>
    <w:rsid w:val="009C7B60"/>
    <w:rsid w:val="009D2807"/>
    <w:rsid w:val="009D283F"/>
    <w:rsid w:val="009D4306"/>
    <w:rsid w:val="009E3121"/>
    <w:rsid w:val="009E34A7"/>
    <w:rsid w:val="009E7EA5"/>
    <w:rsid w:val="009F1726"/>
    <w:rsid w:val="009F183C"/>
    <w:rsid w:val="009F1D4F"/>
    <w:rsid w:val="009F2E9A"/>
    <w:rsid w:val="009F31EB"/>
    <w:rsid w:val="009F3608"/>
    <w:rsid w:val="009F472C"/>
    <w:rsid w:val="009F59A0"/>
    <w:rsid w:val="009F5A57"/>
    <w:rsid w:val="009F69AD"/>
    <w:rsid w:val="009F72C5"/>
    <w:rsid w:val="00A00706"/>
    <w:rsid w:val="00A00F62"/>
    <w:rsid w:val="00A0110B"/>
    <w:rsid w:val="00A02194"/>
    <w:rsid w:val="00A02FC6"/>
    <w:rsid w:val="00A058C4"/>
    <w:rsid w:val="00A064E5"/>
    <w:rsid w:val="00A11179"/>
    <w:rsid w:val="00A12388"/>
    <w:rsid w:val="00A12627"/>
    <w:rsid w:val="00A145AF"/>
    <w:rsid w:val="00A15D84"/>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27A9"/>
    <w:rsid w:val="00A54E8B"/>
    <w:rsid w:val="00A63B36"/>
    <w:rsid w:val="00A642EE"/>
    <w:rsid w:val="00A653D2"/>
    <w:rsid w:val="00A65917"/>
    <w:rsid w:val="00A70753"/>
    <w:rsid w:val="00A72141"/>
    <w:rsid w:val="00A81785"/>
    <w:rsid w:val="00A81E86"/>
    <w:rsid w:val="00A821E5"/>
    <w:rsid w:val="00A82CC6"/>
    <w:rsid w:val="00A86B9C"/>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3849"/>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021A"/>
    <w:rsid w:val="00AF186F"/>
    <w:rsid w:val="00AF6F27"/>
    <w:rsid w:val="00AF6FF1"/>
    <w:rsid w:val="00B004F3"/>
    <w:rsid w:val="00B0199D"/>
    <w:rsid w:val="00B02E61"/>
    <w:rsid w:val="00B0327D"/>
    <w:rsid w:val="00B0331B"/>
    <w:rsid w:val="00B03B71"/>
    <w:rsid w:val="00B11BFA"/>
    <w:rsid w:val="00B14267"/>
    <w:rsid w:val="00B170BB"/>
    <w:rsid w:val="00B20B0F"/>
    <w:rsid w:val="00B22782"/>
    <w:rsid w:val="00B27B52"/>
    <w:rsid w:val="00B30404"/>
    <w:rsid w:val="00B31244"/>
    <w:rsid w:val="00B31931"/>
    <w:rsid w:val="00B31985"/>
    <w:rsid w:val="00B3796B"/>
    <w:rsid w:val="00B414DB"/>
    <w:rsid w:val="00B41887"/>
    <w:rsid w:val="00B4291F"/>
    <w:rsid w:val="00B44102"/>
    <w:rsid w:val="00B463E0"/>
    <w:rsid w:val="00B46926"/>
    <w:rsid w:val="00B50D5E"/>
    <w:rsid w:val="00B50F40"/>
    <w:rsid w:val="00B516CC"/>
    <w:rsid w:val="00B558CD"/>
    <w:rsid w:val="00B55B2F"/>
    <w:rsid w:val="00B55DE3"/>
    <w:rsid w:val="00B660DC"/>
    <w:rsid w:val="00B66BAE"/>
    <w:rsid w:val="00B71618"/>
    <w:rsid w:val="00B71C7C"/>
    <w:rsid w:val="00B74694"/>
    <w:rsid w:val="00B74B18"/>
    <w:rsid w:val="00B76314"/>
    <w:rsid w:val="00B77254"/>
    <w:rsid w:val="00B826DD"/>
    <w:rsid w:val="00B86E9C"/>
    <w:rsid w:val="00B968DA"/>
    <w:rsid w:val="00B976EE"/>
    <w:rsid w:val="00BA10E3"/>
    <w:rsid w:val="00BA2CC4"/>
    <w:rsid w:val="00BA3CB2"/>
    <w:rsid w:val="00BA576B"/>
    <w:rsid w:val="00BB001C"/>
    <w:rsid w:val="00BB1B4D"/>
    <w:rsid w:val="00BB23F4"/>
    <w:rsid w:val="00BB35C0"/>
    <w:rsid w:val="00BB476A"/>
    <w:rsid w:val="00BB5448"/>
    <w:rsid w:val="00BB5CE8"/>
    <w:rsid w:val="00BB69A8"/>
    <w:rsid w:val="00BB7411"/>
    <w:rsid w:val="00BC1690"/>
    <w:rsid w:val="00BC4C43"/>
    <w:rsid w:val="00BC59F3"/>
    <w:rsid w:val="00BC7099"/>
    <w:rsid w:val="00BD01DC"/>
    <w:rsid w:val="00BD04E8"/>
    <w:rsid w:val="00BD126F"/>
    <w:rsid w:val="00BD1EB4"/>
    <w:rsid w:val="00BD4684"/>
    <w:rsid w:val="00BD530F"/>
    <w:rsid w:val="00BD5C44"/>
    <w:rsid w:val="00BE00B4"/>
    <w:rsid w:val="00BE3D55"/>
    <w:rsid w:val="00BF4334"/>
    <w:rsid w:val="00BF76FE"/>
    <w:rsid w:val="00C017E3"/>
    <w:rsid w:val="00C02937"/>
    <w:rsid w:val="00C03FBD"/>
    <w:rsid w:val="00C0430C"/>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2AAE"/>
    <w:rsid w:val="00C534AA"/>
    <w:rsid w:val="00C55312"/>
    <w:rsid w:val="00C5571C"/>
    <w:rsid w:val="00C55C67"/>
    <w:rsid w:val="00C6162E"/>
    <w:rsid w:val="00C6187C"/>
    <w:rsid w:val="00C62B71"/>
    <w:rsid w:val="00C62EA3"/>
    <w:rsid w:val="00C71F85"/>
    <w:rsid w:val="00C72B3A"/>
    <w:rsid w:val="00C72FF6"/>
    <w:rsid w:val="00C76305"/>
    <w:rsid w:val="00C800CB"/>
    <w:rsid w:val="00C83CC9"/>
    <w:rsid w:val="00C85043"/>
    <w:rsid w:val="00C85399"/>
    <w:rsid w:val="00C85590"/>
    <w:rsid w:val="00C85E67"/>
    <w:rsid w:val="00C91D01"/>
    <w:rsid w:val="00C95375"/>
    <w:rsid w:val="00CB1EE3"/>
    <w:rsid w:val="00CB43FD"/>
    <w:rsid w:val="00CB5811"/>
    <w:rsid w:val="00CC0064"/>
    <w:rsid w:val="00CC2F28"/>
    <w:rsid w:val="00CC34A3"/>
    <w:rsid w:val="00CD120F"/>
    <w:rsid w:val="00CD15BB"/>
    <w:rsid w:val="00CD444B"/>
    <w:rsid w:val="00CD717E"/>
    <w:rsid w:val="00CE2600"/>
    <w:rsid w:val="00CE4C15"/>
    <w:rsid w:val="00CE7B18"/>
    <w:rsid w:val="00CF0ED3"/>
    <w:rsid w:val="00CF141D"/>
    <w:rsid w:val="00CF2FBA"/>
    <w:rsid w:val="00CF5F56"/>
    <w:rsid w:val="00CF6C30"/>
    <w:rsid w:val="00CF7D0F"/>
    <w:rsid w:val="00D00064"/>
    <w:rsid w:val="00D0045F"/>
    <w:rsid w:val="00D01359"/>
    <w:rsid w:val="00D02B32"/>
    <w:rsid w:val="00D035F4"/>
    <w:rsid w:val="00D05E04"/>
    <w:rsid w:val="00D13FC1"/>
    <w:rsid w:val="00D16013"/>
    <w:rsid w:val="00D171C1"/>
    <w:rsid w:val="00D17D99"/>
    <w:rsid w:val="00D208C0"/>
    <w:rsid w:val="00D24ACE"/>
    <w:rsid w:val="00D3135D"/>
    <w:rsid w:val="00D3233E"/>
    <w:rsid w:val="00D356F0"/>
    <w:rsid w:val="00D35F46"/>
    <w:rsid w:val="00D36A22"/>
    <w:rsid w:val="00D41B83"/>
    <w:rsid w:val="00D420A3"/>
    <w:rsid w:val="00D47176"/>
    <w:rsid w:val="00D51252"/>
    <w:rsid w:val="00D514CE"/>
    <w:rsid w:val="00D51805"/>
    <w:rsid w:val="00D52CCE"/>
    <w:rsid w:val="00D53835"/>
    <w:rsid w:val="00D552DD"/>
    <w:rsid w:val="00D55ED4"/>
    <w:rsid w:val="00D57DCB"/>
    <w:rsid w:val="00D6069A"/>
    <w:rsid w:val="00D606B9"/>
    <w:rsid w:val="00D63B9D"/>
    <w:rsid w:val="00D63E2C"/>
    <w:rsid w:val="00D64701"/>
    <w:rsid w:val="00D65832"/>
    <w:rsid w:val="00D674DB"/>
    <w:rsid w:val="00D67A35"/>
    <w:rsid w:val="00D67BCF"/>
    <w:rsid w:val="00D705B9"/>
    <w:rsid w:val="00D765E3"/>
    <w:rsid w:val="00D77C17"/>
    <w:rsid w:val="00D77E74"/>
    <w:rsid w:val="00D80906"/>
    <w:rsid w:val="00D85F45"/>
    <w:rsid w:val="00D8735A"/>
    <w:rsid w:val="00D87450"/>
    <w:rsid w:val="00D9174B"/>
    <w:rsid w:val="00D929EC"/>
    <w:rsid w:val="00D9689F"/>
    <w:rsid w:val="00DA10CC"/>
    <w:rsid w:val="00DA41C9"/>
    <w:rsid w:val="00DA4427"/>
    <w:rsid w:val="00DA48B1"/>
    <w:rsid w:val="00DA499F"/>
    <w:rsid w:val="00DA5177"/>
    <w:rsid w:val="00DB3A07"/>
    <w:rsid w:val="00DB71E4"/>
    <w:rsid w:val="00DB7F1B"/>
    <w:rsid w:val="00DC0223"/>
    <w:rsid w:val="00DC6C94"/>
    <w:rsid w:val="00DD2341"/>
    <w:rsid w:val="00DD3DED"/>
    <w:rsid w:val="00DD73FD"/>
    <w:rsid w:val="00DD7808"/>
    <w:rsid w:val="00DE0B43"/>
    <w:rsid w:val="00DE3A99"/>
    <w:rsid w:val="00DE4F55"/>
    <w:rsid w:val="00DE5836"/>
    <w:rsid w:val="00DE7485"/>
    <w:rsid w:val="00DF7376"/>
    <w:rsid w:val="00DF7D0D"/>
    <w:rsid w:val="00E01A5B"/>
    <w:rsid w:val="00E01B62"/>
    <w:rsid w:val="00E054C4"/>
    <w:rsid w:val="00E0740A"/>
    <w:rsid w:val="00E07B34"/>
    <w:rsid w:val="00E13C03"/>
    <w:rsid w:val="00E1418C"/>
    <w:rsid w:val="00E14641"/>
    <w:rsid w:val="00E16027"/>
    <w:rsid w:val="00E170F8"/>
    <w:rsid w:val="00E171FE"/>
    <w:rsid w:val="00E21BC5"/>
    <w:rsid w:val="00E21E1D"/>
    <w:rsid w:val="00E244B6"/>
    <w:rsid w:val="00E24F7B"/>
    <w:rsid w:val="00E2632C"/>
    <w:rsid w:val="00E30143"/>
    <w:rsid w:val="00E31A95"/>
    <w:rsid w:val="00E34258"/>
    <w:rsid w:val="00E3664A"/>
    <w:rsid w:val="00E37BFC"/>
    <w:rsid w:val="00E41D1C"/>
    <w:rsid w:val="00E42E67"/>
    <w:rsid w:val="00E42F92"/>
    <w:rsid w:val="00E4320F"/>
    <w:rsid w:val="00E43A9F"/>
    <w:rsid w:val="00E450CA"/>
    <w:rsid w:val="00E451D4"/>
    <w:rsid w:val="00E4751B"/>
    <w:rsid w:val="00E509EA"/>
    <w:rsid w:val="00E50D72"/>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0B02"/>
    <w:rsid w:val="00E73B5A"/>
    <w:rsid w:val="00E778D8"/>
    <w:rsid w:val="00E834A5"/>
    <w:rsid w:val="00E845A2"/>
    <w:rsid w:val="00E8589D"/>
    <w:rsid w:val="00E86E6A"/>
    <w:rsid w:val="00E90A97"/>
    <w:rsid w:val="00E93884"/>
    <w:rsid w:val="00E9526C"/>
    <w:rsid w:val="00E96AF4"/>
    <w:rsid w:val="00EA112B"/>
    <w:rsid w:val="00EA209C"/>
    <w:rsid w:val="00EA3D6B"/>
    <w:rsid w:val="00EA695F"/>
    <w:rsid w:val="00EA6CE1"/>
    <w:rsid w:val="00EB43A9"/>
    <w:rsid w:val="00EB4513"/>
    <w:rsid w:val="00EC0BA5"/>
    <w:rsid w:val="00EC1F16"/>
    <w:rsid w:val="00EC3F5C"/>
    <w:rsid w:val="00EC41C4"/>
    <w:rsid w:val="00EC51A2"/>
    <w:rsid w:val="00EC77F8"/>
    <w:rsid w:val="00EC7CD5"/>
    <w:rsid w:val="00ED0945"/>
    <w:rsid w:val="00ED1245"/>
    <w:rsid w:val="00ED2E64"/>
    <w:rsid w:val="00ED755D"/>
    <w:rsid w:val="00EE0090"/>
    <w:rsid w:val="00EE2212"/>
    <w:rsid w:val="00EE3896"/>
    <w:rsid w:val="00EE4B79"/>
    <w:rsid w:val="00EE6105"/>
    <w:rsid w:val="00EE7CFF"/>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597D"/>
    <w:rsid w:val="00F2620E"/>
    <w:rsid w:val="00F27836"/>
    <w:rsid w:val="00F32D28"/>
    <w:rsid w:val="00F335D9"/>
    <w:rsid w:val="00F3468F"/>
    <w:rsid w:val="00F3643C"/>
    <w:rsid w:val="00F41845"/>
    <w:rsid w:val="00F41A2D"/>
    <w:rsid w:val="00F428BE"/>
    <w:rsid w:val="00F4467A"/>
    <w:rsid w:val="00F447A9"/>
    <w:rsid w:val="00F449E9"/>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5846"/>
    <w:rsid w:val="00F75DD5"/>
    <w:rsid w:val="00F764FA"/>
    <w:rsid w:val="00F77296"/>
    <w:rsid w:val="00F776F9"/>
    <w:rsid w:val="00F80A47"/>
    <w:rsid w:val="00F81F87"/>
    <w:rsid w:val="00F8238B"/>
    <w:rsid w:val="00F82746"/>
    <w:rsid w:val="00F833ED"/>
    <w:rsid w:val="00F856EC"/>
    <w:rsid w:val="00F864E8"/>
    <w:rsid w:val="00F92394"/>
    <w:rsid w:val="00F92F0B"/>
    <w:rsid w:val="00F955B8"/>
    <w:rsid w:val="00F955BB"/>
    <w:rsid w:val="00F95622"/>
    <w:rsid w:val="00F95FF6"/>
    <w:rsid w:val="00F97413"/>
    <w:rsid w:val="00FA1677"/>
    <w:rsid w:val="00FA3721"/>
    <w:rsid w:val="00FA6E7C"/>
    <w:rsid w:val="00FA7C0A"/>
    <w:rsid w:val="00FB0BE2"/>
    <w:rsid w:val="00FB48E9"/>
    <w:rsid w:val="00FB5AC1"/>
    <w:rsid w:val="00FB768A"/>
    <w:rsid w:val="00FC4237"/>
    <w:rsid w:val="00FC7288"/>
    <w:rsid w:val="00FC78D9"/>
    <w:rsid w:val="00FD1CDC"/>
    <w:rsid w:val="00FD3805"/>
    <w:rsid w:val="00FD6446"/>
    <w:rsid w:val="00FD7797"/>
    <w:rsid w:val="00FE1263"/>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741906"/>
  <w15:docId w15:val="{1867ACA8-245A-4F59-8BC4-084C3C9C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12" w:unhideWhenUsed="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752CAE"/>
    <w:pPr>
      <w:spacing w:before="240" w:after="120" w:line="240" w:lineRule="atLeast"/>
    </w:pPr>
    <w:rPr>
      <w:sz w:val="20"/>
    </w:rPr>
  </w:style>
  <w:style w:type="paragraph" w:styleId="Heading1">
    <w:name w:val="heading 1"/>
    <w:next w:val="BodyText"/>
    <w:link w:val="Heading1Char"/>
    <w:uiPriority w:val="5"/>
    <w:qFormat/>
    <w:rsid w:val="007157A0"/>
    <w:pPr>
      <w:keepNext/>
      <w:keepLines/>
      <w:numPr>
        <w:numId w:val="46"/>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C46BED"/>
    <w:pPr>
      <w:numPr>
        <w:ilvl w:val="1"/>
      </w:numPr>
      <w:spacing w:before="360" w:after="240"/>
      <w:outlineLvl w:val="1"/>
    </w:pPr>
    <w:rPr>
      <w:b/>
      <w:bCs w:val="0"/>
      <w:color w:val="250E62" w:themeColor="accent1"/>
      <w:sz w:val="48"/>
      <w:szCs w:val="32"/>
    </w:rPr>
  </w:style>
  <w:style w:type="paragraph" w:styleId="Heading3">
    <w:name w:val="heading 3"/>
    <w:basedOn w:val="Heading2"/>
    <w:next w:val="BodyText"/>
    <w:link w:val="Heading3Char"/>
    <w:uiPriority w:val="5"/>
    <w:qFormat/>
    <w:rsid w:val="00744227"/>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744227"/>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744227"/>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E7001F"/>
    <w:pPr>
      <w:numPr>
        <w:ilvl w:val="5"/>
      </w:numPr>
      <w:outlineLvl w:val="5"/>
    </w:pPr>
    <w:rPr>
      <w:b w:val="0"/>
      <w:iCs w:val="0"/>
      <w:szCs w:val="22"/>
    </w:rPr>
  </w:style>
  <w:style w:type="paragraph" w:styleId="Heading7">
    <w:name w:val="heading 7"/>
    <w:basedOn w:val="Heading1"/>
    <w:next w:val="BodyText"/>
    <w:link w:val="Heading7Char"/>
    <w:uiPriority w:val="8"/>
    <w:semiHidden/>
    <w:rsid w:val="00B02E61"/>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29614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29614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7157A0"/>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6"/>
    <w:rsid w:val="00C46BED"/>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6"/>
    <w:rsid w:val="00744227"/>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823DC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51AD0"/>
    <w:pPr>
      <w:keepLines/>
    </w:pPr>
  </w:style>
  <w:style w:type="character" w:customStyle="1" w:styleId="BodyTextChar">
    <w:name w:val="Body Text Char"/>
    <w:basedOn w:val="DefaultParagraphFont"/>
    <w:link w:val="BodyText"/>
    <w:rsid w:val="00951AD0"/>
    <w:rPr>
      <w:sz w:val="20"/>
    </w:rPr>
  </w:style>
  <w:style w:type="paragraph" w:styleId="TOC1">
    <w:name w:val="toc 1"/>
    <w:basedOn w:val="Normal"/>
    <w:next w:val="BodyText"/>
    <w:uiPriority w:val="39"/>
    <w:rsid w:val="00617423"/>
    <w:pPr>
      <w:keepLines/>
      <w:tabs>
        <w:tab w:val="left" w:pos="1418"/>
        <w:tab w:val="right" w:leader="dot" w:pos="9072"/>
      </w:tabs>
      <w:spacing w:after="80" w:line="260" w:lineRule="atLeast"/>
      <w:ind w:left="1418" w:hanging="1418"/>
    </w:pPr>
    <w:rPr>
      <w:noProof/>
      <w:color w:val="009A44" w:themeColor="accent2"/>
      <w:sz w:val="22"/>
    </w:rPr>
  </w:style>
  <w:style w:type="paragraph" w:styleId="TOC2">
    <w:name w:val="toc 2"/>
    <w:basedOn w:val="TOC1"/>
    <w:next w:val="BodyText"/>
    <w:uiPriority w:val="39"/>
    <w:rsid w:val="00C55312"/>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C55312"/>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EC3F5C"/>
    <w:pPr>
      <w:spacing w:after="240"/>
      <w:ind w:left="0" w:firstLine="0"/>
    </w:pPr>
  </w:style>
  <w:style w:type="paragraph" w:styleId="TOC5">
    <w:name w:val="toc 5"/>
    <w:basedOn w:val="TOC2"/>
    <w:next w:val="BodyText"/>
    <w:uiPriority w:val="99"/>
    <w:rsid w:val="00356F63"/>
  </w:style>
  <w:style w:type="paragraph" w:styleId="TOC6">
    <w:name w:val="toc 6"/>
    <w:basedOn w:val="TOC3"/>
    <w:next w:val="BodyText"/>
    <w:uiPriority w:val="99"/>
    <w:rsid w:val="00356F63"/>
  </w:style>
  <w:style w:type="character" w:customStyle="1" w:styleId="Heading4Char">
    <w:name w:val="Heading 4 Char"/>
    <w:basedOn w:val="DefaultParagraphFont"/>
    <w:link w:val="Heading4"/>
    <w:uiPriority w:val="7"/>
    <w:rsid w:val="00744227"/>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C02937"/>
  </w:style>
  <w:style w:type="character" w:customStyle="1" w:styleId="Heading5Char">
    <w:name w:val="Heading 5 Char"/>
    <w:basedOn w:val="DefaultParagraphFont"/>
    <w:link w:val="Heading5"/>
    <w:uiPriority w:val="7"/>
    <w:rsid w:val="00744227"/>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8C22EF"/>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E054C4"/>
    <w:rPr>
      <w:rFonts w:ascii="Arial" w:eastAsiaTheme="majorEastAsia" w:hAnsi="Arial" w:cstheme="minorHAnsi"/>
      <w:b/>
      <w:color w:val="250E62" w:themeColor="accent1"/>
      <w:sz w:val="24"/>
    </w:rPr>
  </w:style>
  <w:style w:type="paragraph" w:styleId="TOC9">
    <w:name w:val="toc 9"/>
    <w:basedOn w:val="TOC8"/>
    <w:next w:val="BodyText"/>
    <w:uiPriority w:val="39"/>
    <w:rsid w:val="00C02937"/>
    <w:pPr>
      <w:tabs>
        <w:tab w:val="clear" w:pos="851"/>
        <w:tab w:val="left" w:pos="1531"/>
      </w:tabs>
      <w:ind w:left="1531" w:hanging="680"/>
    </w:pPr>
  </w:style>
  <w:style w:type="paragraph" w:styleId="TOCHeading">
    <w:name w:val="TOC Heading"/>
    <w:basedOn w:val="Heading1"/>
    <w:next w:val="BodyText"/>
    <w:uiPriority w:val="99"/>
    <w:qFormat/>
    <w:rsid w:val="005C4602"/>
    <w:pPr>
      <w:pageBreakBefore/>
      <w:numPr>
        <w:numId w:val="0"/>
      </w:numPr>
      <w:outlineLvl w:val="9"/>
    </w:pPr>
  </w:style>
  <w:style w:type="paragraph" w:customStyle="1" w:styleId="BodyIndent2">
    <w:name w:val="Body Indent 2"/>
    <w:basedOn w:val="BodyBullet2"/>
    <w:uiPriority w:val="9"/>
    <w:qFormat/>
    <w:rsid w:val="00D47176"/>
    <w:pPr>
      <w:numPr>
        <w:ilvl w:val="0"/>
        <w:numId w:val="0"/>
      </w:numPr>
      <w:ind w:left="680"/>
    </w:pPr>
  </w:style>
  <w:style w:type="paragraph" w:customStyle="1" w:styleId="BodyIndent3">
    <w:name w:val="Body Indent 3"/>
    <w:basedOn w:val="BodyBullet3"/>
    <w:uiPriority w:val="9"/>
    <w:qFormat/>
    <w:rsid w:val="00D47176"/>
    <w:pPr>
      <w:numPr>
        <w:ilvl w:val="0"/>
        <w:numId w:val="0"/>
      </w:numPr>
      <w:ind w:left="1021"/>
    </w:pPr>
  </w:style>
  <w:style w:type="character" w:styleId="EndnoteReference">
    <w:name w:val="endnote reference"/>
    <w:basedOn w:val="DefaultParagraphFont"/>
    <w:uiPriority w:val="14"/>
    <w:qFormat/>
    <w:rsid w:val="006B2BBF"/>
    <w:rPr>
      <w:rFonts w:asciiTheme="minorHAnsi" w:hAnsiTheme="minorHAnsi"/>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B0BE2"/>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3"/>
    <w:qFormat/>
    <w:rsid w:val="00C55312"/>
    <w:pPr>
      <w:numPr>
        <w:numId w:val="25"/>
      </w:numPr>
      <w:spacing w:before="60" w:after="60" w:line="240" w:lineRule="auto"/>
    </w:pPr>
    <w:rPr>
      <w:sz w:val="18"/>
      <w:szCs w:val="20"/>
    </w:rPr>
  </w:style>
  <w:style w:type="paragraph" w:styleId="EndnoteText">
    <w:name w:val="endnote text"/>
    <w:basedOn w:val="Normal"/>
    <w:link w:val="EndnoteTextChar"/>
    <w:uiPriority w:val="14"/>
    <w:qFormat/>
    <w:rsid w:val="00951AD0"/>
    <w:pPr>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951AD0"/>
    <w:rPr>
      <w:sz w:val="18"/>
      <w:szCs w:val="18"/>
    </w:rPr>
  </w:style>
  <w:style w:type="paragraph" w:styleId="Footer">
    <w:name w:val="footer"/>
    <w:basedOn w:val="Normal"/>
    <w:link w:val="FooterChar"/>
    <w:uiPriority w:val="99"/>
    <w:qFormat/>
    <w:rsid w:val="00951AD0"/>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51AD0"/>
    <w:rPr>
      <w:rFonts w:cstheme="minorHAnsi"/>
      <w:noProof/>
      <w:color w:val="636569"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951AD0"/>
    <w:pPr>
      <w:ind w:left="340" w:hanging="340"/>
    </w:pPr>
    <w:rPr>
      <w:sz w:val="18"/>
      <w:szCs w:val="18"/>
    </w:rPr>
  </w:style>
  <w:style w:type="character" w:customStyle="1" w:styleId="FootnoteTextChar">
    <w:name w:val="Footnote Text Char"/>
    <w:basedOn w:val="DefaultParagraphFont"/>
    <w:link w:val="FootnoteText"/>
    <w:uiPriority w:val="10"/>
    <w:rsid w:val="00951AD0"/>
    <w:rPr>
      <w:sz w:val="18"/>
      <w:szCs w:val="18"/>
    </w:rPr>
  </w:style>
  <w:style w:type="paragraph" w:styleId="Header">
    <w:name w:val="header"/>
    <w:basedOn w:val="Normal"/>
    <w:link w:val="HeaderChar"/>
    <w:uiPriority w:val="99"/>
    <w:qFormat/>
    <w:rsid w:val="007C7ADA"/>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7C7ADA"/>
    <w:rPr>
      <w:color w:val="009A44" w:themeColor="accent2"/>
      <w:sz w:val="24"/>
      <w:szCs w:val="18"/>
    </w:rPr>
  </w:style>
  <w:style w:type="character" w:styleId="Hyperlink">
    <w:name w:val="Hyperlink"/>
    <w:basedOn w:val="DefaultParagraphFont"/>
    <w:uiPriority w:val="99"/>
    <w:qFormat/>
    <w:rsid w:val="005C4602"/>
    <w:rPr>
      <w:color w:val="250E62" w:themeColor="accent1"/>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C55312"/>
    <w:pPr>
      <w:spacing w:before="60"/>
    </w:pPr>
    <w:rPr>
      <w:color w:val="000000" w:themeColor="text1"/>
      <w:sz w:val="20"/>
    </w:rPr>
  </w:style>
  <w:style w:type="character" w:customStyle="1" w:styleId="Heading7Char">
    <w:name w:val="Heading 7 Char"/>
    <w:basedOn w:val="DefaultParagraphFont"/>
    <w:link w:val="Heading7"/>
    <w:uiPriority w:val="8"/>
    <w:semiHidden/>
    <w:rsid w:val="008C22EF"/>
    <w:rPr>
      <w:rFonts w:ascii="Arial" w:eastAsiaTheme="majorEastAsia" w:hAnsi="Arial" w:cstheme="majorBidi"/>
      <w:bCs/>
      <w:iCs/>
      <w:color w:val="A4A2A4" w:themeColor="background2"/>
      <w:sz w:val="40"/>
      <w:szCs w:val="40"/>
    </w:rPr>
  </w:style>
  <w:style w:type="paragraph" w:customStyle="1" w:styleId="TableBullet1">
    <w:name w:val="Table Bullet 1"/>
    <w:basedOn w:val="TableText"/>
    <w:uiPriority w:val="3"/>
    <w:qFormat/>
    <w:rsid w:val="00C219C7"/>
    <w:pPr>
      <w:numPr>
        <w:numId w:val="1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9"/>
    <w:qFormat/>
    <w:rsid w:val="00320D25"/>
    <w:pPr>
      <w:numPr>
        <w:ilvl w:val="3"/>
      </w:numPr>
    </w:pPr>
  </w:style>
  <w:style w:type="paragraph" w:customStyle="1" w:styleId="BodyNumbering2">
    <w:name w:val="Body Numbering 2"/>
    <w:basedOn w:val="BodyNumbering1"/>
    <w:uiPriority w:val="9"/>
    <w:qFormat/>
    <w:rsid w:val="00E43A9F"/>
    <w:pPr>
      <w:numPr>
        <w:ilvl w:val="4"/>
      </w:numPr>
    </w:pPr>
  </w:style>
  <w:style w:type="paragraph" w:customStyle="1" w:styleId="BodyBullet1">
    <w:name w:val="Body Bullet 1"/>
    <w:basedOn w:val="BodyText"/>
    <w:uiPriority w:val="1"/>
    <w:qFormat/>
    <w:rsid w:val="00E14641"/>
    <w:pPr>
      <w:numPr>
        <w:numId w:val="12"/>
      </w:numPr>
      <w:spacing w:before="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
    <w:qFormat/>
    <w:rsid w:val="00E43A9F"/>
    <w:pPr>
      <w:numPr>
        <w:ilvl w:val="5"/>
      </w:numPr>
    </w:pPr>
  </w:style>
  <w:style w:type="paragraph" w:customStyle="1" w:styleId="BodyIndent1">
    <w:name w:val="Body Indent 1"/>
    <w:basedOn w:val="BodyBullet1"/>
    <w:uiPriority w:val="9"/>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9"/>
    <w:qFormat/>
    <w:rsid w:val="005C44B4"/>
    <w:pPr>
      <w:numPr>
        <w:ilvl w:val="3"/>
      </w:numPr>
    </w:pPr>
  </w:style>
  <w:style w:type="paragraph" w:customStyle="1" w:styleId="TableNumbering2">
    <w:name w:val="Table Numbering 2"/>
    <w:basedOn w:val="TableNumbering1"/>
    <w:uiPriority w:val="9"/>
    <w:qFormat/>
    <w:rsid w:val="005C44B4"/>
    <w:pPr>
      <w:numPr>
        <w:ilvl w:val="4"/>
      </w:numPr>
    </w:pPr>
  </w:style>
  <w:style w:type="paragraph" w:customStyle="1" w:styleId="TableNumbering3">
    <w:name w:val="Table Numbering 3"/>
    <w:basedOn w:val="TableNumbering2"/>
    <w:uiPriority w:val="9"/>
    <w:qFormat/>
    <w:rsid w:val="005C44B4"/>
    <w:pPr>
      <w:numPr>
        <w:ilvl w:val="5"/>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E609D9"/>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shd w:val="clear" w:color="auto" w:fill="F2FF90" w:themeFill="accent3" w:themeFillTint="66"/>
      </w:tcPr>
    </w:tblStylePr>
  </w:style>
  <w:style w:type="paragraph" w:customStyle="1" w:styleId="BodyTextSingleSpacing">
    <w:name w:val="Body Text Single Spacing"/>
    <w:basedOn w:val="BodyText"/>
    <w:uiPriority w:val="14"/>
    <w:qFormat/>
    <w:rsid w:val="00C46BED"/>
    <w:pPr>
      <w:spacing w:before="0" w:after="0" w:line="252" w:lineRule="auto"/>
    </w:pPr>
  </w:style>
  <w:style w:type="table" w:customStyle="1" w:styleId="RowTableStyle">
    <w:name w:val="Row Table Style"/>
    <w:basedOn w:val="TableNormal"/>
    <w:uiPriority w:val="99"/>
    <w:rsid w:val="00E609D9"/>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F2FF90" w:themeFill="accent3" w:themeFillTint="66"/>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9B2312"/>
    <w:rPr>
      <w:color w:val="250E62" w:themeColor="accent1"/>
    </w:rPr>
  </w:style>
  <w:style w:type="character" w:customStyle="1" w:styleId="CharacterStyle-BrightColour">
    <w:name w:val="Character Style - Bright Colour"/>
    <w:uiPriority w:val="5"/>
    <w:qFormat/>
    <w:rsid w:val="004F487D"/>
    <w:rPr>
      <w:color w:val="009A44" w:themeColor="accent2"/>
    </w:rPr>
  </w:style>
  <w:style w:type="paragraph" w:customStyle="1" w:styleId="CalloutHeader">
    <w:name w:val="Callout Header"/>
    <w:basedOn w:val="TableText"/>
    <w:uiPriority w:val="9"/>
    <w:qFormat/>
    <w:rsid w:val="005850C2"/>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character" w:customStyle="1" w:styleId="Heading8Char">
    <w:name w:val="Heading 8 Char"/>
    <w:basedOn w:val="DefaultParagraphFont"/>
    <w:link w:val="Heading8"/>
    <w:uiPriority w:val="8"/>
    <w:semiHidden/>
    <w:rsid w:val="008C22EF"/>
    <w:rPr>
      <w:rFonts w:asciiTheme="majorHAnsi" w:eastAsiaTheme="majorEastAsia" w:hAnsiTheme="majorHAnsi" w:cstheme="majorBidi"/>
      <w:bCs/>
      <w:iCs/>
      <w:color w:val="A4A2A4" w:themeColor="background2"/>
      <w:sz w:val="36"/>
      <w:szCs w:val="20"/>
    </w:rPr>
  </w:style>
  <w:style w:type="character" w:customStyle="1" w:styleId="Heading9Char">
    <w:name w:val="Heading 9 Char"/>
    <w:basedOn w:val="DefaultParagraphFont"/>
    <w:link w:val="Heading9"/>
    <w:uiPriority w:val="8"/>
    <w:semiHidden/>
    <w:rsid w:val="008C22EF"/>
    <w:rPr>
      <w:rFonts w:asciiTheme="majorHAnsi" w:eastAsiaTheme="majorEastAsia" w:hAnsiTheme="majorHAnsi" w:cstheme="majorBidi"/>
      <w:bCs/>
      <w:color w:val="A4A2A4" w:themeColor="background2"/>
      <w:sz w:val="32"/>
      <w:szCs w:val="20"/>
    </w:rPr>
  </w:style>
  <w:style w:type="paragraph" w:customStyle="1" w:styleId="Object">
    <w:name w:val="Object"/>
    <w:basedOn w:val="BodyText"/>
    <w:next w:val="Source"/>
    <w:uiPriority w:val="4"/>
    <w:qFormat/>
    <w:rsid w:val="009F1726"/>
    <w:pPr>
      <w:keepNext/>
      <w:spacing w:before="360" w:after="240" w:line="240" w:lineRule="auto"/>
    </w:pPr>
  </w:style>
  <w:style w:type="character" w:styleId="PlaceholderText">
    <w:name w:val="Placeholder Text"/>
    <w:basedOn w:val="DefaultParagraphFont"/>
    <w:uiPriority w:val="99"/>
    <w:rsid w:val="006B2BBF"/>
    <w:rPr>
      <w:rFonts w:asciiTheme="minorHAnsi" w:hAnsiTheme="minorHAnsi"/>
      <w:vanish w:val="0"/>
      <w:color w:val="808080"/>
    </w:rPr>
  </w:style>
  <w:style w:type="paragraph" w:styleId="Quote">
    <w:name w:val="Quote"/>
    <w:basedOn w:val="BodyText"/>
    <w:next w:val="BodyText"/>
    <w:link w:val="QuoteChar"/>
    <w:uiPriority w:val="14"/>
    <w:qFormat/>
    <w:rsid w:val="00FB0BE2"/>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FB0BE2"/>
    <w:rPr>
      <w:i/>
      <w:iCs/>
      <w:color w:val="250E62" w:themeColor="accent1"/>
      <w:sz w:val="20"/>
    </w:rPr>
  </w:style>
  <w:style w:type="paragraph" w:customStyle="1" w:styleId="PageNo">
    <w:name w:val="Page No"/>
    <w:basedOn w:val="Normal"/>
    <w:link w:val="PageNoChar"/>
    <w:uiPriority w:val="99"/>
    <w:qFormat/>
    <w:rsid w:val="00013A54"/>
    <w:pPr>
      <w:spacing w:before="720" w:line="240" w:lineRule="auto"/>
      <w:jc w:val="right"/>
    </w:pPr>
    <w:rPr>
      <w:color w:val="808080" w:themeColor="background1" w:themeShade="80"/>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013A54"/>
    <w:rPr>
      <w:rFonts w:ascii="Arial" w:hAnsi="Arial" w:cstheme="minorHAnsi"/>
      <w:noProof/>
      <w:color w:val="808080" w:themeColor="background1" w:themeShade="80"/>
      <w:sz w:val="18"/>
      <w:szCs w:val="18"/>
    </w:rPr>
  </w:style>
  <w:style w:type="paragraph" w:customStyle="1" w:styleId="HeaderFirstPage">
    <w:name w:val="Header First Page"/>
    <w:basedOn w:val="Header"/>
    <w:uiPriority w:val="9"/>
    <w:qFormat/>
    <w:rsid w:val="005C4602"/>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617357"/>
    <w:pPr>
      <w:spacing w:after="0" w:line="264" w:lineRule="auto"/>
    </w:pPr>
    <w:rPr>
      <w:rFonts w:ascii="Nunito SemiBold" w:hAnsi="Nunito SemiBold"/>
      <w:color w:val="009A44"/>
      <w:sz w:val="80"/>
    </w:rPr>
  </w:style>
  <w:style w:type="paragraph" w:customStyle="1" w:styleId="CoverTitle">
    <w:name w:val="Cover Title"/>
    <w:basedOn w:val="CoverChapter"/>
    <w:uiPriority w:val="9"/>
    <w:qFormat/>
    <w:rsid w:val="007157A0"/>
    <w:pPr>
      <w:spacing w:before="0" w:line="880" w:lineRule="atLeast"/>
    </w:pPr>
    <w:rPr>
      <w:color w:val="250E62" w:themeColor="accent1"/>
    </w:rPr>
  </w:style>
  <w:style w:type="paragraph" w:customStyle="1" w:styleId="Evenfooter">
    <w:name w:val="Even footer"/>
    <w:basedOn w:val="Footer"/>
    <w:uiPriority w:val="9"/>
    <w:qFormat/>
    <w:rsid w:val="00AD6412"/>
    <w:pPr>
      <w:jc w:val="left"/>
    </w:pPr>
  </w:style>
  <w:style w:type="paragraph" w:customStyle="1" w:styleId="CalloutHeaderWhite">
    <w:name w:val="Callout Header White"/>
    <w:basedOn w:val="CalloutHeader"/>
    <w:uiPriority w:val="9"/>
    <w:qFormat/>
    <w:rsid w:val="005C4602"/>
    <w:rPr>
      <w:color w:val="FFFFFF" w:themeColor="background1"/>
    </w:rPr>
  </w:style>
  <w:style w:type="character" w:customStyle="1" w:styleId="CalloutTextWhite">
    <w:name w:val="Callout Text White"/>
    <w:basedOn w:val="DefaultParagraphFont"/>
    <w:uiPriority w:val="1"/>
    <w:qFormat/>
    <w:rsid w:val="005C4602"/>
    <w:rPr>
      <w:color w:val="FFFFFF" w:themeColor="background1"/>
    </w:rPr>
  </w:style>
  <w:style w:type="paragraph" w:customStyle="1" w:styleId="Chapternumber">
    <w:name w:val="Chapter number"/>
    <w:basedOn w:val="Heading1"/>
    <w:uiPriority w:val="9"/>
    <w:qFormat/>
    <w:rsid w:val="00F1004A"/>
    <w:pPr>
      <w:numPr>
        <w:numId w:val="0"/>
      </w:numPr>
      <w:spacing w:after="0"/>
    </w:pPr>
  </w:style>
  <w:style w:type="paragraph" w:customStyle="1" w:styleId="CaptionFigure">
    <w:name w:val="Caption Figure"/>
    <w:basedOn w:val="Caption"/>
    <w:next w:val="Source"/>
    <w:uiPriority w:val="9"/>
    <w:qFormat/>
    <w:rsid w:val="009F1726"/>
    <w:pPr>
      <w:keepNext w:val="0"/>
      <w:spacing w:before="240" w:after="360"/>
    </w:pPr>
  </w:style>
  <w:style w:type="character" w:customStyle="1" w:styleId="Highlight">
    <w:name w:val="_Highlight"/>
    <w:basedOn w:val="DefaultParagraphFont"/>
    <w:uiPriority w:val="8"/>
    <w:qFormat/>
    <w:rsid w:val="002C6E43"/>
    <w:rPr>
      <w:bdr w:val="none" w:sz="0" w:space="0" w:color="auto"/>
      <w:shd w:val="clear" w:color="auto" w:fill="FFFF00"/>
    </w:rPr>
  </w:style>
  <w:style w:type="character" w:customStyle="1" w:styleId="Removedirectformatting">
    <w:name w:val="_ Remove direct formatting"/>
    <w:basedOn w:val="Highlight"/>
    <w:uiPriority w:val="8"/>
    <w:qFormat/>
    <w:rsid w:val="002C6E43"/>
    <w:rPr>
      <w:bdr w:val="none" w:sz="0" w:space="0" w:color="auto"/>
      <w:shd w:val="clear" w:color="auto" w:fill="auto"/>
    </w:rPr>
  </w:style>
  <w:style w:type="character" w:customStyle="1" w:styleId="Underline">
    <w:name w:val="_ Underline"/>
    <w:basedOn w:val="DefaultParagraphFont"/>
    <w:uiPriority w:val="8"/>
    <w:qFormat/>
    <w:rsid w:val="002C6E43"/>
    <w:rPr>
      <w:u w:val="single"/>
    </w:rPr>
  </w:style>
  <w:style w:type="character" w:customStyle="1" w:styleId="Bold">
    <w:name w:val="_Bold"/>
    <w:basedOn w:val="DefaultParagraphFont"/>
    <w:uiPriority w:val="8"/>
    <w:qFormat/>
    <w:rsid w:val="002C6E43"/>
    <w:rPr>
      <w:b/>
    </w:rPr>
  </w:style>
  <w:style w:type="character" w:customStyle="1" w:styleId="HighlightBlue">
    <w:name w:val="_Highlight_Blue"/>
    <w:basedOn w:val="DefaultParagraphFont"/>
    <w:uiPriority w:val="7"/>
    <w:qFormat/>
    <w:rsid w:val="002C6E43"/>
    <w:rPr>
      <w:bdr w:val="none" w:sz="0" w:space="0" w:color="auto"/>
      <w:shd w:val="clear" w:color="auto" w:fill="CCFFFF"/>
    </w:rPr>
  </w:style>
  <w:style w:type="character" w:customStyle="1" w:styleId="Italics">
    <w:name w:val="_Italics"/>
    <w:basedOn w:val="DefaultParagraphFont"/>
    <w:uiPriority w:val="8"/>
    <w:qFormat/>
    <w:rsid w:val="002C6E43"/>
    <w:rPr>
      <w:b w:val="0"/>
      <w:i/>
    </w:rPr>
  </w:style>
  <w:style w:type="character" w:customStyle="1" w:styleId="Strikethrough">
    <w:name w:val="_Strikethrough"/>
    <w:basedOn w:val="DefaultParagraphFont"/>
    <w:uiPriority w:val="8"/>
    <w:qFormat/>
    <w:rsid w:val="002C6E43"/>
    <w:rPr>
      <w:strike/>
      <w:dstrike w:val="0"/>
    </w:rPr>
  </w:style>
  <w:style w:type="character" w:customStyle="1" w:styleId="Subscript">
    <w:name w:val="_Subscript"/>
    <w:basedOn w:val="DefaultParagraphFont"/>
    <w:uiPriority w:val="8"/>
    <w:qFormat/>
    <w:rsid w:val="002C6E43"/>
    <w:rPr>
      <w:vertAlign w:val="subscript"/>
    </w:rPr>
  </w:style>
  <w:style w:type="character" w:customStyle="1" w:styleId="Superscript">
    <w:name w:val="_Superscript"/>
    <w:basedOn w:val="Subscript"/>
    <w:uiPriority w:val="8"/>
    <w:qFormat/>
    <w:rsid w:val="002C6E43"/>
    <w:rPr>
      <w:vertAlign w:val="superscript"/>
    </w:rPr>
  </w:style>
  <w:style w:type="character" w:customStyle="1" w:styleId="TextBlue">
    <w:name w:val="_Text Blue"/>
    <w:basedOn w:val="DefaultParagraphFont"/>
    <w:uiPriority w:val="7"/>
    <w:qFormat/>
    <w:rsid w:val="002C6E43"/>
    <w:rPr>
      <w:color w:val="0085CA" w:themeColor="accent4"/>
    </w:rPr>
  </w:style>
  <w:style w:type="character" w:customStyle="1" w:styleId="TextGreen">
    <w:name w:val="_Text Green"/>
    <w:uiPriority w:val="8"/>
    <w:qFormat/>
    <w:rsid w:val="002D23B2"/>
    <w:rPr>
      <w:color w:val="9BAE00" w:themeColor="accent3" w:themeShade="BF"/>
    </w:rPr>
  </w:style>
  <w:style w:type="character" w:customStyle="1" w:styleId="TextRed">
    <w:name w:val="_Text Red"/>
    <w:basedOn w:val="DefaultParagraphFont"/>
    <w:uiPriority w:val="8"/>
    <w:qFormat/>
    <w:rsid w:val="002C6E43"/>
    <w:rPr>
      <w:color w:val="CE0058" w:themeColor="accent6"/>
    </w:rPr>
  </w:style>
  <w:style w:type="paragraph" w:customStyle="1" w:styleId="CaptionObject">
    <w:name w:val="Caption Object"/>
    <w:basedOn w:val="BodyText"/>
    <w:next w:val="BodyText"/>
    <w:uiPriority w:val="6"/>
    <w:qFormat/>
    <w:rsid w:val="00B463E0"/>
    <w:pPr>
      <w:spacing w:before="120" w:after="240" w:line="240" w:lineRule="auto"/>
    </w:pPr>
  </w:style>
  <w:style w:type="paragraph" w:styleId="Bibliography">
    <w:name w:val="Bibliography"/>
    <w:basedOn w:val="Normal"/>
    <w:next w:val="Normal"/>
    <w:uiPriority w:val="37"/>
    <w:unhideWhenUsed/>
    <w:rsid w:val="004C724A"/>
    <w:pPr>
      <w:spacing w:before="0" w:after="160" w:line="259" w:lineRule="auto"/>
    </w:pPr>
    <w:rPr>
      <w:sz w:val="22"/>
      <w:lang w:val="en-NZ"/>
    </w:rPr>
  </w:style>
  <w:style w:type="character" w:styleId="CommentReference">
    <w:name w:val="annotation reference"/>
    <w:basedOn w:val="DefaultParagraphFont"/>
    <w:uiPriority w:val="99"/>
    <w:semiHidden/>
    <w:unhideWhenUsed/>
    <w:rsid w:val="00635338"/>
    <w:rPr>
      <w:sz w:val="16"/>
      <w:szCs w:val="16"/>
    </w:rPr>
  </w:style>
  <w:style w:type="paragraph" w:styleId="CommentText">
    <w:name w:val="annotation text"/>
    <w:basedOn w:val="Normal"/>
    <w:link w:val="CommentTextChar"/>
    <w:uiPriority w:val="99"/>
    <w:semiHidden/>
    <w:unhideWhenUsed/>
    <w:rsid w:val="00635338"/>
    <w:pPr>
      <w:spacing w:line="240" w:lineRule="auto"/>
    </w:pPr>
    <w:rPr>
      <w:szCs w:val="20"/>
    </w:rPr>
  </w:style>
  <w:style w:type="character" w:customStyle="1" w:styleId="CommentTextChar">
    <w:name w:val="Comment Text Char"/>
    <w:basedOn w:val="DefaultParagraphFont"/>
    <w:link w:val="CommentText"/>
    <w:uiPriority w:val="99"/>
    <w:semiHidden/>
    <w:rsid w:val="00635338"/>
    <w:rPr>
      <w:sz w:val="20"/>
      <w:szCs w:val="20"/>
    </w:rPr>
  </w:style>
  <w:style w:type="paragraph" w:styleId="CommentSubject">
    <w:name w:val="annotation subject"/>
    <w:basedOn w:val="CommentText"/>
    <w:next w:val="CommentText"/>
    <w:link w:val="CommentSubjectChar"/>
    <w:uiPriority w:val="99"/>
    <w:semiHidden/>
    <w:unhideWhenUsed/>
    <w:rsid w:val="00635338"/>
    <w:rPr>
      <w:b/>
      <w:bCs/>
    </w:rPr>
  </w:style>
  <w:style w:type="character" w:customStyle="1" w:styleId="CommentSubjectChar">
    <w:name w:val="Comment Subject Char"/>
    <w:basedOn w:val="CommentTextChar"/>
    <w:link w:val="CommentSubject"/>
    <w:uiPriority w:val="99"/>
    <w:semiHidden/>
    <w:rsid w:val="00635338"/>
    <w:rPr>
      <w:b/>
      <w:bCs/>
      <w:sz w:val="20"/>
      <w:szCs w:val="20"/>
    </w:rPr>
  </w:style>
  <w:style w:type="character" w:styleId="FollowedHyperlink">
    <w:name w:val="FollowedHyperlink"/>
    <w:basedOn w:val="DefaultParagraphFont"/>
    <w:uiPriority w:val="99"/>
    <w:semiHidden/>
    <w:unhideWhenUsed/>
    <w:rsid w:val="00AC3849"/>
    <w:rPr>
      <w:color w:val="4400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946534">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740833655">
      <w:bodyDiv w:val="1"/>
      <w:marLeft w:val="0"/>
      <w:marRight w:val="0"/>
      <w:marTop w:val="0"/>
      <w:marBottom w:val="0"/>
      <w:divBdr>
        <w:top w:val="none" w:sz="0" w:space="0" w:color="auto"/>
        <w:left w:val="none" w:sz="0" w:space="0" w:color="auto"/>
        <w:bottom w:val="none" w:sz="0" w:space="0" w:color="auto"/>
        <w:right w:val="none" w:sz="0" w:space="0" w:color="auto"/>
      </w:divBdr>
    </w:div>
    <w:div w:id="774327345">
      <w:bodyDiv w:val="1"/>
      <w:marLeft w:val="0"/>
      <w:marRight w:val="0"/>
      <w:marTop w:val="0"/>
      <w:marBottom w:val="0"/>
      <w:divBdr>
        <w:top w:val="none" w:sz="0" w:space="0" w:color="auto"/>
        <w:left w:val="none" w:sz="0" w:space="0" w:color="auto"/>
        <w:bottom w:val="none" w:sz="0" w:space="0" w:color="auto"/>
        <w:right w:val="none" w:sz="0" w:space="0" w:color="auto"/>
      </w:divBdr>
    </w:div>
    <w:div w:id="1077945105">
      <w:bodyDiv w:val="1"/>
      <w:marLeft w:val="0"/>
      <w:marRight w:val="0"/>
      <w:marTop w:val="0"/>
      <w:marBottom w:val="0"/>
      <w:divBdr>
        <w:top w:val="none" w:sz="0" w:space="0" w:color="auto"/>
        <w:left w:val="none" w:sz="0" w:space="0" w:color="auto"/>
        <w:bottom w:val="none" w:sz="0" w:space="0" w:color="auto"/>
        <w:right w:val="none" w:sz="0" w:space="0" w:color="auto"/>
      </w:divBdr>
    </w:div>
    <w:div w:id="1153327717">
      <w:bodyDiv w:val="1"/>
      <w:marLeft w:val="0"/>
      <w:marRight w:val="0"/>
      <w:marTop w:val="0"/>
      <w:marBottom w:val="0"/>
      <w:divBdr>
        <w:top w:val="none" w:sz="0" w:space="0" w:color="auto"/>
        <w:left w:val="none" w:sz="0" w:space="0" w:color="auto"/>
        <w:bottom w:val="none" w:sz="0" w:space="0" w:color="auto"/>
        <w:right w:val="none" w:sz="0" w:space="0" w:color="auto"/>
      </w:divBdr>
    </w:div>
    <w:div w:id="1375928588">
      <w:bodyDiv w:val="1"/>
      <w:marLeft w:val="0"/>
      <w:marRight w:val="0"/>
      <w:marTop w:val="0"/>
      <w:marBottom w:val="0"/>
      <w:divBdr>
        <w:top w:val="none" w:sz="0" w:space="0" w:color="auto"/>
        <w:left w:val="none" w:sz="0" w:space="0" w:color="auto"/>
        <w:bottom w:val="none" w:sz="0" w:space="0" w:color="auto"/>
        <w:right w:val="none" w:sz="0" w:space="0" w:color="auto"/>
      </w:divBdr>
    </w:div>
    <w:div w:id="1512523150">
      <w:bodyDiv w:val="1"/>
      <w:marLeft w:val="0"/>
      <w:marRight w:val="0"/>
      <w:marTop w:val="0"/>
      <w:marBottom w:val="0"/>
      <w:divBdr>
        <w:top w:val="none" w:sz="0" w:space="0" w:color="auto"/>
        <w:left w:val="none" w:sz="0" w:space="0" w:color="auto"/>
        <w:bottom w:val="none" w:sz="0" w:space="0" w:color="auto"/>
        <w:right w:val="none" w:sz="0" w:space="0" w:color="auto"/>
      </w:divBdr>
    </w:div>
    <w:div w:id="1630352863">
      <w:bodyDiv w:val="1"/>
      <w:marLeft w:val="0"/>
      <w:marRight w:val="0"/>
      <w:marTop w:val="0"/>
      <w:marBottom w:val="0"/>
      <w:divBdr>
        <w:top w:val="none" w:sz="0" w:space="0" w:color="auto"/>
        <w:left w:val="none" w:sz="0" w:space="0" w:color="auto"/>
        <w:bottom w:val="none" w:sz="0" w:space="0" w:color="auto"/>
        <w:right w:val="none" w:sz="0" w:space="0" w:color="auto"/>
      </w:divBdr>
    </w:div>
    <w:div w:id="1686398561">
      <w:bodyDiv w:val="1"/>
      <w:marLeft w:val="0"/>
      <w:marRight w:val="0"/>
      <w:marTop w:val="0"/>
      <w:marBottom w:val="0"/>
      <w:divBdr>
        <w:top w:val="none" w:sz="0" w:space="0" w:color="auto"/>
        <w:left w:val="none" w:sz="0" w:space="0" w:color="auto"/>
        <w:bottom w:val="none" w:sz="0" w:space="0" w:color="auto"/>
        <w:right w:val="none" w:sz="0" w:space="0" w:color="auto"/>
      </w:divBdr>
    </w:div>
    <w:div w:id="1808742802">
      <w:bodyDiv w:val="1"/>
      <w:marLeft w:val="0"/>
      <w:marRight w:val="0"/>
      <w:marTop w:val="0"/>
      <w:marBottom w:val="0"/>
      <w:divBdr>
        <w:top w:val="none" w:sz="0" w:space="0" w:color="auto"/>
        <w:left w:val="none" w:sz="0" w:space="0" w:color="auto"/>
        <w:bottom w:val="none" w:sz="0" w:space="0" w:color="auto"/>
        <w:right w:val="none" w:sz="0" w:space="0" w:color="auto"/>
      </w:divBdr>
    </w:div>
    <w:div w:id="210679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A3"/>
    <w:rsid w:val="00036E8D"/>
    <w:rsid w:val="00131DA3"/>
    <w:rsid w:val="003A330D"/>
    <w:rsid w:val="00465A13"/>
    <w:rsid w:val="00506C87"/>
    <w:rsid w:val="00516FC4"/>
    <w:rsid w:val="00546EF2"/>
    <w:rsid w:val="008259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330D"/>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Offsets</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2</b:RefOrder>
  </b:Source>
  <b:Source>
    <b:Tag>DEL7a4</b:Tag>
    <b:SourceType>Report</b:SourceType>
    <b:Guid>{9D0748D5-20B2-43D7-B0E2-3747CFD7DB13}</b:Guid>
    <b:Author>
      <b:Author>
        <b:Corporate>DELWP</b:Corporate>
      </b:Author>
    </b:Author>
    <b:Title>Guidelines for the removal, destruction or lopping of native vegetation.</b:Title>
    <b:Year>2017a</b:Year>
    <b:Publisher>Victorian Department of Environment, Land, Water and Planning</b:Publisher>
    <b:City>Melbourne</b:City>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DD395131-3CC7-4666-B600-EBFE705A1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1926</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Veronica Fink</cp:lastModifiedBy>
  <cp:revision>8</cp:revision>
  <dcterms:created xsi:type="dcterms:W3CDTF">2019-09-15T08:32:00Z</dcterms:created>
  <dcterms:modified xsi:type="dcterms:W3CDTF">2019-09-20T05:08:00Z</dcterms:modified>
</cp:coreProperties>
</file>