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16DA4C0F" w:rsidR="006A7B89" w:rsidRPr="00F2597D" w:rsidRDefault="00656541" w:rsidP="00957B4E">
      <w:pPr>
        <w:pStyle w:val="CoverChapter"/>
        <w:spacing w:before="0"/>
      </w:pPr>
      <w:r>
        <w:rPr>
          <w:noProof/>
        </w:rPr>
        <w:fldChar w:fldCharType="begin"/>
      </w:r>
      <w:r w:rsidRPr="00F2597D">
        <w:rPr>
          <w:noProof/>
        </w:rPr>
        <w:instrText xml:space="preserve"> STYLEREF  "Heading 1" \n  \* MERGEFORMAT </w:instrText>
      </w:r>
      <w:r>
        <w:rPr>
          <w:noProof/>
        </w:rPr>
        <w:fldChar w:fldCharType="separate"/>
      </w:r>
      <w:r w:rsidR="00CF6CF7">
        <w:rPr>
          <w:noProof/>
        </w:rPr>
        <w:t>Chapter 15</w:t>
      </w:r>
      <w:r>
        <w:rPr>
          <w:noProof/>
        </w:rPr>
        <w:fldChar w:fldCharType="end"/>
      </w:r>
    </w:p>
    <w:p w14:paraId="538F95D8" w14:textId="199EF686" w:rsidR="00F955BB" w:rsidRPr="00F955BB" w:rsidRDefault="000215BE" w:rsidP="00957B4E">
      <w:pPr>
        <w:pStyle w:val="CoverTitle"/>
        <w:spacing w:after="240"/>
        <w:rPr>
          <w:rStyle w:val="CharacterStyle-BaseColour"/>
        </w:rPr>
      </w:pPr>
      <w:sdt>
        <w:sdtPr>
          <w:rPr>
            <w:sz w:val="56"/>
            <w:szCs w:val="56"/>
          </w:r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7C6452" w:rsidRPr="00957B4E">
            <w:rPr>
              <w:sz w:val="56"/>
              <w:szCs w:val="56"/>
            </w:rPr>
            <w:t>Environmental Record of person(s) proposing to take the</w:t>
          </w:r>
          <w:r w:rsidR="00957B4E" w:rsidRPr="00957B4E">
            <w:rPr>
              <w:sz w:val="56"/>
              <w:szCs w:val="56"/>
            </w:rPr>
            <w:t> </w:t>
          </w:r>
          <w:r w:rsidR="007C6452" w:rsidRPr="00957B4E">
            <w:rPr>
              <w:sz w:val="56"/>
              <w:szCs w:val="56"/>
            </w:rPr>
            <w:t>action</w:t>
          </w:r>
        </w:sdtContent>
      </w:sdt>
    </w:p>
    <w:p w14:paraId="79AF9091" w14:textId="29B2A24C" w:rsidR="00F955BB" w:rsidRPr="00230A80" w:rsidRDefault="00C54645" w:rsidP="00F955BB">
      <w:pPr>
        <w:pStyle w:val="BodyTextSingleSpacing"/>
        <w:rPr>
          <w:rStyle w:val="CharacterStyle-BaseColour"/>
        </w:rPr>
      </w:pPr>
      <w:r>
        <w:rPr>
          <w:rStyle w:val="CharacterStyle-BaseColour"/>
        </w:rPr>
        <w:t>September</w:t>
      </w:r>
      <w:r w:rsidR="0020207D" w:rsidRPr="00230A80">
        <w:rPr>
          <w:rStyle w:val="CharacterStyle-BaseColour"/>
        </w:rPr>
        <w:t xml:space="preserve"> </w:t>
      </w:r>
      <w:r w:rsidR="00F955BB" w:rsidRPr="00230A80">
        <w:rPr>
          <w:rStyle w:val="CharacterStyle-BaseColour"/>
        </w:rPr>
        <w:t>2019</w:t>
      </w:r>
    </w:p>
    <w:p w14:paraId="536B0CEB" w14:textId="77777777" w:rsidR="00F955BB" w:rsidRPr="00E054C4" w:rsidRDefault="00F955BB" w:rsidP="00C46BED">
      <w:pPr>
        <w:pStyle w:val="CoverTitle"/>
        <w:sectPr w:rsidR="00F955BB"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07EA77A7" w:rsidR="00F1004A" w:rsidRPr="00C91D01" w:rsidRDefault="006F718D" w:rsidP="00DB0959">
      <w:pPr>
        <w:pStyle w:val="TOCHeading"/>
      </w:pPr>
      <w:r>
        <w:rPr>
          <w:noProof/>
        </w:rPr>
        <w:lastRenderedPageBreak/>
        <w:fldChar w:fldCharType="begin"/>
      </w:r>
      <w:r>
        <w:rPr>
          <w:noProof/>
        </w:rPr>
        <w:instrText xml:space="preserve"> STYLEREF  "Heading 1" \n  \* MERGEFORMAT </w:instrText>
      </w:r>
      <w:r>
        <w:rPr>
          <w:noProof/>
        </w:rPr>
        <w:fldChar w:fldCharType="separate"/>
      </w:r>
      <w:r w:rsidR="00CF6CF7">
        <w:rPr>
          <w:noProof/>
        </w:rPr>
        <w:t>Chapter 15</w:t>
      </w:r>
      <w:r>
        <w:rPr>
          <w:noProof/>
        </w:rPr>
        <w:fldChar w:fldCharType="end"/>
      </w:r>
    </w:p>
    <w:bookmarkStart w:id="2" w:name="_Toc5146994"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5E23C77F" w:rsidR="00A63B36" w:rsidRPr="00C91D01" w:rsidRDefault="007C6452" w:rsidP="00D62CBF">
          <w:pPr>
            <w:pStyle w:val="Heading1"/>
          </w:pPr>
          <w:r>
            <w:t>Environmental Record of person(s) proposing to take the action</w:t>
          </w:r>
        </w:p>
      </w:sdtContent>
    </w:sdt>
    <w:bookmarkEnd w:id="2" w:displacedByCustomXml="prev"/>
    <w:bookmarkEnd w:id="0" w:displacedByCustomXml="prev"/>
    <w:p w14:paraId="7786458B" w14:textId="77777777" w:rsidR="007C6452" w:rsidRPr="004064BC" w:rsidRDefault="007C6452" w:rsidP="007C6452">
      <w:pPr>
        <w:pStyle w:val="BodyText"/>
        <w:rPr>
          <w:highlight w:val="yellow"/>
        </w:rPr>
      </w:pPr>
      <w:r w:rsidRPr="004064BC">
        <w:t xml:space="preserve">The Major Transport Infrastructure Authority (MTIA), on behalf of the Secretary of Victoria’s Department of Transport, is the proponent for North East Link. MTIA is an Administrative Office, established in relation to Department of Transport, responsible for the delivery of North East Link for the Victorian Government. The North East Link Project is the organisation within MTIA that is responsible for developing and delivering North East Link. </w:t>
      </w:r>
    </w:p>
    <w:p w14:paraId="7526E70B" w14:textId="77777777" w:rsidR="007C6452" w:rsidRPr="004064BC" w:rsidRDefault="007C6452" w:rsidP="007C6452">
      <w:pPr>
        <w:pStyle w:val="BodyText"/>
      </w:pPr>
      <w:r w:rsidRPr="004064BC">
        <w:t>Department of Transport was formed on 1 January 2019, when the former Victorian Department of Economic Development, Jobs, Transport and Resources (DEDJTR) was split into Department of Transport and the Department of Jobs, Precincts and Regions (</w:t>
      </w:r>
      <w:proofErr w:type="spellStart"/>
      <w:r w:rsidRPr="004064BC">
        <w:t>DJPR</w:t>
      </w:r>
      <w:proofErr w:type="spellEnd"/>
      <w:r w:rsidRPr="004064BC">
        <w:t xml:space="preserve">). </w:t>
      </w:r>
    </w:p>
    <w:p w14:paraId="707A9372" w14:textId="77777777" w:rsidR="007C6452" w:rsidRPr="004064BC" w:rsidRDefault="007C6452" w:rsidP="007C6452">
      <w:pPr>
        <w:pStyle w:val="BodyText"/>
      </w:pPr>
      <w:r w:rsidRPr="004064BC">
        <w:t>At this point, Department of Transport has not yet developed any policies, and the policies of the former DEDJTR continue to apply to Department of Transport’s activities.</w:t>
      </w:r>
      <w:r w:rsidRPr="004064BC">
        <w:rPr>
          <w:highlight w:val="yellow"/>
        </w:rPr>
        <w:t xml:space="preserve"> </w:t>
      </w:r>
    </w:p>
    <w:p w14:paraId="29775F65" w14:textId="77777777" w:rsidR="007C6452" w:rsidRPr="004064BC" w:rsidRDefault="007C6452" w:rsidP="007C6452">
      <w:pPr>
        <w:pStyle w:val="BodyText"/>
      </w:pPr>
      <w:r w:rsidRPr="004064BC">
        <w:t>The DEDJTR Environmental Policy applies to all activities undertaken by the department. The policy aims to reduce current and future environmental impacts and all agencies (such as MTIA) linked to the department are expected to comply with this policy. The policy contains the following principles:</w:t>
      </w:r>
    </w:p>
    <w:p w14:paraId="63937D95" w14:textId="77777777" w:rsidR="007C6452" w:rsidRPr="004064BC" w:rsidRDefault="007C6452" w:rsidP="007C6452">
      <w:pPr>
        <w:pStyle w:val="BodyBullet1"/>
      </w:pPr>
      <w:r w:rsidRPr="004064BC">
        <w:t>Emissions – actively identify and implement (where practical) improvements to minimise the production of greenhouse gases through our everyday activities</w:t>
      </w:r>
    </w:p>
    <w:p w14:paraId="2C459971" w14:textId="77777777" w:rsidR="007C6452" w:rsidRPr="004064BC" w:rsidRDefault="007C6452" w:rsidP="007C6452">
      <w:pPr>
        <w:pStyle w:val="BodyBullet1"/>
      </w:pPr>
      <w:r w:rsidRPr="004064BC">
        <w:t>Consumption – actively identify and implement (where practical) improvements to minimise consumption and promote efficient use of energy, water, paper and other material inputs</w:t>
      </w:r>
    </w:p>
    <w:p w14:paraId="051C5580" w14:textId="77777777" w:rsidR="007C6452" w:rsidRPr="004064BC" w:rsidRDefault="007C6452" w:rsidP="007C6452">
      <w:pPr>
        <w:pStyle w:val="BodyBullet1"/>
      </w:pPr>
      <w:r w:rsidRPr="004064BC">
        <w:t>Waste – strive to reduce the amount of waste produced whilst maximising the amount we reuse and recycle</w:t>
      </w:r>
    </w:p>
    <w:p w14:paraId="2B08D3FC" w14:textId="77777777" w:rsidR="007C6452" w:rsidRPr="004064BC" w:rsidRDefault="007C6452" w:rsidP="007C6452">
      <w:pPr>
        <w:pStyle w:val="BodyBullet1"/>
      </w:pPr>
      <w:r w:rsidRPr="004064BC">
        <w:t>Procurement – incorporate environmental principles and, where possible, life cycle costing when procuring goods and services and request that suppliers remove and reuse packaging when goods are procured in bulk</w:t>
      </w:r>
    </w:p>
    <w:p w14:paraId="0CB94523" w14:textId="77777777" w:rsidR="007C6452" w:rsidRPr="004064BC" w:rsidRDefault="007C6452" w:rsidP="007C6452">
      <w:pPr>
        <w:pStyle w:val="BodyBullet1"/>
      </w:pPr>
      <w:r w:rsidRPr="004064BC">
        <w:lastRenderedPageBreak/>
        <w:t>Transport – consider environmental factors when purchasing and using fleet vehicles and travel sustainably when practical</w:t>
      </w:r>
    </w:p>
    <w:p w14:paraId="3A9E1A58" w14:textId="77777777" w:rsidR="007C6452" w:rsidRPr="004064BC" w:rsidRDefault="007C6452" w:rsidP="007C6452">
      <w:pPr>
        <w:pStyle w:val="BodyBullet1"/>
      </w:pPr>
      <w:r w:rsidRPr="004064BC">
        <w:t>Infrastructure – ensure all new capital works programs and office relocations incorporate comprehensive environmental sustainability principles</w:t>
      </w:r>
    </w:p>
    <w:p w14:paraId="5E657882" w14:textId="77777777" w:rsidR="007C6452" w:rsidRPr="004064BC" w:rsidRDefault="007C6452" w:rsidP="007C6452">
      <w:pPr>
        <w:pStyle w:val="BodyBullet1"/>
      </w:pPr>
      <w:r w:rsidRPr="004064BC">
        <w:t>Compliance – comply with all relevant environmental legislation, regulations and policies</w:t>
      </w:r>
    </w:p>
    <w:p w14:paraId="75CD0B8F" w14:textId="77777777" w:rsidR="007C6452" w:rsidRPr="004064BC" w:rsidRDefault="007C6452" w:rsidP="007C6452">
      <w:pPr>
        <w:pStyle w:val="BodyBullet1"/>
      </w:pPr>
      <w:r w:rsidRPr="004064BC">
        <w:t>Monitoring – monitor and review our environmental performance against annually reviewed targets. Improve the quality of data collected and reported</w:t>
      </w:r>
    </w:p>
    <w:p w14:paraId="56416236" w14:textId="77777777" w:rsidR="007C6452" w:rsidRPr="004064BC" w:rsidRDefault="007C6452" w:rsidP="007C6452">
      <w:pPr>
        <w:pStyle w:val="BodyBullet1"/>
      </w:pPr>
      <w:r w:rsidRPr="004064BC">
        <w:t>Communication – communicate our environmental performance to all staff and stakeholders while encouraging participation and feedback.</w:t>
      </w:r>
    </w:p>
    <w:p w14:paraId="256195CC" w14:textId="176FCAD0" w:rsidR="007C6452" w:rsidRPr="004064BC" w:rsidRDefault="007C6452" w:rsidP="007C6452">
      <w:pPr>
        <w:pStyle w:val="BodyText"/>
      </w:pPr>
      <w:r w:rsidRPr="004064BC">
        <w:t xml:space="preserve">More information on the DEDJTR Environmental Policy is provided at </w:t>
      </w:r>
      <w:r w:rsidRPr="007C6452">
        <w:t>&lt;</w:t>
      </w:r>
      <w:hyperlink r:id="rId15" w:history="1">
        <w:r w:rsidRPr="007C6452">
          <w:rPr>
            <w:rStyle w:val="Hyperlink"/>
          </w:rPr>
          <w:t>https://web1.economicdevelopment.vic.gov.au/ecodev/about-us/overview/policy-framework/environmental-policy</w:t>
        </w:r>
      </w:hyperlink>
      <w:r w:rsidRPr="007C6452">
        <w:t>&gt;.</w:t>
      </w:r>
      <w:r w:rsidRPr="004064BC">
        <w:t xml:space="preserve"> </w:t>
      </w:r>
    </w:p>
    <w:p w14:paraId="2BBC8755" w14:textId="77777777" w:rsidR="007C6452" w:rsidRPr="004064BC" w:rsidRDefault="007C6452" w:rsidP="007C6452">
      <w:pPr>
        <w:pStyle w:val="BodyText"/>
      </w:pPr>
      <w:r w:rsidRPr="004064BC">
        <w:t>The North East Link Project sustainability policy sets targets to deliver on sustainability commitments. The targets are integrated into North East Link’s design standards and delivery. The North East Link Project will:</w:t>
      </w:r>
    </w:p>
    <w:p w14:paraId="7AA081A5" w14:textId="7ECE6381" w:rsidR="007C6452" w:rsidRPr="004064BC" w:rsidRDefault="007C6452" w:rsidP="007C6452">
      <w:pPr>
        <w:pStyle w:val="BodyBullet1"/>
      </w:pPr>
      <w:r w:rsidRPr="004064BC">
        <w:t>Use resources efficiently by embedding energy, water and waste reduction initiatives into the design, construction and operation of North East Link</w:t>
      </w:r>
      <w:r w:rsidR="003C3BCB">
        <w:t xml:space="preserve"> </w:t>
      </w:r>
    </w:p>
    <w:p w14:paraId="7A9A98DD" w14:textId="77777777" w:rsidR="007C6452" w:rsidRPr="004064BC" w:rsidRDefault="007C6452" w:rsidP="007C6452">
      <w:pPr>
        <w:pStyle w:val="BodyBullet1"/>
      </w:pPr>
      <w:r w:rsidRPr="004064BC">
        <w:t xml:space="preserve">Protect and seek opportunities to enhance the natural environment </w:t>
      </w:r>
    </w:p>
    <w:p w14:paraId="17E7554B" w14:textId="77777777" w:rsidR="007C6452" w:rsidRPr="004064BC" w:rsidRDefault="007C6452" w:rsidP="007C6452">
      <w:pPr>
        <w:pStyle w:val="BodyBullet1"/>
      </w:pPr>
      <w:r w:rsidRPr="004064BC">
        <w:t xml:space="preserve">Facilitate opportunities for economic development, provide a skilled local workforce and promote diversity and inclusion. </w:t>
      </w:r>
    </w:p>
    <w:p w14:paraId="64AB616F" w14:textId="4C18D760" w:rsidR="00B74B18" w:rsidRDefault="007C6452" w:rsidP="007C6452">
      <w:pPr>
        <w:pStyle w:val="BodyText"/>
      </w:pPr>
      <w:r w:rsidRPr="004064BC">
        <w:t>The targets will be tracked across the development of North East Link and performance will be publicly reported on.</w:t>
      </w:r>
    </w:p>
    <w:sectPr w:rsidR="00B74B18" w:rsidSect="007C54CE">
      <w:footerReference w:type="even" r:id="rId16"/>
      <w:footerReference w:type="default" r:id="rId17"/>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9CC7D" w14:textId="77777777" w:rsidR="0077396F" w:rsidRDefault="0077396F" w:rsidP="00A02FC6">
      <w:r>
        <w:separator/>
      </w:r>
    </w:p>
    <w:p w14:paraId="4CB68172" w14:textId="77777777" w:rsidR="0077396F" w:rsidRDefault="0077396F"/>
    <w:p w14:paraId="1090C86F" w14:textId="77777777" w:rsidR="0077396F" w:rsidRDefault="0077396F"/>
  </w:endnote>
  <w:endnote w:type="continuationSeparator" w:id="0">
    <w:p w14:paraId="6FC8D07C" w14:textId="77777777" w:rsidR="0077396F" w:rsidRDefault="0077396F" w:rsidP="00A02FC6">
      <w:r>
        <w:continuationSeparator/>
      </w:r>
    </w:p>
    <w:p w14:paraId="05F30688" w14:textId="77777777" w:rsidR="0077396F" w:rsidRDefault="0077396F"/>
    <w:p w14:paraId="574E4F05" w14:textId="77777777" w:rsidR="0077396F" w:rsidRDefault="00773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ourier New"/>
    <w:panose1 w:val="00000500000000000000"/>
    <w:charset w:val="00"/>
    <w:family w:val="auto"/>
    <w:pitch w:val="variable"/>
    <w:sig w:usb0="20000007" w:usb1="00000001" w:usb2="00000000" w:usb3="00000000" w:csb0="00000193" w:csb1="00000000"/>
    <w:embedRegular r:id="rId1" w:fontKey="{BB937455-D0EC-4759-ADEE-6F897B14740B}"/>
    <w:embedBold r:id="rId2" w:fontKey="{52E49701-B517-4832-A127-3B6D4825F243}"/>
    <w:embedItalic r:id="rId3" w:fontKey="{1540DA61-A51F-486A-8BBC-D08B8C2A9DF8}"/>
  </w:font>
  <w:font w:name="Nunito SemiBold">
    <w:altName w:val="Calibri"/>
    <w:panose1 w:val="00000700000000000000"/>
    <w:charset w:val="00"/>
    <w:family w:val="auto"/>
    <w:pitch w:val="variable"/>
    <w:sig w:usb0="20000007" w:usb1="00000001" w:usb2="00000000" w:usb3="00000000" w:csb0="00000193" w:csb1="00000000"/>
    <w:embedRegular r:id="rId4" w:fontKey="{A81DD531-07A0-4D7C-93C8-532A1267A351}"/>
  </w:font>
  <w:font w:name="Tahoma">
    <w:panose1 w:val="020B0604030504040204"/>
    <w:charset w:val="00"/>
    <w:family w:val="swiss"/>
    <w:pitch w:val="variable"/>
    <w:sig w:usb0="E1002EFF" w:usb1="C000605B" w:usb2="00000029" w:usb3="00000000" w:csb0="000101FF" w:csb1="00000000"/>
    <w:embedRegular r:id="rId5" w:fontKey="{BC468F5D-C67B-4CA2-942F-2B721072B0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001536E5"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7A066B">
      <w:t>15–1</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CF6CF7">
      <w:rPr>
        <w:lang w:val="en-US"/>
      </w:rPr>
      <w:t>Chapter 15</w:t>
    </w:r>
    <w:r>
      <w:rPr>
        <w:lang w:val="en-US"/>
      </w:rPr>
      <w:fldChar w:fldCharType="end"/>
    </w:r>
    <w:r w:rsidRPr="006A7B89">
      <w:t xml:space="preserve"> – </w:t>
    </w:r>
    <w:fldSimple w:instr=" STYLEREF  &quot;Heading 1&quot;  \* MERGEFORMAT ">
      <w:r w:rsidR="00CF6CF7">
        <w:t>Environmental Record of person(s) proposing to take the action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2719A646"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CF6CF7">
      <w:rPr>
        <w:lang w:val="en-US"/>
      </w:rPr>
      <w:t>Chapter 15</w:t>
    </w:r>
    <w:r>
      <w:rPr>
        <w:lang w:val="en-US"/>
      </w:rPr>
      <w:fldChar w:fldCharType="end"/>
    </w:r>
    <w:r w:rsidRPr="00AD6412">
      <w:t xml:space="preserve"> – </w:t>
    </w:r>
    <w:fldSimple w:instr=" STYLEREF  &quot;Heading 1&quot;  \* MERGEFORMAT ">
      <w:r w:rsidR="00CF6CF7">
        <w:t>Environmental Record of person(s) proposing to take the action</w:t>
      </w:r>
    </w:fldSimple>
    <w:r w:rsidRPr="00AD6412">
      <w:t xml:space="preserve"> | </w:t>
    </w:r>
    <w:r w:rsidRPr="00AD6412">
      <w:fldChar w:fldCharType="begin"/>
    </w:r>
    <w:r w:rsidRPr="00AD6412">
      <w:instrText xml:space="preserve"> PAGE   \* MERGEFORMAT </w:instrText>
    </w:r>
    <w:r w:rsidRPr="00AD6412">
      <w:fldChar w:fldCharType="separate"/>
    </w:r>
    <w:r w:rsidR="007A066B">
      <w:t>15–1</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2DDBA880"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0215BE">
      <w:t>15–2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0215BE">
      <w:rPr>
        <w:lang w:val="en-US"/>
      </w:rPr>
      <w:t>Chapter 15</w:t>
    </w:r>
    <w:r>
      <w:rPr>
        <w:lang w:val="en-US"/>
      </w:rPr>
      <w:fldChar w:fldCharType="end"/>
    </w:r>
    <w:r w:rsidRPr="006A7B89">
      <w:t xml:space="preserve"> – </w:t>
    </w:r>
    <w:fldSimple w:instr=" STYLEREF  &quot;Heading 1&quot;  \* MERGEFORMAT ">
      <w:r w:rsidR="000215BE">
        <w:t>Environmental Record of person(s) proposing to take the action</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4F579DC9"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0215BE">
      <w:rPr>
        <w:lang w:val="en-US"/>
      </w:rPr>
      <w:t>Chapter 15</w:t>
    </w:r>
    <w:r>
      <w:rPr>
        <w:lang w:val="en-US"/>
      </w:rPr>
      <w:fldChar w:fldCharType="end"/>
    </w:r>
    <w:r w:rsidRPr="00AD6412">
      <w:t xml:space="preserve"> – </w:t>
    </w:r>
    <w:fldSimple w:instr=" STYLEREF  &quot;Heading 1&quot;  \* MERGEFORMAT ">
      <w:r w:rsidR="000215BE">
        <w:t>Environmental Record of person(s) proposing to take the action</w:t>
      </w:r>
    </w:fldSimple>
    <w:r w:rsidRPr="00AD6412">
      <w:t xml:space="preserve"> | </w:t>
    </w:r>
    <w:r w:rsidRPr="00AD6412">
      <w:fldChar w:fldCharType="begin"/>
    </w:r>
    <w:r w:rsidRPr="00AD6412">
      <w:instrText xml:space="preserve"> PAGE   \* MERGEFORMAT </w:instrText>
    </w:r>
    <w:r w:rsidRPr="00AD6412">
      <w:fldChar w:fldCharType="separate"/>
    </w:r>
    <w:r w:rsidR="000215BE">
      <w:t>15–1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6611B" w14:textId="77777777" w:rsidR="0077396F" w:rsidRDefault="0077396F" w:rsidP="0036083B">
      <w:pPr>
        <w:spacing w:before="360"/>
      </w:pPr>
      <w:r>
        <w:separator/>
      </w:r>
    </w:p>
    <w:p w14:paraId="4A780B58" w14:textId="77777777" w:rsidR="0077396F" w:rsidRDefault="0077396F"/>
    <w:p w14:paraId="7A581432" w14:textId="77777777" w:rsidR="0077396F" w:rsidRDefault="0077396F"/>
  </w:footnote>
  <w:footnote w:type="continuationSeparator" w:id="0">
    <w:p w14:paraId="7AB429EE" w14:textId="77777777" w:rsidR="0077396F" w:rsidRDefault="0077396F" w:rsidP="0036083B">
      <w:pPr>
        <w:spacing w:before="360"/>
      </w:pPr>
      <w:r>
        <w:continuationSeparator/>
      </w:r>
    </w:p>
    <w:p w14:paraId="6CB97E34" w14:textId="77777777" w:rsidR="0077396F" w:rsidRDefault="0077396F"/>
    <w:p w14:paraId="232B7CB7" w14:textId="77777777" w:rsidR="0077396F" w:rsidRDefault="0077396F"/>
  </w:footnote>
  <w:footnote w:type="continuationNotice" w:id="1">
    <w:p w14:paraId="2B428E54" w14:textId="77777777" w:rsidR="0077396F" w:rsidRDefault="0077396F" w:rsidP="00A02FC6"/>
    <w:p w14:paraId="335B03CF" w14:textId="77777777" w:rsidR="0077396F" w:rsidRDefault="0077396F"/>
    <w:p w14:paraId="45ADE721" w14:textId="77777777" w:rsidR="0077396F" w:rsidRDefault="007739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D23B2" w:rsidRDefault="002D23B2" w:rsidP="007C7ADA">
    <w:pPr>
      <w:pStyle w:val="Header"/>
    </w:pPr>
    <w:r>
      <w:rPr>
        <w:noProof/>
        <w:lang w:eastAsia="en-AU"/>
      </w:rPr>
      <mc:AlternateContent>
        <mc:Choice Requires="wps">
          <w:drawing>
            <wp:anchor distT="0" distB="0" distL="114300" distR="114300" simplePos="0" relativeHeight="251660288" behindDoc="0" locked="0" layoutInCell="1" allowOverlap="1" wp14:anchorId="4E2F50D2" wp14:editId="325E23B5">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93F74A" id="Straight Connector 23"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D23B2" w:rsidRDefault="002D23B2" w:rsidP="005810AD">
    <w:pPr>
      <w:pStyle w:val="Header"/>
    </w:pPr>
    <w:r>
      <w:rPr>
        <w:noProof/>
        <w:lang w:eastAsia="en-AU"/>
      </w:rPr>
      <w:drawing>
        <wp:anchor distT="0" distB="0" distL="114300" distR="114300" simplePos="0" relativeHeight="251666432" behindDoc="1" locked="0" layoutInCell="1" allowOverlap="1" wp14:anchorId="12B7F931" wp14:editId="293387DC">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1AE5C965" w:rsidR="002D23B2" w:rsidRPr="00D3135D" w:rsidRDefault="00957B4E" w:rsidP="000C3A8D">
    <w:pPr>
      <w:pStyle w:val="HeaderFirstPage"/>
    </w:pPr>
    <w:r>
      <w:rPr>
        <w:lang w:eastAsia="en-AU"/>
      </w:rPr>
      <w:drawing>
        <wp:anchor distT="0" distB="0" distL="114300" distR="114300" simplePos="0" relativeHeight="251654144" behindDoc="1" locked="1" layoutInCell="1" allowOverlap="1" wp14:anchorId="7C6BF3BE" wp14:editId="4B1A3105">
          <wp:simplePos x="0" y="0"/>
          <wp:positionH relativeFrom="column">
            <wp:posOffset>-1079500</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 Ch 15.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250E62" w:themeColor="accent1"/>
        <w:sz w:val="18"/>
      </w:rPr>
    </w:lvl>
    <w:lvl w:ilvl="1">
      <w:start w:val="1"/>
      <w:numFmt w:val="bullet"/>
      <w:lvlText w:val="–"/>
      <w:lvlJc w:val="left"/>
      <w:pPr>
        <w:ind w:left="680" w:hanging="340"/>
      </w:pPr>
      <w:rPr>
        <w:rFonts w:ascii="Arial" w:hAnsi="Arial" w:hint="default"/>
        <w:b w:val="0"/>
        <w:i w:val="0"/>
        <w:color w:val="250E62" w:themeColor="accent1"/>
        <w:sz w:val="18"/>
      </w:rPr>
    </w:lvl>
    <w:lvl w:ilvl="2">
      <w:start w:val="1"/>
      <w:numFmt w:val="bullet"/>
      <w:lvlText w:val="-"/>
      <w:lvlJc w:val="left"/>
      <w:pPr>
        <w:ind w:left="1020" w:hanging="340"/>
      </w:pPr>
      <w:rPr>
        <w:rFonts w:ascii="Arial" w:hAnsi="Arial" w:hint="default"/>
        <w:b w:val="0"/>
        <w:i w:val="0"/>
        <w:color w:val="250E62"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93FCD8C6"/>
    <w:lvl w:ilvl="0">
      <w:start w:val="15"/>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250E62" w:themeColor="accent1"/>
      </w:rPr>
    </w:lvl>
    <w:lvl w:ilvl="1">
      <w:start w:val="1"/>
      <w:numFmt w:val="lowerLetter"/>
      <w:lvlText w:val="%2"/>
      <w:lvlJc w:val="left"/>
      <w:pPr>
        <w:ind w:left="680" w:hanging="340"/>
      </w:pPr>
      <w:rPr>
        <w:rFonts w:hint="default"/>
        <w:color w:val="250E62" w:themeColor="accent1"/>
      </w:rPr>
    </w:lvl>
    <w:lvl w:ilvl="2">
      <w:start w:val="1"/>
      <w:numFmt w:val="lowerRoman"/>
      <w:lvlText w:val="%3"/>
      <w:lvlJc w:val="left"/>
      <w:pPr>
        <w:ind w:left="1021" w:hanging="341"/>
      </w:pPr>
      <w:rPr>
        <w:rFonts w:hint="default"/>
        <w:color w:val="250E62"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A44" w:themeColor="accent2"/>
      </w:rPr>
    </w:lvl>
    <w:lvl w:ilvl="1">
      <w:start w:val="1"/>
      <w:numFmt w:val="decimal"/>
      <w:lvlText w:val="%1.%2"/>
      <w:lvlJc w:val="left"/>
      <w:pPr>
        <w:ind w:left="1418" w:hanging="1418"/>
      </w:pPr>
      <w:rPr>
        <w:rFonts w:hint="default"/>
        <w:color w:val="250E62" w:themeColor="accent1"/>
      </w:rPr>
    </w:lvl>
    <w:lvl w:ilvl="2">
      <w:start w:val="1"/>
      <w:numFmt w:val="decimal"/>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250E62"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250E62" w:themeColor="accent1"/>
        </w:rPr>
      </w:lvl>
    </w:lvlOverride>
    <w:lvlOverride w:ilvl="7">
      <w:lvl w:ilvl="7">
        <w:start w:val="1"/>
        <w:numFmt w:val="lowerLetter"/>
        <w:lvlText w:val="%8"/>
        <w:lvlJc w:val="left"/>
        <w:pPr>
          <w:ind w:left="680" w:hanging="340"/>
        </w:pPr>
        <w:rPr>
          <w:rFonts w:hint="default"/>
          <w:color w:val="250E62" w:themeColor="accent1"/>
        </w:rPr>
      </w:lvl>
    </w:lvlOverride>
    <w:lvlOverride w:ilvl="8">
      <w:lvl w:ilvl="8">
        <w:start w:val="1"/>
        <w:numFmt w:val="lowerRoman"/>
        <w:lvlText w:val="%9"/>
        <w:lvlJc w:val="left"/>
        <w:pPr>
          <w:ind w:left="1021" w:hanging="341"/>
        </w:pPr>
        <w:rPr>
          <w:rFonts w:hint="default"/>
          <w:color w:val="250E62"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250E62"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A44" w:themeColor="accent2"/>
        </w:rPr>
      </w:lvl>
    </w:lvlOverride>
    <w:lvlOverride w:ilvl="1">
      <w:lvl w:ilvl="1">
        <w:start w:val="1"/>
        <w:numFmt w:val="decimal"/>
        <w:pStyle w:val="Heading2"/>
        <w:lvlText w:val="%1.%2"/>
        <w:lvlJc w:val="left"/>
        <w:pPr>
          <w:ind w:left="1418" w:hanging="1418"/>
        </w:pPr>
        <w:rPr>
          <w:rFonts w:hint="default"/>
          <w:color w:val="250E62" w:themeColor="accent1"/>
        </w:rPr>
      </w:lvl>
    </w:lvlOverride>
    <w:lvlOverride w:ilvl="2">
      <w:lvl w:ilvl="2">
        <w:start w:val="1"/>
        <w:numFmt w:val="decimal"/>
        <w:pStyle w:val="Heading3"/>
        <w:lvlText w:val="%1.%2.%3"/>
        <w:lvlJc w:val="left"/>
        <w:pPr>
          <w:ind w:left="1418" w:hanging="1418"/>
        </w:pPr>
        <w:rPr>
          <w:rFonts w:hint="default"/>
          <w:color w:val="009A44"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3A54"/>
    <w:rsid w:val="00013C24"/>
    <w:rsid w:val="00014A01"/>
    <w:rsid w:val="0001553D"/>
    <w:rsid w:val="00017047"/>
    <w:rsid w:val="000215BE"/>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2416"/>
    <w:rsid w:val="000626DC"/>
    <w:rsid w:val="000639E5"/>
    <w:rsid w:val="00070A2B"/>
    <w:rsid w:val="0007669C"/>
    <w:rsid w:val="00080123"/>
    <w:rsid w:val="00083077"/>
    <w:rsid w:val="00095E7F"/>
    <w:rsid w:val="000A247E"/>
    <w:rsid w:val="000A2DFD"/>
    <w:rsid w:val="000A4DFB"/>
    <w:rsid w:val="000A554C"/>
    <w:rsid w:val="000A661C"/>
    <w:rsid w:val="000A6F16"/>
    <w:rsid w:val="000B5B9F"/>
    <w:rsid w:val="000B5D48"/>
    <w:rsid w:val="000B7555"/>
    <w:rsid w:val="000C0031"/>
    <w:rsid w:val="000C2020"/>
    <w:rsid w:val="000C2DBD"/>
    <w:rsid w:val="000C2E50"/>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5F37"/>
    <w:rsid w:val="001D6464"/>
    <w:rsid w:val="001D6F2D"/>
    <w:rsid w:val="001E013A"/>
    <w:rsid w:val="001E11E4"/>
    <w:rsid w:val="001E2899"/>
    <w:rsid w:val="001E4C74"/>
    <w:rsid w:val="001E7FC7"/>
    <w:rsid w:val="001F3F88"/>
    <w:rsid w:val="001F571B"/>
    <w:rsid w:val="001F6DF9"/>
    <w:rsid w:val="001F76EB"/>
    <w:rsid w:val="00201900"/>
    <w:rsid w:val="0020207D"/>
    <w:rsid w:val="002021BF"/>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05765"/>
    <w:rsid w:val="003103FD"/>
    <w:rsid w:val="003108F5"/>
    <w:rsid w:val="003109B3"/>
    <w:rsid w:val="00312040"/>
    <w:rsid w:val="0031364F"/>
    <w:rsid w:val="00315FBA"/>
    <w:rsid w:val="003172D2"/>
    <w:rsid w:val="0031787A"/>
    <w:rsid w:val="00320991"/>
    <w:rsid w:val="00320D25"/>
    <w:rsid w:val="00321B47"/>
    <w:rsid w:val="00322D89"/>
    <w:rsid w:val="00323E9D"/>
    <w:rsid w:val="00330D1A"/>
    <w:rsid w:val="0033435B"/>
    <w:rsid w:val="00335809"/>
    <w:rsid w:val="00335E64"/>
    <w:rsid w:val="003365C1"/>
    <w:rsid w:val="00341E0F"/>
    <w:rsid w:val="00344BFD"/>
    <w:rsid w:val="00345701"/>
    <w:rsid w:val="003461B7"/>
    <w:rsid w:val="003524A6"/>
    <w:rsid w:val="00353BBB"/>
    <w:rsid w:val="003547C0"/>
    <w:rsid w:val="00355BCD"/>
    <w:rsid w:val="00355C68"/>
    <w:rsid w:val="003565B0"/>
    <w:rsid w:val="00356F63"/>
    <w:rsid w:val="0036083B"/>
    <w:rsid w:val="003702FC"/>
    <w:rsid w:val="00370C55"/>
    <w:rsid w:val="003727C6"/>
    <w:rsid w:val="003727D0"/>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B4FC1"/>
    <w:rsid w:val="003B54B6"/>
    <w:rsid w:val="003C0DA8"/>
    <w:rsid w:val="003C1A84"/>
    <w:rsid w:val="003C3BCB"/>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0D5"/>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0C9D"/>
    <w:rsid w:val="004D3D6E"/>
    <w:rsid w:val="004D5078"/>
    <w:rsid w:val="004D56AE"/>
    <w:rsid w:val="004D5DF5"/>
    <w:rsid w:val="004D7600"/>
    <w:rsid w:val="004D7995"/>
    <w:rsid w:val="004E3A1F"/>
    <w:rsid w:val="004E4524"/>
    <w:rsid w:val="004E593B"/>
    <w:rsid w:val="004F487D"/>
    <w:rsid w:val="004F4932"/>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1425"/>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5B7E"/>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357"/>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E71"/>
    <w:rsid w:val="006E1AA6"/>
    <w:rsid w:val="006E2B12"/>
    <w:rsid w:val="006E3512"/>
    <w:rsid w:val="006E3A2D"/>
    <w:rsid w:val="006E6FF6"/>
    <w:rsid w:val="006E7C63"/>
    <w:rsid w:val="006F6275"/>
    <w:rsid w:val="006F718D"/>
    <w:rsid w:val="006F7967"/>
    <w:rsid w:val="00702EE7"/>
    <w:rsid w:val="00702F7E"/>
    <w:rsid w:val="0070496E"/>
    <w:rsid w:val="00704CF0"/>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3778F"/>
    <w:rsid w:val="00741C47"/>
    <w:rsid w:val="00743987"/>
    <w:rsid w:val="00744227"/>
    <w:rsid w:val="00746949"/>
    <w:rsid w:val="00750425"/>
    <w:rsid w:val="00753FD1"/>
    <w:rsid w:val="00756604"/>
    <w:rsid w:val="00757D65"/>
    <w:rsid w:val="007606DC"/>
    <w:rsid w:val="00761A4B"/>
    <w:rsid w:val="00761B1C"/>
    <w:rsid w:val="00763BE2"/>
    <w:rsid w:val="007642D3"/>
    <w:rsid w:val="0076637A"/>
    <w:rsid w:val="007704B8"/>
    <w:rsid w:val="00770981"/>
    <w:rsid w:val="00771FF4"/>
    <w:rsid w:val="0077396F"/>
    <w:rsid w:val="007767A6"/>
    <w:rsid w:val="00780259"/>
    <w:rsid w:val="00780E00"/>
    <w:rsid w:val="007830DB"/>
    <w:rsid w:val="007838AF"/>
    <w:rsid w:val="007913F5"/>
    <w:rsid w:val="007931FE"/>
    <w:rsid w:val="00793760"/>
    <w:rsid w:val="00793BE0"/>
    <w:rsid w:val="007A0505"/>
    <w:rsid w:val="007A066B"/>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54CE"/>
    <w:rsid w:val="007C6452"/>
    <w:rsid w:val="007C7ADA"/>
    <w:rsid w:val="007D167B"/>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05A6"/>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20566"/>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57B4E"/>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3BB2"/>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31ED"/>
    <w:rsid w:val="00BD4684"/>
    <w:rsid w:val="00BD530F"/>
    <w:rsid w:val="00BD5C44"/>
    <w:rsid w:val="00BE00B4"/>
    <w:rsid w:val="00BE3D55"/>
    <w:rsid w:val="00BF4334"/>
    <w:rsid w:val="00BF76FE"/>
    <w:rsid w:val="00C01668"/>
    <w:rsid w:val="00C017E3"/>
    <w:rsid w:val="00C02937"/>
    <w:rsid w:val="00C03FBD"/>
    <w:rsid w:val="00C0430C"/>
    <w:rsid w:val="00C044AF"/>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4645"/>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A6668"/>
    <w:rsid w:val="00CB1EE3"/>
    <w:rsid w:val="00CB43FD"/>
    <w:rsid w:val="00CB5811"/>
    <w:rsid w:val="00CC0064"/>
    <w:rsid w:val="00CC2F28"/>
    <w:rsid w:val="00CC34A3"/>
    <w:rsid w:val="00CD120F"/>
    <w:rsid w:val="00CD15BB"/>
    <w:rsid w:val="00CD444B"/>
    <w:rsid w:val="00CD717E"/>
    <w:rsid w:val="00CE2600"/>
    <w:rsid w:val="00CE4C15"/>
    <w:rsid w:val="00CE7B18"/>
    <w:rsid w:val="00CF0ED3"/>
    <w:rsid w:val="00CF2FBA"/>
    <w:rsid w:val="00CF5F56"/>
    <w:rsid w:val="00CF6C30"/>
    <w:rsid w:val="00CF6CF7"/>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2CBF"/>
    <w:rsid w:val="00D63B9D"/>
    <w:rsid w:val="00D63E2C"/>
    <w:rsid w:val="00D65832"/>
    <w:rsid w:val="00D674DB"/>
    <w:rsid w:val="00D67A35"/>
    <w:rsid w:val="00D67BCF"/>
    <w:rsid w:val="00D705B9"/>
    <w:rsid w:val="00D765E3"/>
    <w:rsid w:val="00D77C17"/>
    <w:rsid w:val="00D77E74"/>
    <w:rsid w:val="00D80906"/>
    <w:rsid w:val="00D828E5"/>
    <w:rsid w:val="00D85F45"/>
    <w:rsid w:val="00D8735A"/>
    <w:rsid w:val="00D87450"/>
    <w:rsid w:val="00D9174B"/>
    <w:rsid w:val="00D929EC"/>
    <w:rsid w:val="00D9689F"/>
    <w:rsid w:val="00DA10CC"/>
    <w:rsid w:val="00DA41C9"/>
    <w:rsid w:val="00DA48B1"/>
    <w:rsid w:val="00DA499F"/>
    <w:rsid w:val="00DA5177"/>
    <w:rsid w:val="00DB0959"/>
    <w:rsid w:val="00DB3A07"/>
    <w:rsid w:val="00DB71E4"/>
    <w:rsid w:val="00DB7F1B"/>
    <w:rsid w:val="00DC6C94"/>
    <w:rsid w:val="00DD2341"/>
    <w:rsid w:val="00DD3DED"/>
    <w:rsid w:val="00DD73FD"/>
    <w:rsid w:val="00DD7808"/>
    <w:rsid w:val="00DE0B43"/>
    <w:rsid w:val="00DE2CC1"/>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6FA"/>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721"/>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741906"/>
  <w15:docId w15:val="{E0DC7CD5-FF9A-40E8-9F1F-A9D4CA8F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C01668"/>
    <w:pPr>
      <w:spacing w:before="240" w:after="120" w:line="240" w:lineRule="atLeast"/>
    </w:pPr>
    <w:rPr>
      <w:sz w:val="20"/>
    </w:rPr>
  </w:style>
  <w:style w:type="paragraph" w:styleId="Heading1">
    <w:name w:val="heading 1"/>
    <w:next w:val="BodyText"/>
    <w:link w:val="Heading1Char"/>
    <w:uiPriority w:val="5"/>
    <w:qFormat/>
    <w:rsid w:val="007157A0"/>
    <w:pPr>
      <w:keepNext/>
      <w:keepLines/>
      <w:numPr>
        <w:numId w:val="46"/>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C46BED"/>
    <w:pPr>
      <w:numPr>
        <w:ilvl w:val="1"/>
      </w:numPr>
      <w:spacing w:before="360" w:after="240"/>
      <w:outlineLvl w:val="1"/>
    </w:pPr>
    <w:rPr>
      <w:b/>
      <w:bCs w:val="0"/>
      <w:color w:val="250E62" w:themeColor="accent1"/>
      <w:sz w:val="48"/>
      <w:szCs w:val="32"/>
    </w:rPr>
  </w:style>
  <w:style w:type="paragraph" w:styleId="Heading3">
    <w:name w:val="heading 3"/>
    <w:basedOn w:val="Heading2"/>
    <w:next w:val="BodyText"/>
    <w:link w:val="Heading3Char"/>
    <w:uiPriority w:val="5"/>
    <w:qFormat/>
    <w:rsid w:val="00744227"/>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7157A0"/>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617423"/>
    <w:pPr>
      <w:keepLines/>
      <w:tabs>
        <w:tab w:val="left" w:pos="1418"/>
        <w:tab w:val="right" w:leader="dot" w:pos="9072"/>
      </w:tabs>
      <w:spacing w:after="80" w:line="260" w:lineRule="atLeast"/>
      <w:ind w:left="1418" w:hanging="1418"/>
    </w:pPr>
    <w:rPr>
      <w:noProof/>
      <w:color w:val="009A44" w:themeColor="accent2"/>
      <w:sz w:val="22"/>
    </w:rPr>
  </w:style>
  <w:style w:type="paragraph" w:styleId="TOC2">
    <w:name w:val="toc 2"/>
    <w:basedOn w:val="TOC1"/>
    <w:next w:val="BodyText"/>
    <w:uiPriority w:val="39"/>
    <w:rsid w:val="00C55312"/>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C55312"/>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EC3F5C"/>
    <w:pPr>
      <w:spacing w:after="240"/>
      <w:ind w:left="0" w:firstLine="0"/>
    </w:pPr>
  </w:style>
  <w:style w:type="paragraph" w:styleId="TOC5">
    <w:name w:val="toc 5"/>
    <w:basedOn w:val="TOC2"/>
    <w:next w:val="BodyText"/>
    <w:uiPriority w:val="99"/>
    <w:rsid w:val="00356F63"/>
  </w:style>
  <w:style w:type="paragraph" w:styleId="TOC6">
    <w:name w:val="toc 6"/>
    <w:basedOn w:val="TOC3"/>
    <w:next w:val="BodyText"/>
    <w:uiPriority w:val="99"/>
    <w:rsid w:val="00356F63"/>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C02937"/>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8C22EF"/>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250E62" w:themeColor="accent1"/>
      <w:sz w:val="24"/>
    </w:rPr>
  </w:style>
  <w:style w:type="paragraph" w:styleId="TOC9">
    <w:name w:val="toc 9"/>
    <w:basedOn w:val="TOC8"/>
    <w:next w:val="BodyText"/>
    <w:uiPriority w:val="39"/>
    <w:rsid w:val="00C02937"/>
    <w:pPr>
      <w:tabs>
        <w:tab w:val="clear" w:pos="851"/>
        <w:tab w:val="left" w:pos="1531"/>
      </w:tabs>
      <w:ind w:left="1531" w:hanging="680"/>
    </w:pPr>
  </w:style>
  <w:style w:type="paragraph" w:styleId="TOCHeading">
    <w:name w:val="TOC Heading"/>
    <w:basedOn w:val="Heading1"/>
    <w:next w:val="BodyText"/>
    <w:uiPriority w:val="99"/>
    <w:qFormat/>
    <w:rsid w:val="005C4602"/>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7C7ADA"/>
    <w:rPr>
      <w:color w:val="009A44" w:themeColor="accent2"/>
      <w:sz w:val="24"/>
      <w:szCs w:val="18"/>
    </w:rPr>
  </w:style>
  <w:style w:type="character" w:styleId="Hyperlink">
    <w:name w:val="Hyperlink"/>
    <w:basedOn w:val="DefaultParagraphFont"/>
    <w:uiPriority w:val="99"/>
    <w:qFormat/>
    <w:rsid w:val="005C4602"/>
    <w:rPr>
      <w:color w:val="250E62" w:themeColor="accent1"/>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
    <w:qFormat/>
    <w:rsid w:val="00320D25"/>
    <w:pPr>
      <w:numPr>
        <w:ilvl w:val="3"/>
      </w:numPr>
    </w:pPr>
  </w:style>
  <w:style w:type="paragraph" w:customStyle="1" w:styleId="BodyNumbering2">
    <w:name w:val="Body Numbering 2"/>
    <w:basedOn w:val="BodyNumbering1"/>
    <w:uiPriority w:val="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E609D9"/>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shd w:val="clear" w:color="auto" w:fill="F2FF90" w:themeFill="accent3" w:themeFillTint="66"/>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TableStyle">
    <w:name w:val="Row Table Style"/>
    <w:basedOn w:val="TableNormal"/>
    <w:uiPriority w:val="99"/>
    <w:rsid w:val="00E609D9"/>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F2FF90" w:themeFill="accent3" w:themeFillTint="66"/>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9B2312"/>
    <w:rPr>
      <w:color w:val="250E62" w:themeColor="accent1"/>
    </w:rPr>
  </w:style>
  <w:style w:type="character" w:customStyle="1" w:styleId="CharacterStyle-BrightColour">
    <w:name w:val="Character Style - Bright Colour"/>
    <w:uiPriority w:val="5"/>
    <w:qFormat/>
    <w:rsid w:val="004F487D"/>
    <w:rPr>
      <w:color w:val="009A44"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14"/>
    <w:qFormat/>
    <w:rsid w:val="00FB0BE2"/>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FB0BE2"/>
    <w:rPr>
      <w:i/>
      <w:iCs/>
      <w:color w:val="250E62"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5C4602"/>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617357"/>
    <w:pPr>
      <w:spacing w:after="0" w:line="264" w:lineRule="auto"/>
    </w:pPr>
    <w:rPr>
      <w:rFonts w:ascii="Nunito SemiBold" w:hAnsi="Nunito SemiBold"/>
      <w:color w:val="009A44"/>
      <w:sz w:val="80"/>
    </w:rPr>
  </w:style>
  <w:style w:type="paragraph" w:customStyle="1" w:styleId="CoverTitle">
    <w:name w:val="Cover Title"/>
    <w:basedOn w:val="CoverChapter"/>
    <w:uiPriority w:val="9"/>
    <w:qFormat/>
    <w:rsid w:val="007157A0"/>
    <w:pPr>
      <w:spacing w:before="0" w:line="880" w:lineRule="atLeast"/>
    </w:pPr>
    <w:rPr>
      <w:color w:val="250E62" w:themeColor="accent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5C4602"/>
    <w:rPr>
      <w:color w:val="FFFFFF" w:themeColor="background1"/>
    </w:rPr>
  </w:style>
  <w:style w:type="character" w:customStyle="1" w:styleId="CalloutTextWhite">
    <w:name w:val="Callout Text White"/>
    <w:basedOn w:val="DefaultParagraphFont"/>
    <w:uiPriority w:val="1"/>
    <w:qFormat/>
    <w:rsid w:val="005C460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0085CA" w:themeColor="accent4"/>
    </w:rPr>
  </w:style>
  <w:style w:type="character" w:customStyle="1" w:styleId="TextGreen">
    <w:name w:val="_Text Green"/>
    <w:uiPriority w:val="8"/>
    <w:qFormat/>
    <w:rsid w:val="002D23B2"/>
    <w:rPr>
      <w:color w:val="9BAE00" w:themeColor="accent3" w:themeShade="BF"/>
    </w:rPr>
  </w:style>
  <w:style w:type="character" w:customStyle="1" w:styleId="TextRed">
    <w:name w:val="_Text Red"/>
    <w:basedOn w:val="DefaultParagraphFont"/>
    <w:uiPriority w:val="8"/>
    <w:qFormat/>
    <w:rsid w:val="002C6E43"/>
    <w:rPr>
      <w:color w:val="CE0058" w:themeColor="accent6"/>
    </w:rPr>
  </w:style>
  <w:style w:type="paragraph" w:customStyle="1" w:styleId="CaptionObject">
    <w:name w:val="Caption Object"/>
    <w:basedOn w:val="BodyText"/>
    <w:next w:val="BodyText"/>
    <w:uiPriority w:val="6"/>
    <w:qFormat/>
    <w:rsid w:val="00B463E0"/>
    <w:pPr>
      <w:spacing w:before="120"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eb1.economicdevelopment.vic.gov.au/ecodev/about-us/overview/policy-framework/environmental-policy" TargetMode="Externa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ourier New"/>
    <w:panose1 w:val="00000500000000000000"/>
    <w:charset w:val="00"/>
    <w:family w:val="auto"/>
    <w:pitch w:val="variable"/>
    <w:sig w:usb0="20000007" w:usb1="00000001" w:usb2="00000000" w:usb3="00000000" w:csb0="00000193" w:csb1="00000000"/>
  </w:font>
  <w:font w:name="Nunito SemiBold">
    <w:altName w:val="Calibri"/>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131DA3"/>
    <w:rsid w:val="003942D4"/>
    <w:rsid w:val="003A330D"/>
    <w:rsid w:val="00546EF2"/>
    <w:rsid w:val="008E42B0"/>
    <w:rsid w:val="00B87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30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Environmental Record of person(s) proposing to take the action</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B302C242-1904-46BF-BB40-270F906F8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7</cp:revision>
  <cp:lastPrinted>2019-09-07T17:54:00Z</cp:lastPrinted>
  <dcterms:created xsi:type="dcterms:W3CDTF">2019-09-07T17:52:00Z</dcterms:created>
  <dcterms:modified xsi:type="dcterms:W3CDTF">2019-09-12T03:42:00Z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2019-09-12T03:42:31Z</vt:filetime>
  </property>
</Properties>
</file>