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019042" w14:textId="46EE0EC6" w:rsidR="006A7B89" w:rsidRPr="004026FB" w:rsidRDefault="00656541" w:rsidP="006A7B89">
      <w:pPr>
        <w:pStyle w:val="CoverChapter"/>
      </w:pPr>
      <w:r w:rsidRPr="004026FB">
        <w:fldChar w:fldCharType="begin"/>
      </w:r>
      <w:r w:rsidRPr="004026FB">
        <w:instrText xml:space="preserve"> STYLEREF  "Heading 1" \n  \* MERGEFORMAT </w:instrText>
      </w:r>
      <w:r w:rsidRPr="004026FB">
        <w:fldChar w:fldCharType="separate"/>
      </w:r>
      <w:r w:rsidR="007530D3">
        <w:rPr>
          <w:noProof/>
        </w:rPr>
        <w:t>Chapter 8</w:t>
      </w:r>
      <w:r w:rsidRPr="004026FB">
        <w:fldChar w:fldCharType="end"/>
      </w:r>
    </w:p>
    <w:p w14:paraId="538F95D8" w14:textId="702F5618" w:rsidR="00F955BB" w:rsidRPr="004026FB" w:rsidRDefault="00FE5EAB" w:rsidP="00F2597D">
      <w:pPr>
        <w:pStyle w:val="CoverTitle"/>
        <w:rPr>
          <w:rStyle w:val="CharacterStyle-BaseColour"/>
        </w:rPr>
      </w:pPr>
      <w:sdt>
        <w:sdtPr>
          <w:alias w:val="Chapter Title"/>
          <w:tag w:val="Chapter Title"/>
          <w:id w:val="1462999432"/>
          <w:placeholder>
            <w:docPart w:val="003CC9C046DB473F94B2523E6831DED4"/>
          </w:placeholder>
          <w:dataBinding w:prefixMappings="xmlns:ns0='http://schemas.openxmlformats.org/officeDocument/2006/NEL' " w:xpath="/ns0:ccMap[1]/ns0:CCMapElement_1103461063[1]" w:storeItemID="{20C6AF31-F77A-4484-A6C5-171AD89E9166}"/>
          <w:text/>
        </w:sdtPr>
        <w:sdtEndPr/>
        <w:sdtContent>
          <w:r w:rsidR="00F351F8" w:rsidRPr="004026FB">
            <w:t>Water related impacts</w:t>
          </w:r>
        </w:sdtContent>
      </w:sdt>
    </w:p>
    <w:p w14:paraId="79AF9091" w14:textId="4E213514" w:rsidR="00F955BB" w:rsidRPr="004026FB" w:rsidRDefault="00DE7618" w:rsidP="00F955BB">
      <w:pPr>
        <w:pStyle w:val="BodyTextSingleSpacing"/>
        <w:rPr>
          <w:rStyle w:val="CharacterStyle-BaseColour"/>
        </w:rPr>
      </w:pPr>
      <w:r w:rsidRPr="004026FB">
        <w:rPr>
          <w:rStyle w:val="CharacterStyle-BaseColour"/>
        </w:rPr>
        <w:t>September</w:t>
      </w:r>
      <w:r w:rsidR="00B27BAE" w:rsidRPr="004026FB">
        <w:rPr>
          <w:rStyle w:val="CharacterStyle-BaseColour"/>
        </w:rPr>
        <w:t xml:space="preserve"> </w:t>
      </w:r>
      <w:r w:rsidR="00F955BB" w:rsidRPr="004026FB">
        <w:rPr>
          <w:rStyle w:val="CharacterStyle-BaseColour"/>
        </w:rPr>
        <w:t>2019</w:t>
      </w:r>
    </w:p>
    <w:p w14:paraId="536B0CEB" w14:textId="77777777" w:rsidR="00F955BB" w:rsidRPr="004026FB" w:rsidRDefault="00F955BB" w:rsidP="00C46BED">
      <w:pPr>
        <w:pStyle w:val="CoverTitle"/>
        <w:sectPr w:rsidR="00F955BB" w:rsidRPr="004026FB"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bookmarkStart w:id="1" w:name="_GoBack"/>
    <w:bookmarkEnd w:id="1"/>
    <w:p w14:paraId="35BB3D1C" w14:textId="090D3D9A" w:rsidR="00F1004A" w:rsidRPr="004026FB" w:rsidRDefault="00F1004A" w:rsidP="00F1004A">
      <w:pPr>
        <w:pStyle w:val="Chapternumber"/>
      </w:pPr>
      <w:r w:rsidRPr="004026FB">
        <w:lastRenderedPageBreak/>
        <w:fldChar w:fldCharType="begin"/>
      </w:r>
      <w:r w:rsidRPr="004026FB">
        <w:instrText xml:space="preserve"> STYLEREF  "Heading 1" \n  \* MERGEFORMAT </w:instrText>
      </w:r>
      <w:r w:rsidRPr="004026FB">
        <w:fldChar w:fldCharType="separate"/>
      </w:r>
      <w:r w:rsidR="007530D3">
        <w:rPr>
          <w:noProof/>
        </w:rPr>
        <w:t>Chapter 8</w:t>
      </w:r>
      <w:r w:rsidRPr="004026FB">
        <w:fldChar w:fldCharType="end"/>
      </w:r>
    </w:p>
    <w:bookmarkStart w:id="2" w:name="_Toc19489061" w:displacedByCustomXml="next"/>
    <w:sdt>
      <w:sdtPr>
        <w:alias w:val="Chapter Title"/>
        <w:tag w:val="Chapter Title"/>
        <w:id w:val="1103461063"/>
        <w:placeholder>
          <w:docPart w:val="513EF62B01EA4DA6ADF6D20443060435"/>
        </w:placeholder>
        <w:dataBinding w:prefixMappings="xmlns:ns0='http://schemas.openxmlformats.org/officeDocument/2006/NEL' " w:xpath="/ns0:ccMap[1]/ns0:CCMapElement_1103461063[1]" w:storeItemID="{20C6AF31-F77A-4484-A6C5-171AD89E9166}"/>
        <w:text/>
      </w:sdtPr>
      <w:sdtEndPr/>
      <w:sdtContent>
        <w:p w14:paraId="6B2424F9" w14:textId="1F2A2EE9" w:rsidR="00A63B36" w:rsidRPr="004026FB" w:rsidRDefault="00F351F8" w:rsidP="00C52A70">
          <w:pPr>
            <w:pStyle w:val="Heading1"/>
          </w:pPr>
          <w:r w:rsidRPr="004026FB">
            <w:t>Water related impacts</w:t>
          </w:r>
        </w:p>
      </w:sdtContent>
    </w:sdt>
    <w:bookmarkEnd w:id="2" w:displacedByCustomXml="prev"/>
    <w:bookmarkEnd w:id="0" w:displacedByCustomXml="prev"/>
    <w:p w14:paraId="511F0BA1" w14:textId="77777777" w:rsidR="00FF4A5B" w:rsidRPr="004026FB" w:rsidRDefault="00FF4A5B" w:rsidP="00FF4A5B">
      <w:pPr>
        <w:pStyle w:val="Heading2"/>
      </w:pPr>
      <w:bookmarkStart w:id="3" w:name="_Toc3641360"/>
      <w:bookmarkStart w:id="4" w:name="_Toc19489062"/>
      <w:r w:rsidRPr="004026FB">
        <w:t>Overview</w:t>
      </w:r>
      <w:bookmarkEnd w:id="3"/>
      <w:bookmarkEnd w:id="4"/>
    </w:p>
    <w:p w14:paraId="2F0E01B8" w14:textId="77777777" w:rsidR="00FF4A5B" w:rsidRPr="004026FB" w:rsidRDefault="00FF4A5B" w:rsidP="00FF4A5B">
      <w:pPr>
        <w:pStyle w:val="Heading3"/>
      </w:pPr>
      <w:bookmarkStart w:id="5" w:name="_Toc3641361"/>
      <w:bookmarkStart w:id="6" w:name="_Toc19489063"/>
      <w:r w:rsidRPr="004026FB">
        <w:t>Groundwater</w:t>
      </w:r>
      <w:bookmarkEnd w:id="5"/>
      <w:bookmarkEnd w:id="6"/>
    </w:p>
    <w:p w14:paraId="4764CEB4" w14:textId="77777777" w:rsidR="00FF4A5B" w:rsidRPr="004026FB" w:rsidRDefault="00FF4A5B" w:rsidP="00FF4A5B">
      <w:pPr>
        <w:pStyle w:val="BodyText"/>
      </w:pPr>
      <w:r w:rsidRPr="004026FB">
        <w:t>Groundwater is located beneath the earth’s surface and forms an integral part of the water cycle. Groundwater is stored and transmitted through the tiny pore spaces between soil and rock particles, or cracks, fractures, and crevices with the rock itself. Groundwater is sourced from water that originates above the ground; either from rainfall that has infiltrated into soils or rocks; or from surface water from rivers, streams and other waterways that has seeped into the subsurface. In some cases, groundwater is also required to maintain surface water flows in waterways.</w:t>
      </w:r>
    </w:p>
    <w:p w14:paraId="015AA796" w14:textId="77777777" w:rsidR="00FF4A5B" w:rsidRPr="004026FB" w:rsidRDefault="00FF4A5B" w:rsidP="00FF4A5B">
      <w:pPr>
        <w:pStyle w:val="BodyText"/>
      </w:pPr>
      <w:r w:rsidRPr="004026FB">
        <w:t>Groundwater can have many and varied uses that may benefit people and the environment – these are generally referred to as ‘beneficial uses’. The main beneficial uses relevant to North East Link are:</w:t>
      </w:r>
    </w:p>
    <w:p w14:paraId="0DDBD0F4" w14:textId="77777777" w:rsidR="00FF4A5B" w:rsidRPr="004026FB" w:rsidRDefault="00FF4A5B" w:rsidP="00FF4A5B">
      <w:pPr>
        <w:pStyle w:val="BodyBullet1"/>
      </w:pPr>
      <w:r w:rsidRPr="004026FB">
        <w:t>Groundwater users – groundwater extraction for industrial, commercial, municipal supply or stock and domestic purposes</w:t>
      </w:r>
    </w:p>
    <w:p w14:paraId="44EBE19B" w14:textId="77777777" w:rsidR="00FF4A5B" w:rsidRPr="004026FB" w:rsidRDefault="00FF4A5B" w:rsidP="00FF4A5B">
      <w:pPr>
        <w:pStyle w:val="BodyBullet1"/>
      </w:pPr>
      <w:r w:rsidRPr="004026FB">
        <w:t>Groundwater dependent ecosystems (GDEs) – ecosystems that have their species composition and natural ecological processes influenced by groundwater. They require access to groundwater to meet some or all of their water requirements.</w:t>
      </w:r>
    </w:p>
    <w:p w14:paraId="283AC8CB" w14:textId="78BB43F9" w:rsidR="00FF4A5B" w:rsidRPr="004026FB" w:rsidRDefault="00FF4A5B" w:rsidP="00FF4A5B">
      <w:pPr>
        <w:pStyle w:val="BodyText"/>
      </w:pPr>
      <w:r w:rsidRPr="004026FB">
        <w:t xml:space="preserve">PER Technical Appendix B – Groundwater technical report describes the groundwater resources that may support matters of national environmental significance (MNES) and provides an assessment of potential groundwater-related impacts. Potential impacts on groundwater dependent ecosystems are assessed in PER Technical Appendix A – Flora and fauna technical report. Sections </w:t>
      </w:r>
      <w:r w:rsidR="00FE5EAB">
        <w:fldChar w:fldCharType="begin"/>
      </w:r>
      <w:r w:rsidR="00FE5EAB">
        <w:instrText xml:space="preserve"> REF _Ref53522739</w:instrText>
      </w:r>
      <w:r w:rsidR="00FE5EAB">
        <w:instrText xml:space="preserve">3 \r  \* MERGEFORMAT </w:instrText>
      </w:r>
      <w:r w:rsidR="00FE5EAB">
        <w:fldChar w:fldCharType="separate"/>
      </w:r>
      <w:r w:rsidR="007530D3">
        <w:t>8.2</w:t>
      </w:r>
      <w:r w:rsidR="00FE5EAB">
        <w:fldChar w:fldCharType="end"/>
      </w:r>
      <w:r w:rsidRPr="004026FB">
        <w:t xml:space="preserve"> and </w:t>
      </w:r>
      <w:r w:rsidR="00FE5EAB">
        <w:fldChar w:fldCharType="begin"/>
      </w:r>
      <w:r w:rsidR="00FE5EAB">
        <w:instrText xml:space="preserve"> REF _Ref535227395 \r  \* MERGEFORMAT </w:instrText>
      </w:r>
      <w:r w:rsidR="00FE5EAB">
        <w:fldChar w:fldCharType="separate"/>
      </w:r>
      <w:r w:rsidR="007530D3">
        <w:t>8.3</w:t>
      </w:r>
      <w:r w:rsidR="00FE5EAB">
        <w:fldChar w:fldCharType="end"/>
      </w:r>
      <w:r w:rsidRPr="004026FB">
        <w:t xml:space="preserve"> of this chapter summarise the relevant sections of PER Technical Appendices A and B, addressing the items in Section 2.5.2.1 of the PER Guidelines. </w:t>
      </w:r>
    </w:p>
    <w:p w14:paraId="7235EEDB" w14:textId="77777777" w:rsidR="00FF4A5B" w:rsidRPr="004026FB" w:rsidRDefault="00FF4A5B" w:rsidP="00FF4A5B">
      <w:pPr>
        <w:pStyle w:val="Heading3"/>
      </w:pPr>
      <w:bookmarkStart w:id="7" w:name="_Toc3641362"/>
      <w:bookmarkStart w:id="8" w:name="_Toc19489064"/>
      <w:r w:rsidRPr="004026FB">
        <w:lastRenderedPageBreak/>
        <w:t>Surface water</w:t>
      </w:r>
      <w:bookmarkEnd w:id="7"/>
      <w:bookmarkEnd w:id="8"/>
    </w:p>
    <w:p w14:paraId="1A1942F8" w14:textId="77777777" w:rsidR="00FF4A5B" w:rsidRPr="004026FB" w:rsidRDefault="00FF4A5B" w:rsidP="00D518CD">
      <w:pPr>
        <w:pStyle w:val="BodyText"/>
        <w:keepNext/>
      </w:pPr>
      <w:r w:rsidRPr="004026FB">
        <w:t>Surface water quality and hydrology are important to the health and sustainability of Melbourne’s urban creeks, river systems and floodplains. Changes to surface water also have potential to affect the habitat of listed threatened species and communities, and listed migratory species.</w:t>
      </w:r>
    </w:p>
    <w:p w14:paraId="562ADDDD" w14:textId="0D8B3800" w:rsidR="00FF4A5B" w:rsidRPr="004026FB" w:rsidRDefault="00FF4A5B" w:rsidP="00FF4A5B">
      <w:pPr>
        <w:pStyle w:val="BodyText"/>
      </w:pPr>
      <w:r w:rsidRPr="004026FB">
        <w:t>PER Technical Appendix C – Surface water technical report describes the surface water resources that may support MNES and provides an assessment of potential surface water</w:t>
      </w:r>
      <w:r w:rsidRPr="004026FB">
        <w:noBreakHyphen/>
        <w:t xml:space="preserve">related impacts. Sections </w:t>
      </w:r>
      <w:r w:rsidR="00FE5EAB">
        <w:fldChar w:fldCharType="begin"/>
      </w:r>
      <w:r w:rsidR="00FE5EAB">
        <w:instrText xml:space="preserve"> REF _Ref535250294 \r  \* MERGEFORMAT </w:instrText>
      </w:r>
      <w:r w:rsidR="00FE5EAB">
        <w:fldChar w:fldCharType="separate"/>
      </w:r>
      <w:r w:rsidR="007530D3">
        <w:t>8.4</w:t>
      </w:r>
      <w:r w:rsidR="00FE5EAB">
        <w:fldChar w:fldCharType="end"/>
      </w:r>
      <w:r w:rsidRPr="004026FB">
        <w:t xml:space="preserve"> and </w:t>
      </w:r>
      <w:r w:rsidR="00FE5EAB">
        <w:fldChar w:fldCharType="begin"/>
      </w:r>
      <w:r w:rsidR="00FE5EAB">
        <w:instrText xml:space="preserve"> REF _Ref535227426 \r  \* MERGEFORMAT </w:instrText>
      </w:r>
      <w:r w:rsidR="00FE5EAB">
        <w:fldChar w:fldCharType="separate"/>
      </w:r>
      <w:r w:rsidR="007530D3">
        <w:t>8.5</w:t>
      </w:r>
      <w:r w:rsidR="00FE5EAB">
        <w:fldChar w:fldCharType="end"/>
      </w:r>
      <w:r w:rsidRPr="004026FB">
        <w:t xml:space="preserve"> of this chapter summarise the relevant sections of PER Technical Appendix C, addressing the items in Section 2.5.2.2 of the PER Guidelines.</w:t>
      </w:r>
    </w:p>
    <w:p w14:paraId="458E42D9" w14:textId="77777777" w:rsidR="00FF4A5B" w:rsidRPr="004026FB" w:rsidRDefault="00FF4A5B" w:rsidP="00FF4A5B">
      <w:pPr>
        <w:pStyle w:val="BodyText"/>
      </w:pPr>
      <w:r w:rsidRPr="004026FB">
        <w:t>The surface water assessment focuses on the key waterways that may impact listed threatened species and ecological communities, and migratory species (or their habitat) that depend on these water resources. These waterways are:</w:t>
      </w:r>
    </w:p>
    <w:p w14:paraId="7DA75752" w14:textId="77777777" w:rsidR="00FF4A5B" w:rsidRPr="004026FB" w:rsidRDefault="00FF4A5B" w:rsidP="00FF4A5B">
      <w:pPr>
        <w:pStyle w:val="BodyBullet1"/>
      </w:pPr>
      <w:r w:rsidRPr="004026FB">
        <w:t>Banyule Creek</w:t>
      </w:r>
    </w:p>
    <w:p w14:paraId="17CDD27D" w14:textId="77777777" w:rsidR="00FF4A5B" w:rsidRPr="004026FB" w:rsidRDefault="00FF4A5B" w:rsidP="00FF4A5B">
      <w:pPr>
        <w:pStyle w:val="BodyBullet1"/>
      </w:pPr>
      <w:r w:rsidRPr="004026FB">
        <w:t>Yarra River</w:t>
      </w:r>
    </w:p>
    <w:p w14:paraId="4E10B5E3" w14:textId="77777777" w:rsidR="00FF4A5B" w:rsidRPr="004026FB" w:rsidRDefault="00FF4A5B" w:rsidP="00FF4A5B">
      <w:pPr>
        <w:pStyle w:val="BodyBullet1"/>
      </w:pPr>
      <w:proofErr w:type="spellStart"/>
      <w:r w:rsidRPr="004026FB">
        <w:t>Koonung</w:t>
      </w:r>
      <w:proofErr w:type="spellEnd"/>
      <w:r w:rsidRPr="004026FB">
        <w:t xml:space="preserve"> Creek.</w:t>
      </w:r>
    </w:p>
    <w:p w14:paraId="721EB34F" w14:textId="77777777" w:rsidR="00FF4A5B" w:rsidRPr="004026FB" w:rsidRDefault="00FF4A5B" w:rsidP="00FF4A5B">
      <w:pPr>
        <w:pStyle w:val="BodyText"/>
      </w:pPr>
      <w:r w:rsidRPr="004026FB">
        <w:t xml:space="preserve">Other waterways in the project boundary include three stormwater drainage systems located north of Watsonia which drain to the Plenty River (which itself ultimately joins the Yarra River upstream of the project boundary). While North East Link has the potential to impact surface water in the vicinity of these drainage systems, it is unlikely that any local surface water impacts would have a measurable effect on matters of national environmental significance (MNES). Therefore, these drainage systems are not discussed further in this chapter. Further detail on these drains is provided in PER Technical Appendix C – Surface water technical report. </w:t>
      </w:r>
    </w:p>
    <w:p w14:paraId="1ED1C27B" w14:textId="6BBC04DB" w:rsidR="00FF4A5B" w:rsidRPr="004026FB" w:rsidRDefault="00FF4A5B" w:rsidP="00D518CD">
      <w:pPr>
        <w:pStyle w:val="Heading2"/>
        <w:spacing w:before="0"/>
      </w:pPr>
      <w:bookmarkStart w:id="9" w:name="_Toc532392008"/>
      <w:bookmarkStart w:id="10" w:name="_Ref534201245"/>
      <w:bookmarkStart w:id="11" w:name="_Ref534202036"/>
      <w:bookmarkStart w:id="12" w:name="_Ref534202418"/>
      <w:bookmarkStart w:id="13" w:name="_Ref535227393"/>
      <w:bookmarkStart w:id="14" w:name="_Ref3046723"/>
      <w:bookmarkStart w:id="15" w:name="_Toc3641363"/>
      <w:bookmarkStart w:id="16" w:name="_Toc19489065"/>
      <w:r w:rsidRPr="004026FB">
        <w:t>Groundwater – description</w:t>
      </w:r>
      <w:r w:rsidR="00237873" w:rsidRPr="004026FB">
        <w:t> </w:t>
      </w:r>
      <w:r w:rsidRPr="004026FB">
        <w:t>of</w:t>
      </w:r>
      <w:r w:rsidR="00B21569" w:rsidRPr="004026FB">
        <w:t> </w:t>
      </w:r>
      <w:r w:rsidRPr="004026FB">
        <w:t>the</w:t>
      </w:r>
      <w:r w:rsidR="00B21569" w:rsidRPr="004026FB">
        <w:t> </w:t>
      </w:r>
      <w:r w:rsidRPr="004026FB">
        <w:t>environment</w:t>
      </w:r>
      <w:bookmarkEnd w:id="9"/>
      <w:bookmarkEnd w:id="10"/>
      <w:bookmarkEnd w:id="11"/>
      <w:bookmarkEnd w:id="12"/>
      <w:bookmarkEnd w:id="13"/>
      <w:bookmarkEnd w:id="14"/>
      <w:bookmarkEnd w:id="15"/>
      <w:bookmarkEnd w:id="16"/>
      <w:r w:rsidRPr="004026FB">
        <w:t xml:space="preserve"> </w:t>
      </w:r>
    </w:p>
    <w:p w14:paraId="701EA7FF" w14:textId="6FC22CA2" w:rsidR="00FF4A5B" w:rsidRPr="004026FB" w:rsidRDefault="00FF4A5B" w:rsidP="00B21569">
      <w:pPr>
        <w:pStyle w:val="BodyText"/>
        <w:keepNext/>
      </w:pPr>
      <w:r w:rsidRPr="004026FB">
        <w:t xml:space="preserve">A description of the existing groundwater environment is provided in Chapter 5 – Description of the environment. This section provides an overview of key aspects of the groundwater environment as relevant to the items in Section 2.5.2.1 of the PER Guidelines. </w:t>
      </w:r>
    </w:p>
    <w:p w14:paraId="51794DD7" w14:textId="17FC8174" w:rsidR="00870635" w:rsidRPr="004026FB" w:rsidRDefault="0082264F" w:rsidP="00B21569">
      <w:pPr>
        <w:pStyle w:val="BodyText"/>
        <w:keepNext/>
      </w:pPr>
      <w:r w:rsidRPr="004026FB">
        <w:t>Since numerical groundwater modelling was undertaken for the preparation of the draft PER, further numerical groundwater modelling has been undertaken. The purpose of the further modelling was to incorporate additional groundwater data collected over a period of approximately 12 months. This</w:t>
      </w:r>
      <w:r w:rsidR="0024444C" w:rsidRPr="004026FB">
        <w:t xml:space="preserve"> enable</w:t>
      </w:r>
      <w:r w:rsidRPr="004026FB">
        <w:t>d</w:t>
      </w:r>
      <w:r w:rsidR="00870635" w:rsidRPr="004026FB">
        <w:t>:</w:t>
      </w:r>
      <w:r w:rsidR="0024444C" w:rsidRPr="004026FB">
        <w:t xml:space="preserve"> </w:t>
      </w:r>
    </w:p>
    <w:p w14:paraId="0D0EB10F" w14:textId="6D2CB7DE" w:rsidR="00870635" w:rsidRPr="004026FB" w:rsidRDefault="00870635" w:rsidP="00870635">
      <w:pPr>
        <w:pStyle w:val="BodyBullet1"/>
      </w:pPr>
      <w:r w:rsidRPr="004026FB">
        <w:t>F</w:t>
      </w:r>
      <w:r w:rsidR="00317037" w:rsidRPr="004026FB">
        <w:t>urther refinement of model hydraulic parameters</w:t>
      </w:r>
    </w:p>
    <w:p w14:paraId="76B0F998" w14:textId="1B9313CE" w:rsidR="00870635" w:rsidRPr="004026FB" w:rsidRDefault="00870635" w:rsidP="00870635">
      <w:pPr>
        <w:pStyle w:val="BodyBullet1"/>
      </w:pPr>
      <w:r w:rsidRPr="004026FB">
        <w:t>R</w:t>
      </w:r>
      <w:r w:rsidR="00317037" w:rsidRPr="004026FB">
        <w:t>efinement of conceptualisations</w:t>
      </w:r>
    </w:p>
    <w:p w14:paraId="73B91DCC" w14:textId="424F8EB3" w:rsidR="00870635" w:rsidRPr="004026FB" w:rsidRDefault="00870635" w:rsidP="00053E1F">
      <w:pPr>
        <w:pStyle w:val="BodyBullet1"/>
        <w:keepNext/>
      </w:pPr>
      <w:r w:rsidRPr="004026FB">
        <w:lastRenderedPageBreak/>
        <w:t>T</w:t>
      </w:r>
      <w:r w:rsidR="0024444C" w:rsidRPr="004026FB">
        <w:t xml:space="preserve">ransient calibration to seasonal variations in groundwater levels </w:t>
      </w:r>
    </w:p>
    <w:p w14:paraId="22482E3B" w14:textId="01223BC1" w:rsidR="00870635" w:rsidRPr="004026FB" w:rsidRDefault="00870635" w:rsidP="00870635">
      <w:pPr>
        <w:pStyle w:val="BodyBullet1"/>
      </w:pPr>
      <w:r w:rsidRPr="004026FB">
        <w:t>A</w:t>
      </w:r>
      <w:r w:rsidR="0024444C" w:rsidRPr="004026FB">
        <w:t>ssess</w:t>
      </w:r>
      <w:r w:rsidRPr="004026FB">
        <w:t>ment of</w:t>
      </w:r>
      <w:r w:rsidR="0024444C" w:rsidRPr="004026FB">
        <w:t xml:space="preserve"> whether or not the additional calibration efforts result in changes to the assessment of </w:t>
      </w:r>
      <w:r w:rsidRPr="004026FB">
        <w:t xml:space="preserve">predicted </w:t>
      </w:r>
      <w:r w:rsidR="0024444C" w:rsidRPr="004026FB">
        <w:t>project-induced groundwater impacts.</w:t>
      </w:r>
      <w:r w:rsidR="0082264F" w:rsidRPr="004026FB">
        <w:t xml:space="preserve"> </w:t>
      </w:r>
    </w:p>
    <w:p w14:paraId="073741C9" w14:textId="4192C4EC" w:rsidR="00A34BAA" w:rsidRPr="004026FB" w:rsidRDefault="0082264F" w:rsidP="00B21569">
      <w:pPr>
        <w:pStyle w:val="BodyText"/>
        <w:keepNext/>
      </w:pPr>
      <w:r w:rsidRPr="004026FB">
        <w:t>The additional groundwater data, and further modelling outcomes, are included throughout this chapter.</w:t>
      </w:r>
      <w:r w:rsidR="003A7BBB">
        <w:t xml:space="preserve"> </w:t>
      </w:r>
    </w:p>
    <w:p w14:paraId="631FCE22" w14:textId="77777777" w:rsidR="00FF4A5B" w:rsidRPr="004026FB" w:rsidRDefault="00FF4A5B" w:rsidP="00FF4A5B">
      <w:pPr>
        <w:pStyle w:val="Heading3"/>
      </w:pPr>
      <w:bookmarkStart w:id="17" w:name="_Toc3641364"/>
      <w:bookmarkStart w:id="18" w:name="_Toc19489066"/>
      <w:r w:rsidRPr="004026FB">
        <w:t>Hydrogeological conceptualisations</w:t>
      </w:r>
      <w:bookmarkEnd w:id="17"/>
      <w:bookmarkEnd w:id="18"/>
      <w:r w:rsidRPr="004026FB">
        <w:t xml:space="preserve"> </w:t>
      </w:r>
    </w:p>
    <w:p w14:paraId="5633C8CA" w14:textId="7071B63F" w:rsidR="00FF4A5B" w:rsidRPr="004026FB" w:rsidRDefault="00FF4A5B" w:rsidP="00D518CD">
      <w:pPr>
        <w:pStyle w:val="BodyText"/>
        <w:keepNext/>
        <w:ind w:right="-397"/>
      </w:pPr>
      <w:r w:rsidRPr="004026FB">
        <w:t>In accordance with item (b) in Section 2.5.2.1 of the PER Guidelines, this subsection provides hydro</w:t>
      </w:r>
      <w:r w:rsidR="00D518CD" w:rsidRPr="004026FB">
        <w:t>-</w:t>
      </w:r>
      <w:r w:rsidRPr="004026FB">
        <w:t xml:space="preserve">geological conceptualisations of Banyule Creek and the Yarra River. These conceptualisations have been prepared to describe groundwater flows, processes and interactions between elements of the water cycle. The conceptualisations are based on geological settings and inputs from geotechnical investigations, which are described in more detail in PER Technical Appendix B – Groundwater technical report. </w:t>
      </w:r>
    </w:p>
    <w:p w14:paraId="1BAAD071" w14:textId="77777777" w:rsidR="00FF4A5B" w:rsidRPr="004026FB" w:rsidRDefault="00FF4A5B" w:rsidP="00FF4A5B">
      <w:pPr>
        <w:pStyle w:val="Heading4"/>
      </w:pPr>
      <w:r w:rsidRPr="004026FB">
        <w:t xml:space="preserve">Banyule Creek and </w:t>
      </w:r>
      <w:proofErr w:type="spellStart"/>
      <w:r w:rsidRPr="004026FB">
        <w:t>Koonung</w:t>
      </w:r>
      <w:proofErr w:type="spellEnd"/>
      <w:r w:rsidRPr="004026FB">
        <w:t xml:space="preserve"> Creek </w:t>
      </w:r>
    </w:p>
    <w:p w14:paraId="030B377A" w14:textId="377AC6BA" w:rsidR="00FF4A5B" w:rsidRPr="004026FB" w:rsidRDefault="00FF4A5B" w:rsidP="00B21569">
      <w:pPr>
        <w:pStyle w:val="BodyText"/>
        <w:keepNext/>
      </w:pPr>
      <w:r w:rsidRPr="004026FB">
        <w:t>The conceptualisation of groundwater at Banyule Creek is shown in</w:t>
      </w:r>
      <w:r w:rsidR="00673E79" w:rsidRPr="004026FB">
        <w:t xml:space="preserve"> </w:t>
      </w:r>
      <w:r w:rsidR="00673E79" w:rsidRPr="004026FB">
        <w:fldChar w:fldCharType="begin"/>
      </w:r>
      <w:r w:rsidR="00673E79" w:rsidRPr="004026FB">
        <w:instrText xml:space="preserve"> REF  _Ref4978509 \h  \* MERGEFORMAT </w:instrText>
      </w:r>
      <w:r w:rsidR="00673E79" w:rsidRPr="004026FB">
        <w:fldChar w:fldCharType="separate"/>
      </w:r>
      <w:r w:rsidR="007530D3" w:rsidRPr="007530D3">
        <w:t>Figure 8</w:t>
      </w:r>
      <w:r w:rsidR="007530D3" w:rsidRPr="007530D3">
        <w:noBreakHyphen/>
        <w:t>1</w:t>
      </w:r>
      <w:r w:rsidR="00673E79" w:rsidRPr="004026FB">
        <w:fldChar w:fldCharType="end"/>
      </w:r>
      <w:r w:rsidRPr="004026FB">
        <w:t xml:space="preserve">. </w:t>
      </w:r>
    </w:p>
    <w:p w14:paraId="605BEE2D" w14:textId="77777777" w:rsidR="00FF4A5B" w:rsidRPr="004026FB" w:rsidRDefault="00FF4A5B" w:rsidP="00FF4A5B">
      <w:pPr>
        <w:pStyle w:val="BodyText"/>
      </w:pPr>
      <w:r w:rsidRPr="004026FB">
        <w:t xml:space="preserve">While the conceptualisation could also be applied to </w:t>
      </w:r>
      <w:proofErr w:type="spellStart"/>
      <w:r w:rsidRPr="004026FB">
        <w:t>Koonung</w:t>
      </w:r>
      <w:proofErr w:type="spellEnd"/>
      <w:r w:rsidRPr="004026FB">
        <w:t xml:space="preserve"> Creek, it is recognised that although the hydrogeological setting of Banyule and </w:t>
      </w:r>
      <w:proofErr w:type="spellStart"/>
      <w:r w:rsidRPr="004026FB">
        <w:t>Koonung</w:t>
      </w:r>
      <w:proofErr w:type="spellEnd"/>
      <w:r w:rsidRPr="004026FB">
        <w:t xml:space="preserve"> creeks share similarities, their catchments have differences. Banyule Creek flows through a mostly urbanised catchment, with little modification to the creek having occurred. </w:t>
      </w:r>
      <w:proofErr w:type="spellStart"/>
      <w:r w:rsidRPr="004026FB">
        <w:t>Koonung</w:t>
      </w:r>
      <w:proofErr w:type="spellEnd"/>
      <w:r w:rsidRPr="004026FB">
        <w:t xml:space="preserve"> Creek has undergone significant modification in terms of erosion control, realignment, and </w:t>
      </w:r>
      <w:proofErr w:type="spellStart"/>
      <w:r w:rsidRPr="004026FB">
        <w:t>channelisation</w:t>
      </w:r>
      <w:proofErr w:type="spellEnd"/>
      <w:r w:rsidRPr="004026FB">
        <w:t xml:space="preserve"> of flow. Its catchment is considerably more modified with the presence of the Eastern Freeway, and these features are not shown on the schematic. </w:t>
      </w:r>
    </w:p>
    <w:p w14:paraId="41CD30A8" w14:textId="77777777" w:rsidR="00FF4A5B" w:rsidRPr="004026FB" w:rsidRDefault="00FF4A5B" w:rsidP="00FF4A5B">
      <w:pPr>
        <w:pStyle w:val="BodyText"/>
      </w:pPr>
      <w:r w:rsidRPr="004026FB">
        <w:t>These modifications can influence the hydrogeology. For example:</w:t>
      </w:r>
    </w:p>
    <w:p w14:paraId="77D0749F" w14:textId="5CC15147" w:rsidR="00FF4A5B" w:rsidRPr="004026FB" w:rsidRDefault="00FF4A5B" w:rsidP="00FF4A5B">
      <w:pPr>
        <w:pStyle w:val="BodyBullet1"/>
      </w:pPr>
      <w:r w:rsidRPr="004026FB">
        <w:t xml:space="preserve">The </w:t>
      </w:r>
      <w:proofErr w:type="spellStart"/>
      <w:r w:rsidRPr="004026FB">
        <w:t>channelisation</w:t>
      </w:r>
      <w:proofErr w:type="spellEnd"/>
      <w:r w:rsidRPr="004026FB">
        <w:t xml:space="preserve"> of flow can reduce inputs from groundwater inflows into the waterway, (for example, bank storage becomes negligible)</w:t>
      </w:r>
      <w:r w:rsidR="007578B7" w:rsidRPr="004026FB">
        <w:t>. However, over time, defects in channels, such as cracks, can reinstate some of the hydraulic connection</w:t>
      </w:r>
    </w:p>
    <w:p w14:paraId="1316DE91" w14:textId="77777777" w:rsidR="00FF4A5B" w:rsidRPr="004026FB" w:rsidRDefault="00FF4A5B" w:rsidP="00FF4A5B">
      <w:pPr>
        <w:pStyle w:val="BodyBullet1"/>
      </w:pPr>
      <w:r w:rsidRPr="004026FB">
        <w:t xml:space="preserve">The water quality and overall river ecological health can be influenced by </w:t>
      </w:r>
      <w:proofErr w:type="spellStart"/>
      <w:r w:rsidRPr="004026FB">
        <w:t>channelisation</w:t>
      </w:r>
      <w:proofErr w:type="spellEnd"/>
      <w:r w:rsidRPr="004026FB">
        <w:t xml:space="preserve"> and runoff from urban landscapes</w:t>
      </w:r>
    </w:p>
    <w:p w14:paraId="76D0CC97" w14:textId="77777777" w:rsidR="007578B7" w:rsidRPr="004026FB" w:rsidRDefault="00FF4A5B" w:rsidP="00FF4A5B">
      <w:pPr>
        <w:pStyle w:val="BodyBullet1"/>
      </w:pPr>
      <w:r w:rsidRPr="004026FB">
        <w:t>Riparian vegetation or lack thereof can alter groundwater fluxes entering the waterways</w:t>
      </w:r>
    </w:p>
    <w:p w14:paraId="6F651C3E" w14:textId="317C3E17" w:rsidR="00FF4A5B" w:rsidRPr="004026FB" w:rsidRDefault="007578B7" w:rsidP="007578B7">
      <w:pPr>
        <w:pStyle w:val="BodyBullet1"/>
      </w:pPr>
      <w:r w:rsidRPr="004026FB">
        <w:t>Constructed wetlands or retarding basins within these areas may spatially shift groundwater dynamics within the existing floodplain. Retarding basins create ponding of water (albeit for short time periods) an</w:t>
      </w:r>
      <w:r w:rsidR="00EA433B" w:rsidRPr="004026FB">
        <w:t>d</w:t>
      </w:r>
      <w:r w:rsidRPr="004026FB">
        <w:t xml:space="preserve"> opportunities for groundwater recharge. Deeper basins that intersect underlying groundwater may require lining structures (for the basins to operate effectively).</w:t>
      </w:r>
    </w:p>
    <w:p w14:paraId="14F95FE0" w14:textId="4CCF8AA9" w:rsidR="00FF4A5B" w:rsidRPr="004026FB" w:rsidRDefault="00FF4A5B" w:rsidP="00FF4A5B">
      <w:pPr>
        <w:pStyle w:val="BodyText"/>
      </w:pPr>
      <w:r w:rsidRPr="004026FB">
        <w:lastRenderedPageBreak/>
        <w:t>The geology in the conceptualisation has been divided into two aquifer systems. Both creeks are located within a narrow, thin Quaternary</w:t>
      </w:r>
      <w:r w:rsidR="00E36E63" w:rsidRPr="004026FB">
        <w:t xml:space="preserve"> age</w:t>
      </w:r>
      <w:r w:rsidRPr="004026FB">
        <w:t xml:space="preserve"> alluvial sequence which has accumulated within a topographic low in the Palaeozoic basement. The Palaeozoic basement is shown as having a thin soil cover, and over much of the northern parts of the alignment—such as at Simpson Barracks—soils are generally one to three metres in thickness. In these areas, the alluvial sediments can be absent and the streambed is mostly founded upon weathered basement rocks, although downstream in the flatter grades the alluvial sediments may form the streambed materials.</w:t>
      </w:r>
    </w:p>
    <w:p w14:paraId="3DDFD6D6" w14:textId="77777777" w:rsidR="00FF4A5B" w:rsidRPr="004026FB" w:rsidRDefault="00FF4A5B" w:rsidP="00FF4A5B">
      <w:pPr>
        <w:pStyle w:val="BodyText"/>
      </w:pPr>
      <w:r w:rsidRPr="004026FB">
        <w:t xml:space="preserve">Rainfall run-off within the catchment forms flow within the ephemeral creeks. Some rainfall (and groundwater) would be removed by evapotranspiration effects, such as water use by trees and evaporation to the atmosphere. Rainfall infiltrating the ground surface can move laterally within the permeable soils overlying the bedrock. Deeper infiltration of rainfall results in accessions to groundwater. Here, within the bedrock, groundwater would migrate under topographic gradients towards areas of lower elevation. Hydraulic gradients could be steep in undulating and elevated topographies, but could become flatter near lower lying areas and alluvial floodplains nearer the Yarra River. Groundwater would be stored and transmitted by the secondary porous features of the bedrock, such as cracks, joints and fractures. Groundwater would ultimately emerge as </w:t>
      </w:r>
      <w:proofErr w:type="spellStart"/>
      <w:r w:rsidRPr="004026FB">
        <w:t>springflow</w:t>
      </w:r>
      <w:proofErr w:type="spellEnd"/>
      <w:r w:rsidRPr="004026FB">
        <w:t xml:space="preserve"> or seepage to waterways or the floodplain sediments. </w:t>
      </w:r>
    </w:p>
    <w:p w14:paraId="4F41AE00" w14:textId="14D1C9A0" w:rsidR="00FF4A5B" w:rsidRPr="004026FB" w:rsidRDefault="00673E79" w:rsidP="00FF4A5B">
      <w:pPr>
        <w:pStyle w:val="BodyText"/>
      </w:pPr>
      <w:r w:rsidRPr="004026FB">
        <w:fldChar w:fldCharType="begin"/>
      </w:r>
      <w:r w:rsidRPr="004026FB">
        <w:instrText xml:space="preserve"> REF  _Ref4978509 \h  \* MERGEFORMAT </w:instrText>
      </w:r>
      <w:r w:rsidRPr="004026FB">
        <w:fldChar w:fldCharType="separate"/>
      </w:r>
      <w:r w:rsidR="007530D3" w:rsidRPr="007530D3">
        <w:t>Figure 8</w:t>
      </w:r>
      <w:r w:rsidR="007530D3" w:rsidRPr="007530D3">
        <w:noBreakHyphen/>
        <w:t>1</w:t>
      </w:r>
      <w:r w:rsidRPr="004026FB">
        <w:fldChar w:fldCharType="end"/>
      </w:r>
      <w:r w:rsidRPr="004026FB">
        <w:t xml:space="preserve"> </w:t>
      </w:r>
      <w:r w:rsidR="00FF4A5B" w:rsidRPr="004026FB">
        <w:t xml:space="preserve">shows the groundwater table being higher than the surface water level, which means that groundwater can flow into the stream. However, the nature of interaction between the waterway and groundwater may vary seasonally and along the reach of Banyule Creek and </w:t>
      </w:r>
      <w:proofErr w:type="spellStart"/>
      <w:r w:rsidR="00FF4A5B" w:rsidRPr="004026FB">
        <w:t>Koonung</w:t>
      </w:r>
      <w:proofErr w:type="spellEnd"/>
      <w:r w:rsidR="00FF4A5B" w:rsidRPr="004026FB">
        <w:t xml:space="preserve"> Creek. </w:t>
      </w:r>
    </w:p>
    <w:p w14:paraId="25BD232C" w14:textId="03972569" w:rsidR="00FF4A5B" w:rsidRPr="004026FB" w:rsidRDefault="00FF4A5B" w:rsidP="00FF4A5B">
      <w:pPr>
        <w:pStyle w:val="BodyText"/>
      </w:pPr>
      <w:r w:rsidRPr="004026FB">
        <w:t xml:space="preserve">For example, in the Simpson Barracks area, stream flows are ephemeral and mostly related to stormwater run-off in the upper catchment areas. Banyule Creek water quality is generally of low salinity (less than </w:t>
      </w:r>
      <w:r w:rsidR="007578B7" w:rsidRPr="004026FB">
        <w:t>1,000 </w:t>
      </w:r>
      <w:r w:rsidR="007578B7" w:rsidRPr="004026FB">
        <w:rPr>
          <w:rFonts w:cs="Arial"/>
        </w:rPr>
        <w:t>µ</w:t>
      </w:r>
      <w:r w:rsidR="007578B7" w:rsidRPr="004026FB">
        <w:t>S/cm</w:t>
      </w:r>
      <w:r w:rsidRPr="004026FB">
        <w:t xml:space="preserve">) which is significantly fresher than native bedrock groundwater (greater than </w:t>
      </w:r>
      <w:r w:rsidR="007578B7" w:rsidRPr="004026FB">
        <w:t>6,000 </w:t>
      </w:r>
      <w:r w:rsidR="007578B7" w:rsidRPr="004026FB">
        <w:rPr>
          <w:rFonts w:cs="Arial"/>
        </w:rPr>
        <w:t>µ</w:t>
      </w:r>
      <w:r w:rsidR="007578B7" w:rsidRPr="004026FB">
        <w:t>S/cm</w:t>
      </w:r>
      <w:r w:rsidRPr="004026FB">
        <w:t xml:space="preserve"> in nearby bores). This suggests the elevation of surface water levels would be higher than the surrounding groundwater, and so surface water would flow into the groundwater. </w:t>
      </w:r>
    </w:p>
    <w:p w14:paraId="63FB1B69" w14:textId="77777777" w:rsidR="00FF4A5B" w:rsidRPr="004026FB" w:rsidRDefault="00FF4A5B" w:rsidP="00FF4A5B">
      <w:pPr>
        <w:pStyle w:val="BodyText"/>
      </w:pPr>
      <w:r w:rsidRPr="004026FB">
        <w:t>However, water quality sampling undertaken by ecological specialists in autumn 2018 in some deeper pools in Banyule Creek downstream of where the creek diverges from River Gum Walk, identified localised, higher salinities. This suggests that influent conditions are present in places. Further downstream within its catchment, on the alluvial floodplain south of Banyule Road, Banyule Creek is shallow and typically less than 1.5 metres deep, and not greatly incised into the floodplain. Preliminary information from the geotechnical program has identified shallow groundwater levels (less than 1.5 metres) and so it may interact with the water table.</w:t>
      </w:r>
    </w:p>
    <w:p w14:paraId="33576F7A" w14:textId="77777777" w:rsidR="00FF4A5B" w:rsidRPr="004026FB" w:rsidRDefault="00FF4A5B" w:rsidP="00FF4A5B">
      <w:pPr>
        <w:pStyle w:val="BodyText"/>
      </w:pPr>
      <w:r w:rsidRPr="004026FB">
        <w:t xml:space="preserve">In regards to </w:t>
      </w:r>
      <w:proofErr w:type="spellStart"/>
      <w:r w:rsidRPr="004026FB">
        <w:t>Koonung</w:t>
      </w:r>
      <w:proofErr w:type="spellEnd"/>
      <w:r w:rsidRPr="004026FB">
        <w:t xml:space="preserve"> Creek, there are few groundwater monitoring sites available along its reaches to confirm the surface water and groundwater interaction. Groundwater recharge is likely during flood events on </w:t>
      </w:r>
      <w:proofErr w:type="spellStart"/>
      <w:r w:rsidRPr="004026FB">
        <w:t>Koonung</w:t>
      </w:r>
      <w:proofErr w:type="spellEnd"/>
      <w:r w:rsidRPr="004026FB">
        <w:t xml:space="preserve"> Creek. </w:t>
      </w:r>
    </w:p>
    <w:p w14:paraId="3C5C571D" w14:textId="77777777" w:rsidR="00FF4A5B" w:rsidRPr="004026FB" w:rsidRDefault="00FF4A5B" w:rsidP="00FF4A5B">
      <w:pPr>
        <w:pStyle w:val="Heading4"/>
      </w:pPr>
      <w:r w:rsidRPr="004026FB">
        <w:lastRenderedPageBreak/>
        <w:t xml:space="preserve">Yarra River </w:t>
      </w:r>
    </w:p>
    <w:p w14:paraId="3D86CB6D" w14:textId="67B92C10" w:rsidR="00FF4A5B" w:rsidRPr="001A3A9D" w:rsidRDefault="00FF4A5B" w:rsidP="00FF4A5B">
      <w:pPr>
        <w:pStyle w:val="BodyText"/>
      </w:pPr>
      <w:r w:rsidRPr="001A3A9D">
        <w:t xml:space="preserve">The conceptualisation of groundwater within a generalised Yarra River floodplain is shown in </w:t>
      </w:r>
      <w:r w:rsidR="001A3A9D" w:rsidRPr="001A3A9D">
        <w:fldChar w:fldCharType="begin"/>
      </w:r>
      <w:r w:rsidR="001A3A9D" w:rsidRPr="001A3A9D">
        <w:instrText xml:space="preserve"> REF  _Ref19408954 \h  \* MERGEFORMAT </w:instrText>
      </w:r>
      <w:r w:rsidR="001A3A9D" w:rsidRPr="001A3A9D">
        <w:fldChar w:fldCharType="separate"/>
      </w:r>
      <w:r w:rsidR="007530D3" w:rsidRPr="007530D3">
        <w:t>Figure 8</w:t>
      </w:r>
      <w:r w:rsidR="007530D3" w:rsidRPr="007530D3">
        <w:noBreakHyphen/>
        <w:t>2</w:t>
      </w:r>
      <w:r w:rsidR="001A3A9D" w:rsidRPr="001A3A9D">
        <w:fldChar w:fldCharType="end"/>
      </w:r>
      <w:r w:rsidRPr="001A3A9D">
        <w:t xml:space="preserve">. The floodplain is shown as a two aquifer system with </w:t>
      </w:r>
      <w:proofErr w:type="spellStart"/>
      <w:r w:rsidRPr="001A3A9D">
        <w:t>alluvials</w:t>
      </w:r>
      <w:proofErr w:type="spellEnd"/>
      <w:r w:rsidRPr="001A3A9D">
        <w:t xml:space="preserve"> consisting of sands, clays and gravels up to 20 metres thick, overlaying bedrock. Elsewhere, the Yarra River streambed may rest directly upon the Palaeozoic bedrock. The streambed conditions of the Yarra River are not well understood as drilling has not been completed close to, or within the streambed.</w:t>
      </w:r>
    </w:p>
    <w:p w14:paraId="5BD732E7" w14:textId="391E0563" w:rsidR="00832F82" w:rsidRPr="001A3A9D" w:rsidRDefault="00FF4A5B" w:rsidP="001A3A9D">
      <w:pPr>
        <w:pStyle w:val="BodyText"/>
      </w:pPr>
      <w:r w:rsidRPr="001A3A9D">
        <w:t xml:space="preserve">Owing to the porosity of the alluvial aquifer, it is likely to store larger quantities of groundwater relative to the low porosity bedrock. Recharge to the </w:t>
      </w:r>
      <w:proofErr w:type="spellStart"/>
      <w:r w:rsidRPr="001A3A9D">
        <w:t>alluvials</w:t>
      </w:r>
      <w:proofErr w:type="spellEnd"/>
      <w:r w:rsidRPr="001A3A9D">
        <w:t xml:space="preserve"> can occur through interaction with the Yarra River, or directly through infiltration of rainfall or flood overbanking over the floodplain catchment.</w:t>
      </w:r>
    </w:p>
    <w:p w14:paraId="753047E5" w14:textId="77777777" w:rsidR="00832F82" w:rsidRPr="001A3A9D" w:rsidRDefault="00832F82" w:rsidP="001A3A9D">
      <w:pPr>
        <w:pStyle w:val="BodyText"/>
        <w:sectPr w:rsidR="00832F82" w:rsidRPr="001A3A9D" w:rsidSect="00B21569">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2410"/>
        <w:gridCol w:w="12160"/>
      </w:tblGrid>
      <w:tr w:rsidR="00A72817" w:rsidRPr="004026FB" w14:paraId="6C756B4C" w14:textId="77777777" w:rsidTr="00BA3E89">
        <w:tc>
          <w:tcPr>
            <w:tcW w:w="2410" w:type="dxa"/>
          </w:tcPr>
          <w:p w14:paraId="13C4391F" w14:textId="2CC1194A" w:rsidR="00A72817" w:rsidRPr="004026FB" w:rsidRDefault="00A72817" w:rsidP="00DE7618">
            <w:pPr>
              <w:pStyle w:val="Object"/>
              <w:rPr>
                <w:lang w:eastAsia="en-AU"/>
              </w:rPr>
            </w:pPr>
          </w:p>
        </w:tc>
        <w:tc>
          <w:tcPr>
            <w:tcW w:w="12160" w:type="dxa"/>
          </w:tcPr>
          <w:p w14:paraId="69D005A5" w14:textId="6F8BD589" w:rsidR="00A72817" w:rsidRPr="004026FB" w:rsidRDefault="00D84383" w:rsidP="00DE7618">
            <w:pPr>
              <w:pStyle w:val="Object"/>
            </w:pPr>
            <w:r w:rsidRPr="004026FB">
              <w:rPr>
                <w:noProof/>
                <w:lang w:eastAsia="en-AU"/>
              </w:rPr>
              <w:drawing>
                <wp:inline distT="0" distB="0" distL="0" distR="0" wp14:anchorId="628BECDE" wp14:editId="452D8D37">
                  <wp:extent cx="6136768" cy="4608000"/>
                  <wp:effectExtent l="0" t="0" r="0" b="2540"/>
                  <wp:docPr id="19" name="Picture 19" descr="This figure is a stylised illustration of the hydrogeological conceptualisation of Banyule Creek, as is described above. The illustration conceptualises  water flows from rainfall to waterway and groundwater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136768" cy="4608000"/>
                          </a:xfrm>
                          <a:prstGeom prst="rect">
                            <a:avLst/>
                          </a:prstGeom>
                          <a:noFill/>
                        </pic:spPr>
                      </pic:pic>
                    </a:graphicData>
                  </a:graphic>
                </wp:inline>
              </w:drawing>
            </w:r>
          </w:p>
        </w:tc>
      </w:tr>
      <w:tr w:rsidR="00BA3E89" w:rsidRPr="004026FB" w14:paraId="59A3C6AF" w14:textId="77777777" w:rsidTr="00BA3E89">
        <w:tc>
          <w:tcPr>
            <w:tcW w:w="2410" w:type="dxa"/>
          </w:tcPr>
          <w:p w14:paraId="798713F6" w14:textId="57ED16CF" w:rsidR="00BA3E89" w:rsidRPr="004026FB" w:rsidRDefault="00BA3E89" w:rsidP="00DE7618">
            <w:pPr>
              <w:pStyle w:val="CaptionFigure"/>
              <w:spacing w:before="0" w:after="0"/>
              <w:rPr>
                <w:lang w:eastAsia="en-AU"/>
              </w:rPr>
            </w:pPr>
          </w:p>
        </w:tc>
        <w:tc>
          <w:tcPr>
            <w:tcW w:w="12160" w:type="dxa"/>
          </w:tcPr>
          <w:p w14:paraId="1546D69B" w14:textId="55B0E9CF" w:rsidR="00BA3E89" w:rsidRPr="004026FB" w:rsidRDefault="00BA3E89" w:rsidP="00DE7618">
            <w:pPr>
              <w:pStyle w:val="CaptionFigure"/>
              <w:spacing w:before="0" w:after="0"/>
              <w:rPr>
                <w:lang w:eastAsia="en-AU"/>
              </w:rPr>
            </w:pPr>
            <w:bookmarkStart w:id="19" w:name="_Ref4978509"/>
            <w:bookmarkStart w:id="20" w:name="_Toc19489092"/>
            <w:r w:rsidRPr="004026FB">
              <w:rPr>
                <w:rStyle w:val="CharacterStyle-BrightColour"/>
                <w:sz w:val="16"/>
              </w:rPr>
              <w:t>Figure </w:t>
            </w:r>
            <w:r w:rsidRPr="004026FB">
              <w:rPr>
                <w:rStyle w:val="CharacterStyle-BrightColour"/>
                <w:sz w:val="16"/>
              </w:rPr>
              <w:fldChar w:fldCharType="begin"/>
            </w:r>
            <w:r w:rsidRPr="004026FB">
              <w:rPr>
                <w:rStyle w:val="CharacterStyle-BrightColour"/>
                <w:sz w:val="16"/>
              </w:rPr>
              <w:instrText xml:space="preserve"> STYLEREF 1 \s </w:instrText>
            </w:r>
            <w:r w:rsidRPr="004026FB">
              <w:rPr>
                <w:rStyle w:val="CharacterStyle-BrightColour"/>
                <w:sz w:val="16"/>
              </w:rPr>
              <w:fldChar w:fldCharType="separate"/>
            </w:r>
            <w:r w:rsidR="007530D3">
              <w:rPr>
                <w:rStyle w:val="CharacterStyle-BrightColour"/>
                <w:noProof/>
                <w:sz w:val="16"/>
              </w:rPr>
              <w:t>8</w:t>
            </w:r>
            <w:r w:rsidRPr="004026FB">
              <w:rPr>
                <w:rStyle w:val="CharacterStyle-BrightColour"/>
                <w:sz w:val="16"/>
              </w:rPr>
              <w:fldChar w:fldCharType="end"/>
            </w:r>
            <w:r w:rsidRPr="004026FB">
              <w:rPr>
                <w:rStyle w:val="CharacterStyle-BrightColour"/>
                <w:sz w:val="16"/>
              </w:rPr>
              <w:noBreakHyphen/>
            </w:r>
            <w:r w:rsidRPr="004026FB">
              <w:rPr>
                <w:rStyle w:val="CharacterStyle-BrightColour"/>
                <w:sz w:val="16"/>
              </w:rPr>
              <w:fldChar w:fldCharType="begin"/>
            </w:r>
            <w:r w:rsidRPr="004026FB">
              <w:rPr>
                <w:rStyle w:val="CharacterStyle-BrightColour"/>
                <w:sz w:val="16"/>
              </w:rPr>
              <w:instrText xml:space="preserve"> SEQ Figure \* ARABIC \s 1 </w:instrText>
            </w:r>
            <w:r w:rsidRPr="004026FB">
              <w:rPr>
                <w:rStyle w:val="CharacterStyle-BrightColour"/>
                <w:sz w:val="16"/>
              </w:rPr>
              <w:fldChar w:fldCharType="separate"/>
            </w:r>
            <w:r w:rsidR="007530D3">
              <w:rPr>
                <w:rStyle w:val="CharacterStyle-BrightColour"/>
                <w:noProof/>
                <w:sz w:val="16"/>
              </w:rPr>
              <w:t>1</w:t>
            </w:r>
            <w:r w:rsidRPr="004026FB">
              <w:rPr>
                <w:rStyle w:val="CharacterStyle-BrightColour"/>
                <w:sz w:val="16"/>
              </w:rPr>
              <w:fldChar w:fldCharType="end"/>
            </w:r>
            <w:bookmarkEnd w:id="19"/>
            <w:r w:rsidRPr="004026FB">
              <w:tab/>
              <w:t>Hydrogeological conceptualisation of Banyule Creek</w:t>
            </w:r>
            <w:bookmarkEnd w:id="20"/>
          </w:p>
        </w:tc>
      </w:tr>
      <w:tr w:rsidR="00AB69B8" w:rsidRPr="004026FB" w14:paraId="39CC2748" w14:textId="77777777" w:rsidTr="00BA3E89">
        <w:tc>
          <w:tcPr>
            <w:tcW w:w="2410" w:type="dxa"/>
          </w:tcPr>
          <w:p w14:paraId="5F624B36" w14:textId="7A4586E2" w:rsidR="00AB69B8" w:rsidRPr="004026FB" w:rsidRDefault="00AB69B8" w:rsidP="00AB69B8">
            <w:pPr>
              <w:pStyle w:val="CaptionFigure"/>
              <w:tabs>
                <w:tab w:val="left" w:pos="1134"/>
              </w:tabs>
              <w:spacing w:before="0" w:after="0"/>
              <w:rPr>
                <w:lang w:eastAsia="en-AU"/>
              </w:rPr>
            </w:pPr>
          </w:p>
        </w:tc>
        <w:tc>
          <w:tcPr>
            <w:tcW w:w="12160" w:type="dxa"/>
            <w:tcMar>
              <w:left w:w="0" w:type="dxa"/>
              <w:right w:w="0" w:type="dxa"/>
            </w:tcMar>
          </w:tcPr>
          <w:p w14:paraId="1CFD3AF9" w14:textId="7C1A6A36" w:rsidR="00AB69B8" w:rsidRPr="004026FB" w:rsidRDefault="00D84383" w:rsidP="00BA3E89">
            <w:pPr>
              <w:pStyle w:val="Object"/>
            </w:pPr>
            <w:r w:rsidRPr="004026FB">
              <w:rPr>
                <w:noProof/>
                <w:lang w:eastAsia="en-AU"/>
              </w:rPr>
              <w:drawing>
                <wp:inline distT="0" distB="0" distL="0" distR="0" wp14:anchorId="1C698E35" wp14:editId="515B257B">
                  <wp:extent cx="6816073" cy="4608000"/>
                  <wp:effectExtent l="0" t="0" r="4445" b="2540"/>
                  <wp:docPr id="10" name="Picture 10" descr="This figure is a stylised illustration of the hydrogeological conceptualisation of the Yarra River floodplain, as is described above. The illustration conceptualises  water flows from rainfall to waterway and groundwater 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6816073" cy="4608000"/>
                          </a:xfrm>
                          <a:prstGeom prst="rect">
                            <a:avLst/>
                          </a:prstGeom>
                          <a:noFill/>
                        </pic:spPr>
                      </pic:pic>
                    </a:graphicData>
                  </a:graphic>
                </wp:inline>
              </w:drawing>
            </w:r>
          </w:p>
        </w:tc>
      </w:tr>
      <w:tr w:rsidR="00BA3E89" w:rsidRPr="004026FB" w14:paraId="7B7D4FCC" w14:textId="77777777" w:rsidTr="00BA3E89">
        <w:tc>
          <w:tcPr>
            <w:tcW w:w="2410" w:type="dxa"/>
          </w:tcPr>
          <w:p w14:paraId="6156C09F" w14:textId="0D10C0CF" w:rsidR="00BA3E89" w:rsidRPr="004026FB" w:rsidRDefault="00BA3E89" w:rsidP="00DE7618">
            <w:pPr>
              <w:pStyle w:val="CaptionFigure"/>
              <w:spacing w:before="0" w:after="0"/>
              <w:rPr>
                <w:rStyle w:val="CharacterStyle-BrightColour"/>
                <w:sz w:val="16"/>
              </w:rPr>
            </w:pPr>
            <w:bookmarkStart w:id="21" w:name="_Toc3641415"/>
          </w:p>
        </w:tc>
        <w:tc>
          <w:tcPr>
            <w:tcW w:w="12160" w:type="dxa"/>
          </w:tcPr>
          <w:p w14:paraId="1432CA08" w14:textId="40B89F02" w:rsidR="00BA3E89" w:rsidRPr="004026FB" w:rsidRDefault="00BA3E89" w:rsidP="00DE7618">
            <w:pPr>
              <w:pStyle w:val="CaptionFigure"/>
              <w:spacing w:before="0" w:after="0"/>
              <w:rPr>
                <w:rStyle w:val="CharacterStyle-BrightColour"/>
                <w:sz w:val="16"/>
              </w:rPr>
            </w:pPr>
            <w:bookmarkStart w:id="22" w:name="_Ref532311002"/>
            <w:bookmarkStart w:id="23" w:name="_Ref19408954"/>
            <w:bookmarkStart w:id="24" w:name="_Toc19489093"/>
            <w:bookmarkEnd w:id="21"/>
            <w:r w:rsidRPr="004026FB">
              <w:rPr>
                <w:rStyle w:val="CharacterStyle-BrightColour"/>
                <w:sz w:val="16"/>
              </w:rPr>
              <w:t>Figure </w:t>
            </w:r>
            <w:r w:rsidRPr="004026FB">
              <w:rPr>
                <w:rStyle w:val="CharacterStyle-BrightColour"/>
                <w:sz w:val="16"/>
              </w:rPr>
              <w:fldChar w:fldCharType="begin"/>
            </w:r>
            <w:r w:rsidRPr="004026FB">
              <w:rPr>
                <w:rStyle w:val="CharacterStyle-BrightColour"/>
                <w:sz w:val="16"/>
              </w:rPr>
              <w:instrText xml:space="preserve"> STYLEREF 1 \s </w:instrText>
            </w:r>
            <w:r w:rsidRPr="004026FB">
              <w:rPr>
                <w:rStyle w:val="CharacterStyle-BrightColour"/>
                <w:sz w:val="16"/>
              </w:rPr>
              <w:fldChar w:fldCharType="separate"/>
            </w:r>
            <w:r w:rsidR="007530D3">
              <w:rPr>
                <w:rStyle w:val="CharacterStyle-BrightColour"/>
                <w:noProof/>
                <w:sz w:val="16"/>
              </w:rPr>
              <w:t>8</w:t>
            </w:r>
            <w:r w:rsidRPr="004026FB">
              <w:rPr>
                <w:rStyle w:val="CharacterStyle-BrightColour"/>
                <w:sz w:val="16"/>
              </w:rPr>
              <w:fldChar w:fldCharType="end"/>
            </w:r>
            <w:r w:rsidRPr="004026FB">
              <w:rPr>
                <w:rStyle w:val="CharacterStyle-BrightColour"/>
                <w:sz w:val="16"/>
              </w:rPr>
              <w:noBreakHyphen/>
            </w:r>
            <w:bookmarkEnd w:id="22"/>
            <w:r w:rsidRPr="004026FB">
              <w:rPr>
                <w:rStyle w:val="CharacterStyle-BrightColour"/>
                <w:sz w:val="16"/>
              </w:rPr>
              <w:fldChar w:fldCharType="begin"/>
            </w:r>
            <w:r w:rsidRPr="004026FB">
              <w:rPr>
                <w:rStyle w:val="CharacterStyle-BrightColour"/>
                <w:sz w:val="16"/>
              </w:rPr>
              <w:instrText xml:space="preserve"> SEQ Figure \* ARABIC \s 1  \* MERGEFORMAT </w:instrText>
            </w:r>
            <w:r w:rsidRPr="004026FB">
              <w:rPr>
                <w:rStyle w:val="CharacterStyle-BrightColour"/>
                <w:sz w:val="16"/>
              </w:rPr>
              <w:fldChar w:fldCharType="separate"/>
            </w:r>
            <w:r w:rsidR="007530D3">
              <w:rPr>
                <w:rStyle w:val="CharacterStyle-BrightColour"/>
                <w:noProof/>
                <w:sz w:val="16"/>
              </w:rPr>
              <w:t>2</w:t>
            </w:r>
            <w:r w:rsidRPr="004026FB">
              <w:rPr>
                <w:rStyle w:val="CharacterStyle-BrightColour"/>
                <w:sz w:val="16"/>
              </w:rPr>
              <w:fldChar w:fldCharType="end"/>
            </w:r>
            <w:bookmarkEnd w:id="23"/>
            <w:r w:rsidRPr="004026FB">
              <w:rPr>
                <w:rStyle w:val="CharacterStyle-BrightColour"/>
              </w:rPr>
              <w:tab/>
            </w:r>
            <w:r w:rsidRPr="004026FB">
              <w:t>Hydrogeological conceptualisation of the Yarra River floodplain</w:t>
            </w:r>
            <w:bookmarkEnd w:id="24"/>
          </w:p>
        </w:tc>
      </w:tr>
    </w:tbl>
    <w:p w14:paraId="328137FF" w14:textId="77777777" w:rsidR="00832F82" w:rsidRPr="004026FB" w:rsidRDefault="00832F82" w:rsidP="00A72817">
      <w:pPr>
        <w:pStyle w:val="BodyTextSingleSpacing"/>
        <w:rPr>
          <w:sz w:val="16"/>
        </w:rPr>
      </w:pPr>
    </w:p>
    <w:p w14:paraId="536AC4B2" w14:textId="6F8A94F4" w:rsidR="00A72817" w:rsidRPr="004026FB" w:rsidRDefault="00A72817" w:rsidP="00A72817">
      <w:pPr>
        <w:pStyle w:val="BodyTextSingleSpacing"/>
        <w:rPr>
          <w:sz w:val="16"/>
        </w:rPr>
        <w:sectPr w:rsidR="00A72817" w:rsidRPr="004026FB" w:rsidSect="009E168B">
          <w:headerReference w:type="even" r:id="rId19"/>
          <w:headerReference w:type="default" r:id="rId20"/>
          <w:pgSz w:w="16838" w:h="11906" w:orient="landscape" w:code="9"/>
          <w:pgMar w:top="1134" w:right="1134" w:bottom="1134" w:left="1134" w:header="567" w:footer="567" w:gutter="567"/>
          <w:pgNumType w:chapStyle="1" w:chapSep="enDash"/>
          <w:cols w:space="708"/>
          <w:docGrid w:linePitch="360"/>
        </w:sectPr>
      </w:pPr>
    </w:p>
    <w:p w14:paraId="3DF80712" w14:textId="5ADD5223" w:rsidR="00574218" w:rsidRPr="004026FB" w:rsidRDefault="00574218" w:rsidP="00A72817">
      <w:pPr>
        <w:pStyle w:val="BodyText"/>
        <w:spacing w:before="0"/>
      </w:pPr>
      <w:r w:rsidRPr="004026FB">
        <w:lastRenderedPageBreak/>
        <w:t xml:space="preserve">There are a number of swamps and billabongs within the Yarra River floodplain. While annual flooding would have historically topped Banyule Swamp and Banyule Billabong, extractions from the Yarra River </w:t>
      </w:r>
      <w:r w:rsidR="00054ED4" w:rsidRPr="004026FB">
        <w:t xml:space="preserve">(elsewhere in its catchment) </w:t>
      </w:r>
      <w:r w:rsidRPr="004026FB">
        <w:t xml:space="preserve">have reduced flooding frequencies and these filling events. </w:t>
      </w:r>
      <w:proofErr w:type="spellStart"/>
      <w:r w:rsidRPr="004026FB">
        <w:t>Bankfull</w:t>
      </w:r>
      <w:proofErr w:type="spellEnd"/>
      <w:r w:rsidRPr="004026FB">
        <w:t xml:space="preserve"> and overbank flows of the Yarra River are interpreted to be the primary sources of water for these wetlands, with other water sourced from local catchment runoff. Connection between Banyule Swamp and Banyule Billabong with groundwater is not known (Melbourne Water conceptualisation, </w:t>
      </w:r>
      <w:r w:rsidRPr="004026FB">
        <w:rPr>
          <w:i/>
        </w:rPr>
        <w:t>date unknown</w:t>
      </w:r>
      <w:r w:rsidRPr="004026FB">
        <w:t>).</w:t>
      </w:r>
    </w:p>
    <w:p w14:paraId="6F3402D8" w14:textId="4649E6A6" w:rsidR="00574218" w:rsidRPr="004026FB" w:rsidRDefault="00574218" w:rsidP="00574218">
      <w:pPr>
        <w:pStyle w:val="BodyText"/>
      </w:pPr>
      <w:r w:rsidRPr="004026FB">
        <w:t xml:space="preserve">Up to the </w:t>
      </w:r>
      <w:proofErr w:type="spellStart"/>
      <w:r w:rsidRPr="004026FB">
        <w:t>1990s</w:t>
      </w:r>
      <w:proofErr w:type="spellEnd"/>
      <w:r w:rsidRPr="004026FB">
        <w:t xml:space="preserve">, </w:t>
      </w:r>
      <w:r w:rsidR="004C5A88" w:rsidRPr="004026FB">
        <w:t>Bolin </w:t>
      </w:r>
      <w:proofErr w:type="spellStart"/>
      <w:r w:rsidR="004C5A88" w:rsidRPr="004026FB">
        <w:t>Bolin</w:t>
      </w:r>
      <w:proofErr w:type="spellEnd"/>
      <w:r w:rsidRPr="004026FB">
        <w:t xml:space="preserve"> Billabong was frequently inundated (at least annually). However,</w:t>
      </w:r>
      <w:r w:rsidR="00D518CD" w:rsidRPr="004026FB">
        <w:t> </w:t>
      </w:r>
      <w:r w:rsidRPr="004026FB">
        <w:t xml:space="preserve">inundation has been less frequent more recently. Water supply to the billabong is primarily from overbank and </w:t>
      </w:r>
      <w:proofErr w:type="spellStart"/>
      <w:r w:rsidRPr="004026FB">
        <w:t>bankfull</w:t>
      </w:r>
      <w:proofErr w:type="spellEnd"/>
      <w:r w:rsidRPr="004026FB">
        <w:t xml:space="preserve"> flows of the Yarra River. Floodplain inundation requires </w:t>
      </w:r>
      <w:proofErr w:type="spellStart"/>
      <w:r w:rsidRPr="004026FB">
        <w:t>bankfull</w:t>
      </w:r>
      <w:proofErr w:type="spellEnd"/>
      <w:r w:rsidRPr="004026FB">
        <w:t xml:space="preserve"> flows. The permanent pool of the billabong is suspected as being sustained by groundwater, and may be hydraulically connected to the Yarra River via the alluvium. Water level mapping suggests region</w:t>
      </w:r>
      <w:r w:rsidR="00054ED4" w:rsidRPr="004026FB">
        <w:t>al groundwater</w:t>
      </w:r>
      <w:r w:rsidRPr="004026FB">
        <w:t xml:space="preserve"> flow directions are westwards, from the elevated bedrock east of Bulleen Road, towards the billabong.</w:t>
      </w:r>
    </w:p>
    <w:p w14:paraId="395E1959" w14:textId="77777777" w:rsidR="00574218" w:rsidRPr="004026FB" w:rsidRDefault="00574218" w:rsidP="00574218">
      <w:pPr>
        <w:pStyle w:val="Heading3"/>
      </w:pPr>
      <w:bookmarkStart w:id="25" w:name="_Toc3641365"/>
      <w:bookmarkStart w:id="26" w:name="_Toc19489067"/>
      <w:r w:rsidRPr="004026FB">
        <w:t>Groundwater levels</w:t>
      </w:r>
      <w:bookmarkEnd w:id="25"/>
      <w:bookmarkEnd w:id="26"/>
      <w:r w:rsidRPr="004026FB">
        <w:t xml:space="preserve"> </w:t>
      </w:r>
    </w:p>
    <w:p w14:paraId="69FF2EFD" w14:textId="77777777" w:rsidR="00574218" w:rsidRPr="004026FB" w:rsidRDefault="00574218" w:rsidP="00574218">
      <w:pPr>
        <w:pStyle w:val="BodyText"/>
      </w:pPr>
      <w:r w:rsidRPr="004026FB">
        <w:t>In accordance with item (c) in Section 2.5.2.1 of the PER Guidelines, this subsection provides details of depth to groundwater.</w:t>
      </w:r>
    </w:p>
    <w:p w14:paraId="7DBAA0EF" w14:textId="77777777" w:rsidR="00574218" w:rsidRPr="004026FB" w:rsidRDefault="00574218" w:rsidP="00574218">
      <w:pPr>
        <w:pStyle w:val="BodyText"/>
      </w:pPr>
      <w:r w:rsidRPr="004026FB">
        <w:t xml:space="preserve">Influences on groundwater level may be natural or man-made. Natural influences are broad scale and typically related to seasonal variability or drought conditions. Man-made influences include groundwater abstraction and the intervention of built structures. </w:t>
      </w:r>
    </w:p>
    <w:p w14:paraId="7BBCE8C8" w14:textId="77921ED3" w:rsidR="00574218" w:rsidRPr="004026FB" w:rsidRDefault="00574218" w:rsidP="00574218">
      <w:pPr>
        <w:pStyle w:val="BodyText"/>
      </w:pPr>
      <w:r w:rsidRPr="004026FB">
        <w:t>Around the M80 Ring Road (otherwise known as the Metropolitan Ring Road) and south to Lower Plenty Road, the groundwater table is generally at depths of greater than 10 metres below the ground surface. The exceptions to this are lower lying areas such as the Plenty River floodplain, north of Grimshaw Street</w:t>
      </w:r>
      <w:r w:rsidR="00054ED4" w:rsidRPr="004026FB">
        <w:t>,</w:t>
      </w:r>
      <w:r w:rsidRPr="004026FB">
        <w:t xml:space="preserve"> and along the Hurstbridge rail line where groundwater is closer to the surface.</w:t>
      </w:r>
    </w:p>
    <w:p w14:paraId="193B3985" w14:textId="77777777" w:rsidR="00574218" w:rsidRPr="004026FB" w:rsidRDefault="00574218" w:rsidP="00574218">
      <w:pPr>
        <w:pStyle w:val="BodyText"/>
      </w:pPr>
      <w:r w:rsidRPr="004026FB">
        <w:t xml:space="preserve">From the northern tunnel portal to the Eastern Freeway, the groundwater table is generally less than 10 metres below the ground surface. Within the Yarra River and </w:t>
      </w:r>
      <w:proofErr w:type="spellStart"/>
      <w:r w:rsidRPr="004026FB">
        <w:t>Koonung</w:t>
      </w:r>
      <w:proofErr w:type="spellEnd"/>
      <w:r w:rsidRPr="004026FB">
        <w:t xml:space="preserve"> Creek floodplains, groundwater levels can be within five metres below the ground surface.</w:t>
      </w:r>
    </w:p>
    <w:p w14:paraId="101A5659" w14:textId="77777777" w:rsidR="00574218" w:rsidRPr="004026FB" w:rsidRDefault="00574218" w:rsidP="00574218">
      <w:pPr>
        <w:pStyle w:val="BodyText"/>
      </w:pPr>
      <w:r w:rsidRPr="004026FB">
        <w:t xml:space="preserve">Around the Eastern Freeway, the groundwater table is generally five to 10 metres below the ground surface to the west of Bulleen Road, and potentially less than five metres below the ground surface to the east of Bulleen Road. Shallower groundwater levels are likely to be encountered within the floodplains of the Yarra River and </w:t>
      </w:r>
      <w:proofErr w:type="spellStart"/>
      <w:r w:rsidRPr="004026FB">
        <w:t>Koonung</w:t>
      </w:r>
      <w:proofErr w:type="spellEnd"/>
      <w:r w:rsidRPr="004026FB">
        <w:t xml:space="preserve"> Creek.</w:t>
      </w:r>
    </w:p>
    <w:p w14:paraId="4EBED817" w14:textId="6D07D5ED" w:rsidR="00574218" w:rsidRPr="004026FB" w:rsidRDefault="00574218" w:rsidP="00574218">
      <w:pPr>
        <w:pStyle w:val="BodyText"/>
      </w:pPr>
      <w:r w:rsidRPr="004026FB">
        <w:fldChar w:fldCharType="begin"/>
      </w:r>
      <w:r w:rsidRPr="004026FB">
        <w:instrText xml:space="preserve"> REF _Ref534126814 \h  \* MERGEFORMAT </w:instrText>
      </w:r>
      <w:r w:rsidRPr="004026FB">
        <w:fldChar w:fldCharType="separate"/>
      </w:r>
      <w:r w:rsidR="007530D3" w:rsidRPr="007530D3">
        <w:t>Figure 8</w:t>
      </w:r>
      <w:r w:rsidR="007530D3" w:rsidRPr="007530D3">
        <w:noBreakHyphen/>
        <w:t>3</w:t>
      </w:r>
      <w:r w:rsidRPr="004026FB">
        <w:fldChar w:fldCharType="end"/>
      </w:r>
      <w:r w:rsidRPr="004026FB">
        <w:t xml:space="preserve"> shows the modelled groundwater levels for the area. </w:t>
      </w:r>
    </w:p>
    <w:p w14:paraId="70314CDD" w14:textId="77777777" w:rsidR="00574218" w:rsidRPr="004026FB" w:rsidRDefault="00574218" w:rsidP="00574218">
      <w:pPr>
        <w:pStyle w:val="BodyText"/>
        <w:sectPr w:rsidR="00574218" w:rsidRPr="004026FB" w:rsidSect="00832F82">
          <w:headerReference w:type="even" r:id="rId21"/>
          <w:headerReference w:type="default" r:id="rId22"/>
          <w:pgSz w:w="11906" w:h="16838" w:code="9"/>
          <w:pgMar w:top="1134" w:right="1134" w:bottom="1134" w:left="1134" w:header="567" w:footer="567" w:gutter="567"/>
          <w:pgNumType w:chapStyle="1" w:chapSep="enDash"/>
          <w:cols w:space="708"/>
          <w:docGrid w:linePitch="360"/>
        </w:sectPr>
      </w:pPr>
    </w:p>
    <w:p w14:paraId="1597028A" w14:textId="26E95F95" w:rsidR="00574218" w:rsidRPr="004026FB" w:rsidRDefault="00D84383" w:rsidP="00BA3E89">
      <w:pPr>
        <w:pStyle w:val="Object"/>
      </w:pPr>
      <w:r w:rsidRPr="004026FB">
        <w:rPr>
          <w:noProof/>
          <w:lang w:eastAsia="en-AU"/>
        </w:rPr>
        <w:lastRenderedPageBreak/>
        <w:drawing>
          <wp:inline distT="0" distB="0" distL="0" distR="0" wp14:anchorId="62049219" wp14:editId="0D109429">
            <wp:extent cx="6840000" cy="4784447"/>
            <wp:effectExtent l="0" t="0" r="0" b="0"/>
            <wp:docPr id="1" name="Picture 1" descr="This figure shows the water table with regional flow, around the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35006_8.3_GWGIS04_EES_PER_Chap_A4_Half_revB.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40000" cy="4784447"/>
                    </a:xfrm>
                    <a:prstGeom prst="rect">
                      <a:avLst/>
                    </a:prstGeom>
                  </pic:spPr>
                </pic:pic>
              </a:graphicData>
            </a:graphic>
          </wp:inline>
        </w:drawing>
      </w:r>
    </w:p>
    <w:p w14:paraId="03F415D9" w14:textId="1BFE94B4" w:rsidR="009E168B" w:rsidRPr="004026FB" w:rsidRDefault="00574218" w:rsidP="009E168B">
      <w:pPr>
        <w:pStyle w:val="CaptionFigure"/>
      </w:pPr>
      <w:bookmarkStart w:id="27" w:name="_Ref534126814"/>
      <w:bookmarkStart w:id="28" w:name="_Toc3641416"/>
      <w:bookmarkStart w:id="29" w:name="_Toc19489094"/>
      <w:r w:rsidRPr="004026FB">
        <w:rPr>
          <w:rStyle w:val="CharacterStyle-BrightColour"/>
        </w:rPr>
        <w:t>Figure</w:t>
      </w:r>
      <w:r w:rsidR="00673E7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3</w:t>
      </w:r>
      <w:r w:rsidR="00E175A2" w:rsidRPr="004026FB">
        <w:rPr>
          <w:rStyle w:val="CharacterStyle-BrightColour"/>
        </w:rPr>
        <w:fldChar w:fldCharType="end"/>
      </w:r>
      <w:bookmarkEnd w:id="27"/>
      <w:r w:rsidRPr="004026FB">
        <w:tab/>
        <w:t>Modelled water table, with regional flow, around North East Link</w:t>
      </w:r>
      <w:bookmarkEnd w:id="28"/>
      <w:bookmarkEnd w:id="29"/>
    </w:p>
    <w:p w14:paraId="04178458" w14:textId="77777777" w:rsidR="00574218" w:rsidRPr="004026FB" w:rsidRDefault="00574218" w:rsidP="00FF4A5B">
      <w:pPr>
        <w:pStyle w:val="BodyText"/>
        <w:sectPr w:rsidR="00574218" w:rsidRPr="004026FB" w:rsidSect="00574218">
          <w:headerReference w:type="even" r:id="rId24"/>
          <w:headerReference w:type="default" r:id="rId25"/>
          <w:pgSz w:w="16838" w:h="11906" w:orient="landscape" w:code="9"/>
          <w:pgMar w:top="1134" w:right="1134" w:bottom="1134" w:left="1134" w:header="567" w:footer="567" w:gutter="567"/>
          <w:pgNumType w:chapStyle="1" w:chapSep="enDash"/>
          <w:cols w:space="708"/>
          <w:docGrid w:linePitch="360"/>
        </w:sectPr>
      </w:pPr>
    </w:p>
    <w:p w14:paraId="3044EDB5" w14:textId="77777777" w:rsidR="00574218" w:rsidRPr="004026FB" w:rsidRDefault="00574218" w:rsidP="00A72817">
      <w:pPr>
        <w:pStyle w:val="Heading3"/>
        <w:spacing w:before="0"/>
      </w:pPr>
      <w:bookmarkStart w:id="30" w:name="_Toc3641366"/>
      <w:bookmarkStart w:id="31" w:name="_Toc19489068"/>
      <w:r w:rsidRPr="004026FB">
        <w:lastRenderedPageBreak/>
        <w:t>Groundwater characteristics</w:t>
      </w:r>
      <w:bookmarkEnd w:id="30"/>
      <w:bookmarkEnd w:id="31"/>
      <w:r w:rsidRPr="004026FB">
        <w:t xml:space="preserve"> </w:t>
      </w:r>
    </w:p>
    <w:p w14:paraId="5F6001A8" w14:textId="77777777" w:rsidR="00574218" w:rsidRPr="004026FB" w:rsidRDefault="00574218" w:rsidP="00A72817">
      <w:pPr>
        <w:pStyle w:val="BodyText"/>
      </w:pPr>
      <w:r w:rsidRPr="004026FB">
        <w:t xml:space="preserve">In accordance with item (c) in Section 2.5.2.1 of the PER Guidelines, this subsection provides details of additional groundwater characteristics. This supplements the information provided in Chapter 5 – Description of the environment. Further information is also provided in PER Technical Appendix B – Groundwater technical report. </w:t>
      </w:r>
    </w:p>
    <w:p w14:paraId="012C801F" w14:textId="77777777" w:rsidR="00574218" w:rsidRPr="004026FB" w:rsidRDefault="00574218" w:rsidP="00574218">
      <w:pPr>
        <w:pStyle w:val="Heading4"/>
      </w:pPr>
      <w:r w:rsidRPr="004026FB">
        <w:t>Horizontal hydraulic conductivity – site-testing results</w:t>
      </w:r>
    </w:p>
    <w:p w14:paraId="233BE2EE" w14:textId="77777777" w:rsidR="00574218" w:rsidRPr="004026FB" w:rsidRDefault="00574218" w:rsidP="00A72817">
      <w:pPr>
        <w:pStyle w:val="BodyText"/>
      </w:pPr>
      <w:r w:rsidRPr="004026FB">
        <w:t xml:space="preserve">Hydraulic conductivity (K) is defined as the ease with which water can move through pore spaces or fractures. It is dependent on the intrinsic permeability of the material, the degree of saturation and the density of the water. Hydraulic conductivity is measured at right angles to the direction of the flow. </w:t>
      </w:r>
    </w:p>
    <w:p w14:paraId="4B7D8ABF" w14:textId="0E343E8D" w:rsidR="00574218" w:rsidRPr="004026FB" w:rsidRDefault="00574218" w:rsidP="00A72817">
      <w:pPr>
        <w:pStyle w:val="BodyText"/>
      </w:pPr>
      <w:r w:rsidRPr="004026FB">
        <w:t>To characterise material permeabilities, three approaches were applied during site investigation activities to characterise aquifer hydraulic conductivity:</w:t>
      </w:r>
    </w:p>
    <w:p w14:paraId="2A408EE7" w14:textId="5EC438C8" w:rsidR="00574218" w:rsidRPr="004026FB" w:rsidRDefault="00574218" w:rsidP="00574218">
      <w:pPr>
        <w:pStyle w:val="BodyBullet1"/>
      </w:pPr>
      <w:r w:rsidRPr="004026FB">
        <w:t>Packer testing of geotechnical boreholes –</w:t>
      </w:r>
      <w:r w:rsidR="00A72817" w:rsidRPr="004026FB">
        <w:t xml:space="preserve"> </w:t>
      </w:r>
      <w:r w:rsidRPr="004026FB">
        <w:t>packer testing involves the use of bladders or packers to isolate different regions of the borehole</w:t>
      </w:r>
      <w:r w:rsidR="008D0DEB" w:rsidRPr="004026FB">
        <w:t>. Water is injected into a zone within the borehole isolated by the packers and measurements made of flow rates over time</w:t>
      </w:r>
    </w:p>
    <w:p w14:paraId="09B6F70F" w14:textId="77777777" w:rsidR="00574218" w:rsidRPr="004026FB" w:rsidRDefault="00574218" w:rsidP="00574218">
      <w:pPr>
        <w:pStyle w:val="BodyBullet1"/>
      </w:pPr>
      <w:r w:rsidRPr="004026FB">
        <w:t xml:space="preserve">Single bore slug testing of monitoring bores – slug testing measures the water level response in a well after a sudden change in water level (rise or fall) </w:t>
      </w:r>
    </w:p>
    <w:p w14:paraId="4B30A455" w14:textId="28C333B7" w:rsidR="00574218" w:rsidRPr="004026FB" w:rsidRDefault="00574218" w:rsidP="00574218">
      <w:pPr>
        <w:pStyle w:val="BodyBullet1"/>
      </w:pPr>
      <w:r w:rsidRPr="004026FB">
        <w:t xml:space="preserve">Aquifer pumping tests </w:t>
      </w:r>
      <w:r w:rsidR="00A72817" w:rsidRPr="004026FB">
        <w:t>–</w:t>
      </w:r>
      <w:r w:rsidRPr="004026FB">
        <w:t xml:space="preserve"> aquifer pumping tests are conducted to evaluate aquifers by stimulating the aquifer through constant pumping and observing the response in observation wells.</w:t>
      </w:r>
      <w:r w:rsidR="008D0DEB" w:rsidRPr="004026FB">
        <w:t xml:space="preserve"> Typically occurring over days in duration, they are considered more robust than slug testing.</w:t>
      </w:r>
    </w:p>
    <w:p w14:paraId="241D3F53" w14:textId="1DDDDAEF" w:rsidR="00574218" w:rsidRPr="004026FB" w:rsidRDefault="00574218" w:rsidP="00673E79">
      <w:pPr>
        <w:pStyle w:val="BodyText"/>
      </w:pPr>
      <w:r w:rsidRPr="004026FB">
        <w:t xml:space="preserve">The testing was mostly focused to those areas of North East Link that would be below grade as either a tunnel or trench structure that intersected the water table. The hydraulic conductivity testing is summarised in </w:t>
      </w:r>
      <w:r w:rsidR="005C097A" w:rsidRPr="004026FB">
        <w:rPr>
          <w:rStyle w:val="BodyTextChar"/>
        </w:rPr>
        <w:fldChar w:fldCharType="begin"/>
      </w:r>
      <w:r w:rsidR="005C097A" w:rsidRPr="004026FB">
        <w:rPr>
          <w:rStyle w:val="BodyTextChar"/>
        </w:rPr>
        <w:instrText xml:space="preserve"> REF _Ref4598680 \h  \* MERGEFORMAT </w:instrText>
      </w:r>
      <w:r w:rsidR="005C097A" w:rsidRPr="004026FB">
        <w:rPr>
          <w:rStyle w:val="BodyTextChar"/>
        </w:rPr>
      </w:r>
      <w:r w:rsidR="005C097A" w:rsidRPr="004026FB">
        <w:rPr>
          <w:rStyle w:val="BodyTextChar"/>
        </w:rPr>
        <w:fldChar w:fldCharType="separate"/>
      </w:r>
      <w:r w:rsidR="007530D3" w:rsidRPr="007530D3">
        <w:rPr>
          <w:rStyle w:val="BodyTextChar"/>
        </w:rPr>
        <w:t>Table 8</w:t>
      </w:r>
      <w:r w:rsidR="007530D3" w:rsidRPr="007530D3">
        <w:rPr>
          <w:rStyle w:val="BodyTextChar"/>
        </w:rPr>
        <w:noBreakHyphen/>
        <w:t>1</w:t>
      </w:r>
      <w:r w:rsidR="005C097A" w:rsidRPr="004026FB">
        <w:rPr>
          <w:rStyle w:val="BodyTextChar"/>
        </w:rPr>
        <w:fldChar w:fldCharType="end"/>
      </w:r>
      <w:r w:rsidR="005C097A" w:rsidRPr="004026FB">
        <w:t xml:space="preserve"> </w:t>
      </w:r>
      <w:r w:rsidRPr="004026FB">
        <w:t xml:space="preserve">and </w:t>
      </w:r>
      <w:r w:rsidR="005C097A" w:rsidRPr="004026FB">
        <w:rPr>
          <w:rStyle w:val="BodyTextChar"/>
        </w:rPr>
        <w:fldChar w:fldCharType="begin"/>
      </w:r>
      <w:r w:rsidR="005C097A" w:rsidRPr="004026FB">
        <w:rPr>
          <w:rStyle w:val="BodyTextChar"/>
        </w:rPr>
        <w:instrText xml:space="preserve"> REF _Ref4598702 \h  \* MERGEFORMAT </w:instrText>
      </w:r>
      <w:r w:rsidR="005C097A" w:rsidRPr="004026FB">
        <w:rPr>
          <w:rStyle w:val="BodyTextChar"/>
        </w:rPr>
      </w:r>
      <w:r w:rsidR="005C097A" w:rsidRPr="004026FB">
        <w:rPr>
          <w:rStyle w:val="BodyTextChar"/>
        </w:rPr>
        <w:fldChar w:fldCharType="separate"/>
      </w:r>
      <w:r w:rsidR="007530D3" w:rsidRPr="007530D3">
        <w:rPr>
          <w:rStyle w:val="BodyTextChar"/>
        </w:rPr>
        <w:t>Table 8</w:t>
      </w:r>
      <w:r w:rsidR="007530D3" w:rsidRPr="007530D3">
        <w:rPr>
          <w:rStyle w:val="BodyTextChar"/>
        </w:rPr>
        <w:noBreakHyphen/>
        <w:t>2</w:t>
      </w:r>
      <w:r w:rsidR="005C097A" w:rsidRPr="004026FB">
        <w:rPr>
          <w:rStyle w:val="BodyTextChar"/>
        </w:rPr>
        <w:fldChar w:fldCharType="end"/>
      </w:r>
      <w:r w:rsidR="005C097A" w:rsidRPr="004026FB">
        <w:t xml:space="preserve"> </w:t>
      </w:r>
      <w:r w:rsidRPr="004026FB">
        <w:t xml:space="preserve">for the packer testing and single bore slug testing respectively. </w:t>
      </w:r>
    </w:p>
    <w:p w14:paraId="0B167D6D" w14:textId="01492388" w:rsidR="00574218" w:rsidRPr="004026FB" w:rsidRDefault="00574218" w:rsidP="00574218">
      <w:pPr>
        <w:pStyle w:val="Caption"/>
      </w:pPr>
      <w:bookmarkStart w:id="32" w:name="_Ref4598680"/>
      <w:bookmarkStart w:id="33" w:name="_Toc19489084"/>
      <w:r w:rsidRPr="004026FB">
        <w:rPr>
          <w:rStyle w:val="CharacterStyle-BrightColour"/>
        </w:rPr>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1</w:t>
      </w:r>
      <w:r w:rsidRPr="004026FB">
        <w:rPr>
          <w:rStyle w:val="CharacterStyle-BrightColour"/>
        </w:rPr>
        <w:fldChar w:fldCharType="end"/>
      </w:r>
      <w:bookmarkEnd w:id="32"/>
      <w:r w:rsidRPr="004026FB">
        <w:tab/>
        <w:t>Hydraulic conductivity estimates – packer testing</w:t>
      </w:r>
      <w:bookmarkEnd w:id="33"/>
    </w:p>
    <w:tbl>
      <w:tblPr>
        <w:tblW w:w="0" w:type="auto"/>
        <w:tblLayout w:type="fixed"/>
        <w:tblLook w:val="04A0" w:firstRow="1" w:lastRow="0" w:firstColumn="1" w:lastColumn="0" w:noHBand="0" w:noVBand="1"/>
      </w:tblPr>
      <w:tblGrid>
        <w:gridCol w:w="993"/>
        <w:gridCol w:w="1276"/>
        <w:gridCol w:w="2126"/>
        <w:gridCol w:w="1558"/>
        <w:gridCol w:w="1559"/>
        <w:gridCol w:w="1559"/>
      </w:tblGrid>
      <w:tr w:rsidR="00A72817" w:rsidRPr="004026FB" w14:paraId="26F48202" w14:textId="77777777" w:rsidTr="00A72817">
        <w:trPr>
          <w:trHeight w:val="366"/>
        </w:trPr>
        <w:tc>
          <w:tcPr>
            <w:tcW w:w="993" w:type="dxa"/>
            <w:vMerge w:val="restart"/>
            <w:tcBorders>
              <w:top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78D67478" w14:textId="7B53B28C" w:rsidR="00574218" w:rsidRPr="004026FB" w:rsidRDefault="00574218" w:rsidP="00A72817">
            <w:pPr>
              <w:pStyle w:val="TableHeadingWhiteFont"/>
            </w:pPr>
            <w:r w:rsidRPr="004026FB">
              <w:t>Aquifer</w:t>
            </w:r>
          </w:p>
        </w:tc>
        <w:tc>
          <w:tcPr>
            <w:tcW w:w="1276"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563F106F" w14:textId="54F58C09" w:rsidR="00574218" w:rsidRPr="004026FB" w:rsidRDefault="00574218" w:rsidP="00A72817">
            <w:pPr>
              <w:pStyle w:val="TableHeadingWhiteFont"/>
            </w:pPr>
            <w:r w:rsidRPr="004026FB">
              <w:t>No. of tests</w:t>
            </w:r>
          </w:p>
        </w:tc>
        <w:tc>
          <w:tcPr>
            <w:tcW w:w="2126"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0871703D" w14:textId="6B0A13C0" w:rsidR="00574218" w:rsidRPr="004026FB" w:rsidRDefault="00574218" w:rsidP="00A72817">
            <w:pPr>
              <w:pStyle w:val="TableHeadingWhiteFont"/>
            </w:pPr>
            <w:r w:rsidRPr="004026FB">
              <w:t>Unit</w:t>
            </w:r>
          </w:p>
        </w:tc>
        <w:tc>
          <w:tcPr>
            <w:tcW w:w="4676" w:type="dxa"/>
            <w:gridSpan w:val="3"/>
            <w:tcBorders>
              <w:top w:val="single" w:sz="4" w:space="0" w:color="636569" w:themeColor="text2"/>
              <w:left w:val="single" w:sz="4" w:space="0" w:color="636569" w:themeColor="text2"/>
              <w:bottom w:val="single" w:sz="4" w:space="0" w:color="636569" w:themeColor="text2"/>
            </w:tcBorders>
            <w:shd w:val="clear" w:color="auto" w:fill="009A44" w:themeFill="accent2"/>
            <w:vAlign w:val="bottom"/>
          </w:tcPr>
          <w:p w14:paraId="53D4D4CC" w14:textId="1F49054E" w:rsidR="00574218" w:rsidRPr="004026FB" w:rsidRDefault="00574218" w:rsidP="00A72817">
            <w:pPr>
              <w:pStyle w:val="TableHeadingWhiteFont"/>
              <w:jc w:val="center"/>
            </w:pPr>
            <w:r w:rsidRPr="004026FB">
              <w:t>Hydraulic conductivity (K)</w:t>
            </w:r>
          </w:p>
        </w:tc>
      </w:tr>
      <w:tr w:rsidR="00A72817" w:rsidRPr="004026FB" w14:paraId="2857F2A8" w14:textId="77777777" w:rsidTr="00A72817">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50DDD7A3" w14:textId="77777777" w:rsidR="00574218" w:rsidRPr="004026FB" w:rsidRDefault="00574218" w:rsidP="00A72817">
            <w:pPr>
              <w:pStyle w:val="TableHeadingWhiteFont"/>
              <w:jc w:val="center"/>
            </w:pPr>
          </w:p>
        </w:tc>
        <w:tc>
          <w:tcPr>
            <w:tcW w:w="1276"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69A66FC3" w14:textId="77777777" w:rsidR="00574218" w:rsidRPr="004026FB" w:rsidRDefault="00574218" w:rsidP="00A72817">
            <w:pPr>
              <w:pStyle w:val="TableHeadingWhiteFont"/>
              <w:jc w:val="center"/>
            </w:pPr>
          </w:p>
        </w:tc>
        <w:tc>
          <w:tcPr>
            <w:tcW w:w="2126"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236B6B1C" w14:textId="77777777" w:rsidR="00574218" w:rsidRPr="004026FB" w:rsidRDefault="00574218" w:rsidP="00A72817">
            <w:pPr>
              <w:pStyle w:val="TableHeadingWhiteFont"/>
              <w:jc w:val="center"/>
            </w:pP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7332" w:themeFill="accent2" w:themeFillShade="BF"/>
            <w:vAlign w:val="bottom"/>
          </w:tcPr>
          <w:p w14:paraId="311A8D18" w14:textId="4F5D527C" w:rsidR="00574218" w:rsidRPr="004026FB" w:rsidRDefault="00574218" w:rsidP="00A72817">
            <w:pPr>
              <w:pStyle w:val="TableHeadingWhiteFont"/>
              <w:jc w:val="center"/>
            </w:pPr>
            <w:r w:rsidRPr="004026FB">
              <w:t>Minimum</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7332" w:themeFill="accent2" w:themeFillShade="BF"/>
            <w:vAlign w:val="bottom"/>
          </w:tcPr>
          <w:p w14:paraId="62A391DB" w14:textId="4A322E05" w:rsidR="00574218" w:rsidRPr="004026FB" w:rsidRDefault="00574218" w:rsidP="00A72817">
            <w:pPr>
              <w:pStyle w:val="TableHeadingWhiteFont"/>
              <w:jc w:val="center"/>
            </w:pPr>
            <w:r w:rsidRPr="004026FB">
              <w:t>Maximum</w:t>
            </w:r>
          </w:p>
        </w:tc>
        <w:tc>
          <w:tcPr>
            <w:tcW w:w="1559" w:type="dxa"/>
            <w:tcBorders>
              <w:top w:val="single" w:sz="4" w:space="0" w:color="636569" w:themeColor="text2"/>
              <w:left w:val="single" w:sz="4" w:space="0" w:color="636569" w:themeColor="text2"/>
              <w:bottom w:val="single" w:sz="4" w:space="0" w:color="636569" w:themeColor="text2"/>
            </w:tcBorders>
            <w:shd w:val="clear" w:color="auto" w:fill="007332" w:themeFill="accent2" w:themeFillShade="BF"/>
            <w:vAlign w:val="bottom"/>
          </w:tcPr>
          <w:p w14:paraId="381F6AFB" w14:textId="021C60E5" w:rsidR="00574218" w:rsidRPr="004026FB" w:rsidRDefault="00574218" w:rsidP="00A72817">
            <w:pPr>
              <w:pStyle w:val="TableHeadingWhiteFont"/>
              <w:jc w:val="center"/>
            </w:pPr>
            <w:r w:rsidRPr="004026FB">
              <w:t>Geometric mean</w:t>
            </w:r>
          </w:p>
        </w:tc>
      </w:tr>
      <w:tr w:rsidR="00F4595E" w:rsidRPr="004026FB" w14:paraId="2D563A30" w14:textId="77777777" w:rsidTr="00F4595E">
        <w:trPr>
          <w:trHeight w:val="366"/>
        </w:trPr>
        <w:tc>
          <w:tcPr>
            <w:tcW w:w="993" w:type="dxa"/>
            <w:vMerge w:val="restart"/>
            <w:tcBorders>
              <w:top w:val="single" w:sz="4" w:space="0" w:color="636569" w:themeColor="text2"/>
              <w:bottom w:val="single" w:sz="4" w:space="0" w:color="636569" w:themeColor="text2"/>
              <w:right w:val="single" w:sz="4" w:space="0" w:color="636569" w:themeColor="text2"/>
            </w:tcBorders>
            <w:shd w:val="clear" w:color="auto" w:fill="E5F4EA"/>
          </w:tcPr>
          <w:p w14:paraId="0C177403" w14:textId="742E04AF" w:rsidR="00574218" w:rsidRPr="004026FB" w:rsidRDefault="00574218" w:rsidP="00574218">
            <w:pPr>
              <w:pStyle w:val="TableText"/>
            </w:pPr>
            <w:r w:rsidRPr="004026FB">
              <w:t>Bedrock</w:t>
            </w:r>
          </w:p>
        </w:tc>
        <w:tc>
          <w:tcPr>
            <w:tcW w:w="1276"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7ACA60E4" w14:textId="24769667" w:rsidR="00574218" w:rsidRPr="004026FB" w:rsidRDefault="00574218" w:rsidP="00574218">
            <w:pPr>
              <w:pStyle w:val="TableText"/>
            </w:pPr>
            <w:r w:rsidRPr="004026FB">
              <w:t>62 bores</w:t>
            </w:r>
            <w:r w:rsidRPr="004026FB">
              <w:br/>
              <w:t>(342 tests)</w:t>
            </w:r>
          </w:p>
        </w:tc>
        <w:tc>
          <w:tcPr>
            <w:tcW w:w="2126"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709E10B" w14:textId="7474A563" w:rsidR="00574218" w:rsidRPr="004026FB" w:rsidRDefault="00574218" w:rsidP="00574218">
            <w:pPr>
              <w:pStyle w:val="TableText"/>
            </w:pPr>
            <w:r w:rsidRPr="004026FB">
              <w:t>Lugeons</w:t>
            </w:r>
            <w:r w:rsidRPr="004026FB">
              <w:rPr>
                <w:vertAlign w:val="superscript"/>
              </w:rPr>
              <w:t>(1)</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40F407CF" w14:textId="2B963CAE" w:rsidR="00574218" w:rsidRPr="004026FB" w:rsidRDefault="00F4595E" w:rsidP="00B0184D">
            <w:pPr>
              <w:pStyle w:val="TableText"/>
              <w:tabs>
                <w:tab w:val="left" w:pos="599"/>
              </w:tabs>
            </w:pPr>
            <w:r w:rsidRPr="004026FB">
              <w:tab/>
            </w:r>
            <w:r w:rsidR="00574218" w:rsidRPr="004026FB">
              <w:t>0</w:t>
            </w:r>
            <w:r w:rsidR="00574218" w:rsidRPr="004026FB">
              <w:rPr>
                <w:vertAlign w:val="superscript"/>
              </w:rPr>
              <w:t>(2)</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CDC6923" w14:textId="3C8BC344" w:rsidR="00574218" w:rsidRPr="004026FB" w:rsidRDefault="00574218" w:rsidP="00F4595E">
            <w:pPr>
              <w:pStyle w:val="TableText"/>
              <w:jc w:val="center"/>
            </w:pPr>
            <w:r w:rsidRPr="004026FB">
              <w:t>198.3</w:t>
            </w:r>
          </w:p>
        </w:tc>
        <w:tc>
          <w:tcPr>
            <w:tcW w:w="1559" w:type="dxa"/>
            <w:tcBorders>
              <w:top w:val="single" w:sz="4" w:space="0" w:color="636569" w:themeColor="text2"/>
              <w:left w:val="single" w:sz="4" w:space="0" w:color="636569" w:themeColor="text2"/>
              <w:bottom w:val="single" w:sz="4" w:space="0" w:color="636569" w:themeColor="text2"/>
            </w:tcBorders>
          </w:tcPr>
          <w:p w14:paraId="5EBA54DB" w14:textId="58CED3FB" w:rsidR="00574218" w:rsidRPr="004026FB" w:rsidRDefault="00574218" w:rsidP="00F4595E">
            <w:pPr>
              <w:pStyle w:val="TableText"/>
              <w:jc w:val="center"/>
            </w:pPr>
            <w:r w:rsidRPr="004026FB">
              <w:t>1.12</w:t>
            </w:r>
          </w:p>
        </w:tc>
      </w:tr>
      <w:tr w:rsidR="00F4595E" w:rsidRPr="004026FB" w14:paraId="4A7F7CA0"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E5F4EA"/>
          </w:tcPr>
          <w:p w14:paraId="387BBEED" w14:textId="77777777" w:rsidR="00574218" w:rsidRPr="004026FB" w:rsidRDefault="00574218" w:rsidP="00574218">
            <w:pPr>
              <w:pStyle w:val="TableText"/>
            </w:pPr>
          </w:p>
        </w:tc>
        <w:tc>
          <w:tcPr>
            <w:tcW w:w="1276"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7E584E34" w14:textId="77777777" w:rsidR="00574218" w:rsidRPr="004026FB" w:rsidRDefault="00574218" w:rsidP="00574218">
            <w:pPr>
              <w:pStyle w:val="TableText"/>
            </w:pPr>
          </w:p>
        </w:tc>
        <w:tc>
          <w:tcPr>
            <w:tcW w:w="2126"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2A544AF2" w14:textId="11A71A94" w:rsidR="00574218" w:rsidRPr="004026FB" w:rsidRDefault="00574218" w:rsidP="00574218">
            <w:pPr>
              <w:pStyle w:val="TableText"/>
            </w:pPr>
            <w:r w:rsidRPr="004026FB">
              <w:t>m/sec (by conversion)</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1CBD255E" w14:textId="39B6E644" w:rsidR="00574218" w:rsidRPr="004026FB" w:rsidRDefault="00F4595E" w:rsidP="00B0184D">
            <w:pPr>
              <w:pStyle w:val="TableText"/>
              <w:tabs>
                <w:tab w:val="left" w:pos="599"/>
              </w:tabs>
            </w:pPr>
            <w:r w:rsidRPr="004026FB">
              <w:tab/>
            </w:r>
            <w:r w:rsidR="00574218" w:rsidRPr="004026FB">
              <w:t>0</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1F4F4005" w14:textId="3DE922E7" w:rsidR="00574218" w:rsidRPr="004026FB" w:rsidRDefault="00574218" w:rsidP="00F4595E">
            <w:pPr>
              <w:pStyle w:val="TableText"/>
              <w:jc w:val="center"/>
            </w:pPr>
            <w:r w:rsidRPr="004026FB">
              <w:t>2.3</w:t>
            </w:r>
            <w:r w:rsidR="00F4595E" w:rsidRPr="004026FB">
              <w:t> </w:t>
            </w:r>
            <w:r w:rsidRPr="004026FB">
              <w:t>x</w:t>
            </w:r>
            <w:r w:rsidR="00F4595E" w:rsidRPr="004026FB">
              <w:t> </w:t>
            </w:r>
            <w:r w:rsidRPr="004026FB">
              <w:t>10</w:t>
            </w:r>
            <w:r w:rsidRPr="004026FB">
              <w:rPr>
                <w:vertAlign w:val="superscript"/>
              </w:rPr>
              <w:t>-5</w:t>
            </w:r>
          </w:p>
        </w:tc>
        <w:tc>
          <w:tcPr>
            <w:tcW w:w="1559" w:type="dxa"/>
            <w:tcBorders>
              <w:top w:val="single" w:sz="4" w:space="0" w:color="636569" w:themeColor="text2"/>
              <w:left w:val="single" w:sz="4" w:space="0" w:color="636569" w:themeColor="text2"/>
              <w:bottom w:val="single" w:sz="4" w:space="0" w:color="636569" w:themeColor="text2"/>
            </w:tcBorders>
          </w:tcPr>
          <w:p w14:paraId="3E57D47C" w14:textId="4B8EDFA3" w:rsidR="00574218" w:rsidRPr="004026FB" w:rsidRDefault="00574218" w:rsidP="00F4595E">
            <w:pPr>
              <w:pStyle w:val="TableText"/>
              <w:jc w:val="center"/>
            </w:pPr>
            <w:r w:rsidRPr="004026FB">
              <w:t>1.2</w:t>
            </w:r>
            <w:r w:rsidR="00F4595E" w:rsidRPr="004026FB">
              <w:t> </w:t>
            </w:r>
            <w:r w:rsidRPr="004026FB">
              <w:t>x</w:t>
            </w:r>
            <w:r w:rsidR="00F4595E" w:rsidRPr="004026FB">
              <w:t> </w:t>
            </w:r>
            <w:r w:rsidRPr="004026FB">
              <w:t>10</w:t>
            </w:r>
            <w:r w:rsidRPr="004026FB">
              <w:rPr>
                <w:vertAlign w:val="superscript"/>
              </w:rPr>
              <w:t>-7</w:t>
            </w:r>
          </w:p>
        </w:tc>
      </w:tr>
      <w:tr w:rsidR="00F4595E" w:rsidRPr="004026FB" w14:paraId="3E0B1A98"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E5F4EA"/>
          </w:tcPr>
          <w:p w14:paraId="11F75EDD" w14:textId="77777777" w:rsidR="00574218" w:rsidRPr="004026FB" w:rsidRDefault="00574218" w:rsidP="00574218">
            <w:pPr>
              <w:pStyle w:val="TableText"/>
            </w:pPr>
          </w:p>
        </w:tc>
        <w:tc>
          <w:tcPr>
            <w:tcW w:w="1276"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59FF003A" w14:textId="77777777" w:rsidR="00574218" w:rsidRPr="004026FB" w:rsidRDefault="00574218" w:rsidP="00574218">
            <w:pPr>
              <w:pStyle w:val="TableText"/>
            </w:pPr>
          </w:p>
        </w:tc>
        <w:tc>
          <w:tcPr>
            <w:tcW w:w="2126"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715F0075" w14:textId="69B1889F" w:rsidR="00574218" w:rsidRPr="004026FB" w:rsidRDefault="00574218" w:rsidP="00574218">
            <w:pPr>
              <w:pStyle w:val="TableText"/>
            </w:pPr>
            <w:r w:rsidRPr="004026FB">
              <w:t>m/day (by conversion)</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26B896E6" w14:textId="636583B8" w:rsidR="00574218" w:rsidRPr="004026FB" w:rsidRDefault="00F4595E" w:rsidP="00B0184D">
            <w:pPr>
              <w:pStyle w:val="TableText"/>
              <w:tabs>
                <w:tab w:val="left" w:pos="599"/>
              </w:tabs>
            </w:pPr>
            <w:r w:rsidRPr="004026FB">
              <w:tab/>
            </w:r>
            <w:r w:rsidR="00574218" w:rsidRPr="004026FB">
              <w:t>0</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1281C9A1" w14:textId="70ED4FB9" w:rsidR="00574218" w:rsidRPr="004026FB" w:rsidRDefault="00574218" w:rsidP="00F4595E">
            <w:pPr>
              <w:pStyle w:val="TableText"/>
              <w:jc w:val="center"/>
            </w:pPr>
            <w:r w:rsidRPr="004026FB">
              <w:t>2</w:t>
            </w:r>
          </w:p>
        </w:tc>
        <w:tc>
          <w:tcPr>
            <w:tcW w:w="1559" w:type="dxa"/>
            <w:tcBorders>
              <w:top w:val="single" w:sz="4" w:space="0" w:color="636569" w:themeColor="text2"/>
              <w:left w:val="single" w:sz="4" w:space="0" w:color="636569" w:themeColor="text2"/>
              <w:bottom w:val="single" w:sz="4" w:space="0" w:color="636569" w:themeColor="text2"/>
            </w:tcBorders>
          </w:tcPr>
          <w:p w14:paraId="1820D153" w14:textId="14CF69A7" w:rsidR="00574218" w:rsidRPr="004026FB" w:rsidRDefault="00574218" w:rsidP="00F4595E">
            <w:pPr>
              <w:pStyle w:val="TableText"/>
              <w:jc w:val="center"/>
            </w:pPr>
            <w:r w:rsidRPr="004026FB">
              <w:t>1.2</w:t>
            </w:r>
            <w:r w:rsidR="00F4595E" w:rsidRPr="004026FB">
              <w:t> </w:t>
            </w:r>
            <w:r w:rsidRPr="004026FB">
              <w:t>x</w:t>
            </w:r>
            <w:r w:rsidR="00F4595E" w:rsidRPr="004026FB">
              <w:t> </w:t>
            </w:r>
            <w:r w:rsidRPr="004026FB">
              <w:t>10</w:t>
            </w:r>
            <w:r w:rsidRPr="004026FB">
              <w:rPr>
                <w:vertAlign w:val="superscript"/>
              </w:rPr>
              <w:t>-2</w:t>
            </w:r>
          </w:p>
        </w:tc>
      </w:tr>
    </w:tbl>
    <w:p w14:paraId="3D7A721E" w14:textId="77777777" w:rsidR="00574218" w:rsidRPr="004026FB" w:rsidRDefault="00574218" w:rsidP="00F4595E">
      <w:pPr>
        <w:pStyle w:val="Source"/>
        <w:spacing w:after="0"/>
      </w:pPr>
      <w:r w:rsidRPr="004026FB">
        <w:t xml:space="preserve">Notes: </w:t>
      </w:r>
    </w:p>
    <w:p w14:paraId="1D78B900" w14:textId="58E1A66C" w:rsidR="00574218" w:rsidRPr="004026FB" w:rsidRDefault="00F4595E" w:rsidP="00F4595E">
      <w:pPr>
        <w:pStyle w:val="Source"/>
        <w:spacing w:before="0" w:after="0"/>
        <w:ind w:left="340" w:hanging="340"/>
      </w:pPr>
      <w:r w:rsidRPr="004026FB">
        <w:t>(</w:t>
      </w:r>
      <w:r w:rsidR="00574218" w:rsidRPr="004026FB">
        <w:t>1</w:t>
      </w:r>
      <w:r w:rsidRPr="004026FB">
        <w:t>)</w:t>
      </w:r>
      <w:r w:rsidRPr="004026FB">
        <w:tab/>
      </w:r>
      <w:r w:rsidR="00574218" w:rsidRPr="004026FB">
        <w:t>1 Lugeon </w:t>
      </w:r>
      <w:r w:rsidR="00574218" w:rsidRPr="004026FB">
        <w:sym w:font="Symbol" w:char="F040"/>
      </w:r>
      <w:r w:rsidR="00574218" w:rsidRPr="004026FB">
        <w:t> 1.3</w:t>
      </w:r>
      <w:r w:rsidRPr="004026FB">
        <w:t> </w:t>
      </w:r>
      <w:r w:rsidR="00574218" w:rsidRPr="004026FB">
        <w:t>x</w:t>
      </w:r>
      <w:r w:rsidRPr="004026FB">
        <w:t> </w:t>
      </w:r>
      <w:r w:rsidR="00574218" w:rsidRPr="004026FB">
        <w:t>10</w:t>
      </w:r>
      <w:r w:rsidR="00574218" w:rsidRPr="004026FB">
        <w:rPr>
          <w:vertAlign w:val="superscript"/>
        </w:rPr>
        <w:t>-7</w:t>
      </w:r>
      <w:r w:rsidR="00574218" w:rsidRPr="004026FB">
        <w:t xml:space="preserve"> m/sec or </w:t>
      </w:r>
      <w:r w:rsidR="00574218" w:rsidRPr="004026FB">
        <w:sym w:font="Symbol" w:char="F040"/>
      </w:r>
      <w:r w:rsidRPr="004026FB">
        <w:t> </w:t>
      </w:r>
      <w:r w:rsidR="00574218" w:rsidRPr="004026FB">
        <w:t>0.01 m/day</w:t>
      </w:r>
    </w:p>
    <w:p w14:paraId="3B5DEF25" w14:textId="74E68881" w:rsidR="00574218" w:rsidRPr="004026FB" w:rsidRDefault="00F4595E" w:rsidP="00F4595E">
      <w:pPr>
        <w:pStyle w:val="Source"/>
        <w:spacing w:before="0"/>
        <w:ind w:left="340" w:hanging="340"/>
      </w:pPr>
      <w:r w:rsidRPr="004026FB">
        <w:t>(</w:t>
      </w:r>
      <w:r w:rsidR="00574218" w:rsidRPr="004026FB">
        <w:t>2</w:t>
      </w:r>
      <w:r w:rsidRPr="004026FB">
        <w:t>)</w:t>
      </w:r>
      <w:r w:rsidRPr="004026FB">
        <w:tab/>
      </w:r>
      <w:r w:rsidR="00574218" w:rsidRPr="004026FB">
        <w:t>No water uptake during testing.</w:t>
      </w:r>
    </w:p>
    <w:p w14:paraId="08D92EB9" w14:textId="2E4C8968" w:rsidR="00574218" w:rsidRPr="004026FB" w:rsidRDefault="00574218" w:rsidP="00574218">
      <w:pPr>
        <w:pStyle w:val="Caption"/>
      </w:pPr>
      <w:bookmarkStart w:id="34" w:name="_Ref4598702"/>
      <w:bookmarkStart w:id="35" w:name="_Toc19489085"/>
      <w:r w:rsidRPr="004026FB">
        <w:rPr>
          <w:rStyle w:val="CharacterStyle-BrightColour"/>
        </w:rPr>
        <w:lastRenderedPageBreak/>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2</w:t>
      </w:r>
      <w:r w:rsidRPr="004026FB">
        <w:rPr>
          <w:rStyle w:val="CharacterStyle-BrightColour"/>
        </w:rPr>
        <w:fldChar w:fldCharType="end"/>
      </w:r>
      <w:bookmarkEnd w:id="34"/>
      <w:r w:rsidRPr="004026FB">
        <w:tab/>
        <w:t>Hydraulic conductivity estimates – slug testing</w:t>
      </w:r>
      <w:bookmarkEnd w:id="35"/>
    </w:p>
    <w:tbl>
      <w:tblPr>
        <w:tblW w:w="0" w:type="auto"/>
        <w:tblLayout w:type="fixed"/>
        <w:tblLook w:val="04A0" w:firstRow="1" w:lastRow="0" w:firstColumn="1" w:lastColumn="0" w:noHBand="0" w:noVBand="1"/>
      </w:tblPr>
      <w:tblGrid>
        <w:gridCol w:w="993"/>
        <w:gridCol w:w="1134"/>
        <w:gridCol w:w="2268"/>
        <w:gridCol w:w="1558"/>
        <w:gridCol w:w="1559"/>
        <w:gridCol w:w="1559"/>
      </w:tblGrid>
      <w:tr w:rsidR="00574218" w:rsidRPr="004026FB" w14:paraId="653BE0EC" w14:textId="77777777" w:rsidTr="00F4595E">
        <w:trPr>
          <w:trHeight w:val="366"/>
        </w:trPr>
        <w:tc>
          <w:tcPr>
            <w:tcW w:w="993" w:type="dxa"/>
            <w:vMerge w:val="restart"/>
            <w:tcBorders>
              <w:top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0EE235A5" w14:textId="77777777" w:rsidR="00574218" w:rsidRPr="004026FB" w:rsidRDefault="00574218" w:rsidP="00A72817">
            <w:pPr>
              <w:pStyle w:val="TableHeadingWhiteFont"/>
            </w:pPr>
            <w:r w:rsidRPr="004026FB">
              <w:t>Aquifer</w:t>
            </w:r>
          </w:p>
        </w:tc>
        <w:tc>
          <w:tcPr>
            <w:tcW w:w="1134"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1730A488" w14:textId="77777777" w:rsidR="00574218" w:rsidRPr="004026FB" w:rsidRDefault="00574218" w:rsidP="00A72817">
            <w:pPr>
              <w:pStyle w:val="TableHeadingWhiteFont"/>
              <w:jc w:val="center"/>
            </w:pPr>
            <w:r w:rsidRPr="004026FB">
              <w:t>No. of tests</w:t>
            </w:r>
          </w:p>
        </w:tc>
        <w:tc>
          <w:tcPr>
            <w:tcW w:w="2268"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4024A19D" w14:textId="77777777" w:rsidR="00574218" w:rsidRPr="004026FB" w:rsidRDefault="00574218" w:rsidP="00F4595E">
            <w:pPr>
              <w:pStyle w:val="TableHeadingWhiteFont"/>
            </w:pPr>
            <w:r w:rsidRPr="004026FB">
              <w:t>Unit</w:t>
            </w:r>
          </w:p>
        </w:tc>
        <w:tc>
          <w:tcPr>
            <w:tcW w:w="4676" w:type="dxa"/>
            <w:gridSpan w:val="3"/>
            <w:tcBorders>
              <w:top w:val="single" w:sz="4" w:space="0" w:color="636569" w:themeColor="text2"/>
              <w:left w:val="single" w:sz="4" w:space="0" w:color="636569" w:themeColor="text2"/>
              <w:bottom w:val="single" w:sz="4" w:space="0" w:color="636569" w:themeColor="text2"/>
            </w:tcBorders>
            <w:shd w:val="clear" w:color="auto" w:fill="009A44" w:themeFill="accent2"/>
            <w:vAlign w:val="bottom"/>
          </w:tcPr>
          <w:p w14:paraId="5858E451" w14:textId="77777777" w:rsidR="00574218" w:rsidRPr="004026FB" w:rsidRDefault="00574218" w:rsidP="00A72817">
            <w:pPr>
              <w:pStyle w:val="TableHeadingWhiteFont"/>
              <w:jc w:val="center"/>
            </w:pPr>
            <w:r w:rsidRPr="004026FB">
              <w:t>Hydraulic conductivity (K)</w:t>
            </w:r>
          </w:p>
        </w:tc>
      </w:tr>
      <w:tr w:rsidR="00F4595E" w:rsidRPr="004026FB" w14:paraId="6E84D11D"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4530B459" w14:textId="77777777" w:rsidR="00574218" w:rsidRPr="004026FB" w:rsidRDefault="00574218" w:rsidP="00A72817">
            <w:pPr>
              <w:pStyle w:val="TableHeadingWhiteFont"/>
              <w:jc w:val="center"/>
            </w:pPr>
          </w:p>
        </w:tc>
        <w:tc>
          <w:tcPr>
            <w:tcW w:w="1134"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78838269" w14:textId="77777777" w:rsidR="00574218" w:rsidRPr="004026FB" w:rsidRDefault="00574218" w:rsidP="00A72817">
            <w:pPr>
              <w:pStyle w:val="TableHeadingWhiteFont"/>
              <w:jc w:val="center"/>
            </w:pPr>
          </w:p>
        </w:tc>
        <w:tc>
          <w:tcPr>
            <w:tcW w:w="2268"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9A44" w:themeFill="accent2"/>
            <w:vAlign w:val="bottom"/>
          </w:tcPr>
          <w:p w14:paraId="682EEC4E" w14:textId="77777777" w:rsidR="00574218" w:rsidRPr="004026FB" w:rsidRDefault="00574218" w:rsidP="00A72817">
            <w:pPr>
              <w:pStyle w:val="TableHeadingWhiteFont"/>
              <w:jc w:val="center"/>
            </w:pP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7332" w:themeFill="accent2" w:themeFillShade="BF"/>
            <w:vAlign w:val="bottom"/>
          </w:tcPr>
          <w:p w14:paraId="6B2C5768" w14:textId="77777777" w:rsidR="00574218" w:rsidRPr="004026FB" w:rsidRDefault="00574218" w:rsidP="00F4595E">
            <w:pPr>
              <w:pStyle w:val="TableHeadingWhiteFont"/>
              <w:jc w:val="center"/>
            </w:pPr>
            <w:r w:rsidRPr="004026FB">
              <w:t>Minimum</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007332" w:themeFill="accent2" w:themeFillShade="BF"/>
            <w:vAlign w:val="bottom"/>
          </w:tcPr>
          <w:p w14:paraId="1F222047" w14:textId="77777777" w:rsidR="00574218" w:rsidRPr="004026FB" w:rsidRDefault="00574218" w:rsidP="00F4595E">
            <w:pPr>
              <w:pStyle w:val="TableHeadingWhiteFont"/>
              <w:jc w:val="center"/>
            </w:pPr>
            <w:r w:rsidRPr="004026FB">
              <w:t>Maximum</w:t>
            </w:r>
          </w:p>
        </w:tc>
        <w:tc>
          <w:tcPr>
            <w:tcW w:w="1559" w:type="dxa"/>
            <w:tcBorders>
              <w:top w:val="single" w:sz="4" w:space="0" w:color="636569" w:themeColor="text2"/>
              <w:left w:val="single" w:sz="4" w:space="0" w:color="636569" w:themeColor="text2"/>
              <w:bottom w:val="single" w:sz="4" w:space="0" w:color="636569" w:themeColor="text2"/>
            </w:tcBorders>
            <w:shd w:val="clear" w:color="auto" w:fill="007332" w:themeFill="accent2" w:themeFillShade="BF"/>
            <w:vAlign w:val="bottom"/>
          </w:tcPr>
          <w:p w14:paraId="7B3D020E" w14:textId="77777777" w:rsidR="00574218" w:rsidRPr="004026FB" w:rsidRDefault="00574218" w:rsidP="00F4595E">
            <w:pPr>
              <w:pStyle w:val="TableHeadingWhiteFont"/>
              <w:jc w:val="center"/>
            </w:pPr>
            <w:r w:rsidRPr="004026FB">
              <w:t>Geometric mean</w:t>
            </w:r>
          </w:p>
        </w:tc>
      </w:tr>
      <w:tr w:rsidR="00577DDE" w:rsidRPr="004026FB" w14:paraId="2B763C3D" w14:textId="77777777" w:rsidTr="00F4595E">
        <w:trPr>
          <w:trHeight w:val="366"/>
        </w:trPr>
        <w:tc>
          <w:tcPr>
            <w:tcW w:w="993" w:type="dxa"/>
            <w:vMerge w:val="restart"/>
            <w:tcBorders>
              <w:top w:val="single" w:sz="4" w:space="0" w:color="636569" w:themeColor="text2"/>
              <w:bottom w:val="single" w:sz="4" w:space="0" w:color="636569" w:themeColor="text2"/>
              <w:right w:val="single" w:sz="4" w:space="0" w:color="636569" w:themeColor="text2"/>
            </w:tcBorders>
            <w:shd w:val="clear" w:color="auto" w:fill="E5F4EA"/>
          </w:tcPr>
          <w:p w14:paraId="78573374" w14:textId="5E77CA97" w:rsidR="00577DDE" w:rsidRPr="004026FB" w:rsidRDefault="00577DDE" w:rsidP="00577DDE">
            <w:pPr>
              <w:pStyle w:val="TableText"/>
            </w:pPr>
            <w:r w:rsidRPr="004026FB">
              <w:t>Bedrock</w:t>
            </w:r>
          </w:p>
        </w:tc>
        <w:tc>
          <w:tcPr>
            <w:tcW w:w="1134"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445DD4F6" w14:textId="34A3F1C0" w:rsidR="00577DDE" w:rsidRPr="004026FB" w:rsidRDefault="00577DDE" w:rsidP="00A72817">
            <w:pPr>
              <w:pStyle w:val="TableText"/>
              <w:jc w:val="center"/>
            </w:pPr>
            <w:r w:rsidRPr="004026FB">
              <w:t>22</w:t>
            </w:r>
          </w:p>
        </w:tc>
        <w:tc>
          <w:tcPr>
            <w:tcW w:w="226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5EBFC9E4" w14:textId="22DB6492" w:rsidR="00577DDE" w:rsidRPr="004026FB" w:rsidRDefault="00577DDE" w:rsidP="00577DDE">
            <w:pPr>
              <w:pStyle w:val="TableText"/>
            </w:pPr>
            <w:r w:rsidRPr="004026FB">
              <w:t>Lugeon (by conversion)</w:t>
            </w:r>
            <w:r w:rsidRPr="004026FB">
              <w:rPr>
                <w:vertAlign w:val="superscript"/>
              </w:rPr>
              <w:t>(1)</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7EB11893" w14:textId="528479E8" w:rsidR="00577DDE" w:rsidRPr="004026FB" w:rsidRDefault="00577DDE" w:rsidP="00F4595E">
            <w:pPr>
              <w:pStyle w:val="TableText"/>
              <w:jc w:val="center"/>
            </w:pPr>
            <w:r w:rsidRPr="004026FB">
              <w:t>0.8</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B08BD0E" w14:textId="3F45A40E" w:rsidR="00577DDE" w:rsidRPr="004026FB" w:rsidRDefault="00577DDE" w:rsidP="00F4595E">
            <w:pPr>
              <w:pStyle w:val="TableText"/>
              <w:jc w:val="center"/>
            </w:pPr>
            <w:r w:rsidRPr="004026FB">
              <w:t>123</w:t>
            </w:r>
          </w:p>
        </w:tc>
        <w:tc>
          <w:tcPr>
            <w:tcW w:w="1559" w:type="dxa"/>
            <w:tcBorders>
              <w:top w:val="single" w:sz="4" w:space="0" w:color="636569" w:themeColor="text2"/>
              <w:left w:val="single" w:sz="4" w:space="0" w:color="636569" w:themeColor="text2"/>
              <w:bottom w:val="single" w:sz="4" w:space="0" w:color="636569" w:themeColor="text2"/>
            </w:tcBorders>
          </w:tcPr>
          <w:p w14:paraId="4949B374" w14:textId="6DB380B4" w:rsidR="00577DDE" w:rsidRPr="004026FB" w:rsidRDefault="00577DDE" w:rsidP="00F4595E">
            <w:pPr>
              <w:pStyle w:val="TableText"/>
              <w:jc w:val="center"/>
            </w:pPr>
            <w:r w:rsidRPr="004026FB">
              <w:t>8.4</w:t>
            </w:r>
          </w:p>
        </w:tc>
      </w:tr>
      <w:tr w:rsidR="00577DDE" w:rsidRPr="004026FB" w14:paraId="3CED2D49"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E5F4EA"/>
          </w:tcPr>
          <w:p w14:paraId="71F1B47E" w14:textId="77777777" w:rsidR="00577DDE" w:rsidRPr="004026FB" w:rsidRDefault="00577DDE" w:rsidP="00577DDE">
            <w:pPr>
              <w:pStyle w:val="TableText"/>
            </w:pPr>
          </w:p>
        </w:tc>
        <w:tc>
          <w:tcPr>
            <w:tcW w:w="1134"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0A638C9" w14:textId="77777777" w:rsidR="00577DDE" w:rsidRPr="004026FB" w:rsidRDefault="00577DDE" w:rsidP="00A72817">
            <w:pPr>
              <w:pStyle w:val="TableText"/>
              <w:jc w:val="center"/>
            </w:pPr>
          </w:p>
        </w:tc>
        <w:tc>
          <w:tcPr>
            <w:tcW w:w="226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3DD7054" w14:textId="1A5D6E82" w:rsidR="00577DDE" w:rsidRPr="004026FB" w:rsidRDefault="00577DDE" w:rsidP="00577DDE">
            <w:pPr>
              <w:pStyle w:val="TableText"/>
            </w:pPr>
            <w:r w:rsidRPr="004026FB">
              <w:t>m/sec</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412B2347" w14:textId="57008B49" w:rsidR="00577DDE" w:rsidRPr="004026FB" w:rsidRDefault="00577DDE" w:rsidP="00F4595E">
            <w:pPr>
              <w:pStyle w:val="TableText"/>
              <w:jc w:val="center"/>
            </w:pPr>
            <w:r w:rsidRPr="004026FB">
              <w:t>1.1</w:t>
            </w:r>
            <w:r w:rsidR="00F4595E" w:rsidRPr="004026FB">
              <w:t> </w:t>
            </w:r>
            <w:r w:rsidRPr="004026FB">
              <w:t>x</w:t>
            </w:r>
            <w:r w:rsidR="00F4595E" w:rsidRPr="004026FB">
              <w:t> </w:t>
            </w:r>
            <w:r w:rsidRPr="004026FB">
              <w:t>10</w:t>
            </w:r>
            <w:r w:rsidRPr="004026FB">
              <w:rPr>
                <w:vertAlign w:val="superscript"/>
              </w:rPr>
              <w:t>-7</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2EF52FB0" w14:textId="7DCD02A7" w:rsidR="00577DDE" w:rsidRPr="004026FB" w:rsidRDefault="00577DDE" w:rsidP="00F4595E">
            <w:pPr>
              <w:pStyle w:val="TableText"/>
              <w:jc w:val="center"/>
            </w:pPr>
            <w:r w:rsidRPr="004026FB">
              <w:t>1.6</w:t>
            </w:r>
            <w:r w:rsidR="00F4595E" w:rsidRPr="004026FB">
              <w:t> </w:t>
            </w:r>
            <w:r w:rsidRPr="004026FB">
              <w:t>x</w:t>
            </w:r>
            <w:r w:rsidR="00F4595E" w:rsidRPr="004026FB">
              <w:t> </w:t>
            </w:r>
            <w:r w:rsidRPr="004026FB">
              <w:t>10</w:t>
            </w:r>
            <w:r w:rsidRPr="004026FB">
              <w:rPr>
                <w:vertAlign w:val="superscript"/>
              </w:rPr>
              <w:t>-5</w:t>
            </w:r>
          </w:p>
        </w:tc>
        <w:tc>
          <w:tcPr>
            <w:tcW w:w="1559" w:type="dxa"/>
            <w:tcBorders>
              <w:top w:val="single" w:sz="4" w:space="0" w:color="636569" w:themeColor="text2"/>
              <w:left w:val="single" w:sz="4" w:space="0" w:color="636569" w:themeColor="text2"/>
              <w:bottom w:val="single" w:sz="4" w:space="0" w:color="636569" w:themeColor="text2"/>
            </w:tcBorders>
          </w:tcPr>
          <w:p w14:paraId="0F334510" w14:textId="619079AA" w:rsidR="00577DDE" w:rsidRPr="004026FB" w:rsidRDefault="00577DDE" w:rsidP="00F4595E">
            <w:pPr>
              <w:pStyle w:val="TableText"/>
              <w:jc w:val="center"/>
            </w:pPr>
            <w:r w:rsidRPr="004026FB">
              <w:t>1.1</w:t>
            </w:r>
            <w:r w:rsidR="00F4595E" w:rsidRPr="004026FB">
              <w:t> </w:t>
            </w:r>
            <w:r w:rsidRPr="004026FB">
              <w:t>x</w:t>
            </w:r>
            <w:r w:rsidR="00F4595E" w:rsidRPr="004026FB">
              <w:t> </w:t>
            </w:r>
            <w:r w:rsidRPr="004026FB">
              <w:t>10</w:t>
            </w:r>
            <w:r w:rsidRPr="004026FB">
              <w:rPr>
                <w:vertAlign w:val="superscript"/>
              </w:rPr>
              <w:t>-6</w:t>
            </w:r>
          </w:p>
        </w:tc>
      </w:tr>
      <w:tr w:rsidR="00577DDE" w:rsidRPr="004026FB" w14:paraId="4CD1A7F9"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E5F4EA"/>
          </w:tcPr>
          <w:p w14:paraId="71EF2561" w14:textId="77777777" w:rsidR="00577DDE" w:rsidRPr="004026FB" w:rsidRDefault="00577DDE" w:rsidP="00577DDE">
            <w:pPr>
              <w:pStyle w:val="TableText"/>
            </w:pPr>
          </w:p>
        </w:tc>
        <w:tc>
          <w:tcPr>
            <w:tcW w:w="1134"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7E79EE99" w14:textId="77777777" w:rsidR="00577DDE" w:rsidRPr="004026FB" w:rsidRDefault="00577DDE" w:rsidP="00A72817">
            <w:pPr>
              <w:pStyle w:val="TableText"/>
              <w:jc w:val="center"/>
            </w:pPr>
          </w:p>
        </w:tc>
        <w:tc>
          <w:tcPr>
            <w:tcW w:w="226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26C3673C" w14:textId="2FE08976" w:rsidR="00577DDE" w:rsidRPr="004026FB" w:rsidRDefault="00577DDE" w:rsidP="00577DDE">
            <w:pPr>
              <w:pStyle w:val="TableText"/>
            </w:pPr>
            <w:r w:rsidRPr="004026FB">
              <w:t>m/day</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315C21D2" w14:textId="099CFFD3" w:rsidR="00577DDE" w:rsidRPr="004026FB" w:rsidRDefault="00577DDE" w:rsidP="00F4595E">
            <w:pPr>
              <w:pStyle w:val="TableText"/>
              <w:jc w:val="center"/>
            </w:pPr>
            <w:r w:rsidRPr="004026FB">
              <w:t>9.2</w:t>
            </w:r>
            <w:r w:rsidR="00F4595E" w:rsidRPr="004026FB">
              <w:t> </w:t>
            </w:r>
            <w:r w:rsidRPr="004026FB">
              <w:t>x</w:t>
            </w:r>
            <w:r w:rsidR="00F4595E" w:rsidRPr="004026FB">
              <w:t> </w:t>
            </w:r>
            <w:r w:rsidRPr="004026FB">
              <w:t>10</w:t>
            </w:r>
            <w:r w:rsidRPr="004026FB">
              <w:rPr>
                <w:vertAlign w:val="superscript"/>
              </w:rPr>
              <w:t>-3</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368A3188" w14:textId="0C64FE08" w:rsidR="00577DDE" w:rsidRPr="004026FB" w:rsidRDefault="00577DDE" w:rsidP="00F4595E">
            <w:pPr>
              <w:pStyle w:val="TableText"/>
              <w:jc w:val="center"/>
            </w:pPr>
            <w:r w:rsidRPr="004026FB">
              <w:t>1.4</w:t>
            </w:r>
          </w:p>
        </w:tc>
        <w:tc>
          <w:tcPr>
            <w:tcW w:w="1559" w:type="dxa"/>
            <w:tcBorders>
              <w:top w:val="single" w:sz="4" w:space="0" w:color="636569" w:themeColor="text2"/>
              <w:left w:val="single" w:sz="4" w:space="0" w:color="636569" w:themeColor="text2"/>
              <w:bottom w:val="single" w:sz="4" w:space="0" w:color="636569" w:themeColor="text2"/>
            </w:tcBorders>
          </w:tcPr>
          <w:p w14:paraId="6E9B09BE" w14:textId="1B669EDB" w:rsidR="00577DDE" w:rsidRPr="004026FB" w:rsidRDefault="00577DDE" w:rsidP="00F4595E">
            <w:pPr>
              <w:pStyle w:val="TableText"/>
              <w:jc w:val="center"/>
            </w:pPr>
            <w:r w:rsidRPr="004026FB">
              <w:t>1</w:t>
            </w:r>
            <w:r w:rsidR="00F4595E" w:rsidRPr="004026FB">
              <w:t> </w:t>
            </w:r>
            <w:r w:rsidRPr="004026FB">
              <w:t>x</w:t>
            </w:r>
            <w:r w:rsidR="00F4595E" w:rsidRPr="004026FB">
              <w:t> </w:t>
            </w:r>
            <w:r w:rsidRPr="004026FB">
              <w:t>10</w:t>
            </w:r>
            <w:r w:rsidRPr="004026FB">
              <w:rPr>
                <w:vertAlign w:val="superscript"/>
              </w:rPr>
              <w:t>-1</w:t>
            </w:r>
          </w:p>
        </w:tc>
      </w:tr>
      <w:tr w:rsidR="00577DDE" w:rsidRPr="004026FB" w14:paraId="2397AEFA" w14:textId="77777777" w:rsidTr="00F4595E">
        <w:trPr>
          <w:trHeight w:val="366"/>
        </w:trPr>
        <w:tc>
          <w:tcPr>
            <w:tcW w:w="993" w:type="dxa"/>
            <w:vMerge w:val="restart"/>
            <w:tcBorders>
              <w:top w:val="single" w:sz="4" w:space="0" w:color="636569" w:themeColor="text2"/>
              <w:bottom w:val="single" w:sz="4" w:space="0" w:color="636569" w:themeColor="text2"/>
              <w:right w:val="single" w:sz="4" w:space="0" w:color="636569" w:themeColor="text2"/>
            </w:tcBorders>
            <w:shd w:val="clear" w:color="auto" w:fill="E5F4EA"/>
          </w:tcPr>
          <w:p w14:paraId="5F245811" w14:textId="4B40273B" w:rsidR="00577DDE" w:rsidRPr="004026FB" w:rsidRDefault="00577DDE" w:rsidP="00577DDE">
            <w:pPr>
              <w:pStyle w:val="TableText"/>
            </w:pPr>
            <w:proofErr w:type="spellStart"/>
            <w:r w:rsidRPr="004026FB">
              <w:t>Alluvials</w:t>
            </w:r>
            <w:proofErr w:type="spellEnd"/>
          </w:p>
        </w:tc>
        <w:tc>
          <w:tcPr>
            <w:tcW w:w="1134" w:type="dxa"/>
            <w:vMerge w:val="restart"/>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10537758" w14:textId="772DE63C" w:rsidR="00577DDE" w:rsidRPr="004026FB" w:rsidRDefault="00577DDE" w:rsidP="00A72817">
            <w:pPr>
              <w:pStyle w:val="TableText"/>
              <w:jc w:val="center"/>
            </w:pPr>
            <w:r w:rsidRPr="004026FB">
              <w:t>8</w:t>
            </w:r>
          </w:p>
        </w:tc>
        <w:tc>
          <w:tcPr>
            <w:tcW w:w="226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D162569" w14:textId="36E689E7" w:rsidR="00577DDE" w:rsidRPr="004026FB" w:rsidRDefault="00577DDE" w:rsidP="00577DDE">
            <w:pPr>
              <w:pStyle w:val="TableText"/>
            </w:pPr>
            <w:r w:rsidRPr="004026FB">
              <w:t>m/sec</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05A62110" w14:textId="5CA23E02" w:rsidR="00577DDE" w:rsidRPr="004026FB" w:rsidRDefault="00577DDE" w:rsidP="00F4595E">
            <w:pPr>
              <w:pStyle w:val="TableText"/>
              <w:jc w:val="center"/>
            </w:pPr>
            <w:r w:rsidRPr="004026FB">
              <w:t>8.9</w:t>
            </w:r>
            <w:r w:rsidR="00F4595E" w:rsidRPr="004026FB">
              <w:t> </w:t>
            </w:r>
            <w:r w:rsidRPr="004026FB">
              <w:t>x</w:t>
            </w:r>
            <w:r w:rsidR="00F4595E" w:rsidRPr="004026FB">
              <w:t> </w:t>
            </w:r>
            <w:r w:rsidRPr="004026FB">
              <w:t>10</w:t>
            </w:r>
            <w:r w:rsidRPr="004026FB">
              <w:rPr>
                <w:vertAlign w:val="superscript"/>
              </w:rPr>
              <w:t>-6</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514F164A" w14:textId="422E11F1" w:rsidR="00577DDE" w:rsidRPr="004026FB" w:rsidRDefault="00577DDE" w:rsidP="00F4595E">
            <w:pPr>
              <w:pStyle w:val="TableText"/>
              <w:jc w:val="center"/>
            </w:pPr>
            <w:r w:rsidRPr="004026FB">
              <w:t>2.8</w:t>
            </w:r>
            <w:r w:rsidR="00F4595E" w:rsidRPr="004026FB">
              <w:t> </w:t>
            </w:r>
            <w:r w:rsidRPr="004026FB">
              <w:t>x</w:t>
            </w:r>
            <w:r w:rsidR="00F4595E" w:rsidRPr="004026FB">
              <w:t> </w:t>
            </w:r>
            <w:r w:rsidRPr="004026FB">
              <w:t>10</w:t>
            </w:r>
            <w:r w:rsidRPr="004026FB">
              <w:rPr>
                <w:vertAlign w:val="superscript"/>
              </w:rPr>
              <w:t>-4</w:t>
            </w:r>
          </w:p>
        </w:tc>
        <w:tc>
          <w:tcPr>
            <w:tcW w:w="1559" w:type="dxa"/>
            <w:tcBorders>
              <w:top w:val="single" w:sz="4" w:space="0" w:color="636569" w:themeColor="text2"/>
              <w:left w:val="single" w:sz="4" w:space="0" w:color="636569" w:themeColor="text2"/>
              <w:bottom w:val="single" w:sz="4" w:space="0" w:color="636569" w:themeColor="text2"/>
            </w:tcBorders>
          </w:tcPr>
          <w:p w14:paraId="6216E68E" w14:textId="628CA677" w:rsidR="00577DDE" w:rsidRPr="004026FB" w:rsidRDefault="00577DDE" w:rsidP="00F4595E">
            <w:pPr>
              <w:pStyle w:val="TableText"/>
              <w:jc w:val="center"/>
            </w:pPr>
            <w:r w:rsidRPr="004026FB">
              <w:t>3.8</w:t>
            </w:r>
            <w:r w:rsidR="00F4595E" w:rsidRPr="004026FB">
              <w:t> </w:t>
            </w:r>
            <w:r w:rsidRPr="004026FB">
              <w:t>x</w:t>
            </w:r>
            <w:r w:rsidR="00F4595E" w:rsidRPr="004026FB">
              <w:t> </w:t>
            </w:r>
            <w:r w:rsidRPr="004026FB">
              <w:t>10</w:t>
            </w:r>
            <w:r w:rsidRPr="004026FB">
              <w:rPr>
                <w:vertAlign w:val="superscript"/>
              </w:rPr>
              <w:t>-5</w:t>
            </w:r>
          </w:p>
        </w:tc>
      </w:tr>
      <w:tr w:rsidR="00577DDE" w:rsidRPr="004026FB" w14:paraId="2ACDEAFF" w14:textId="77777777" w:rsidTr="00F4595E">
        <w:trPr>
          <w:trHeight w:val="366"/>
        </w:trPr>
        <w:tc>
          <w:tcPr>
            <w:tcW w:w="993" w:type="dxa"/>
            <w:vMerge/>
            <w:tcBorders>
              <w:top w:val="single" w:sz="4" w:space="0" w:color="636569" w:themeColor="text2"/>
              <w:bottom w:val="single" w:sz="4" w:space="0" w:color="636569" w:themeColor="text2"/>
              <w:right w:val="single" w:sz="4" w:space="0" w:color="636569" w:themeColor="text2"/>
            </w:tcBorders>
            <w:shd w:val="clear" w:color="auto" w:fill="E5F4EA"/>
          </w:tcPr>
          <w:p w14:paraId="6C0B14F1" w14:textId="77777777" w:rsidR="00577DDE" w:rsidRPr="004026FB" w:rsidRDefault="00577DDE" w:rsidP="00577DDE">
            <w:pPr>
              <w:pStyle w:val="TableText"/>
            </w:pPr>
          </w:p>
        </w:tc>
        <w:tc>
          <w:tcPr>
            <w:tcW w:w="1134" w:type="dxa"/>
            <w:vMerge/>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002F4B47" w14:textId="77777777" w:rsidR="00577DDE" w:rsidRPr="004026FB" w:rsidRDefault="00577DDE" w:rsidP="00577DDE">
            <w:pPr>
              <w:pStyle w:val="TableText"/>
            </w:pPr>
          </w:p>
        </w:tc>
        <w:tc>
          <w:tcPr>
            <w:tcW w:w="226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3167A1A9" w14:textId="7E955C91" w:rsidR="00577DDE" w:rsidRPr="004026FB" w:rsidRDefault="00577DDE" w:rsidP="00577DDE">
            <w:pPr>
              <w:pStyle w:val="TableText"/>
            </w:pPr>
            <w:r w:rsidRPr="004026FB">
              <w:t>m/day</w:t>
            </w:r>
          </w:p>
        </w:tc>
        <w:tc>
          <w:tcPr>
            <w:tcW w:w="1558"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6FB19314" w14:textId="3504399E" w:rsidR="00577DDE" w:rsidRPr="004026FB" w:rsidRDefault="00577DDE" w:rsidP="00F4595E">
            <w:pPr>
              <w:pStyle w:val="TableText"/>
              <w:jc w:val="center"/>
            </w:pPr>
            <w:r w:rsidRPr="004026FB">
              <w:t>7.7</w:t>
            </w:r>
            <w:r w:rsidR="00F4595E" w:rsidRPr="004026FB">
              <w:t> </w:t>
            </w:r>
            <w:r w:rsidRPr="004026FB">
              <w:t>x</w:t>
            </w:r>
            <w:r w:rsidR="00F4595E" w:rsidRPr="004026FB">
              <w:t> </w:t>
            </w:r>
            <w:r w:rsidRPr="004026FB">
              <w:t>10</w:t>
            </w:r>
            <w:r w:rsidRPr="004026FB">
              <w:rPr>
                <w:vertAlign w:val="superscript"/>
              </w:rPr>
              <w:t>-1</w:t>
            </w:r>
          </w:p>
        </w:tc>
        <w:tc>
          <w:tcPr>
            <w:tcW w:w="1559" w:type="dxa"/>
            <w:tcBorders>
              <w:top w:val="single" w:sz="4" w:space="0" w:color="636569" w:themeColor="text2"/>
              <w:left w:val="single" w:sz="4" w:space="0" w:color="636569" w:themeColor="text2"/>
              <w:bottom w:val="single" w:sz="4" w:space="0" w:color="636569" w:themeColor="text2"/>
              <w:right w:val="single" w:sz="4" w:space="0" w:color="636569" w:themeColor="text2"/>
            </w:tcBorders>
          </w:tcPr>
          <w:p w14:paraId="0A6467D2" w14:textId="6837F2E6" w:rsidR="00577DDE" w:rsidRPr="004026FB" w:rsidRDefault="00577DDE" w:rsidP="00F4595E">
            <w:pPr>
              <w:pStyle w:val="TableText"/>
              <w:jc w:val="center"/>
            </w:pPr>
            <w:r w:rsidRPr="004026FB">
              <w:t>24</w:t>
            </w:r>
          </w:p>
        </w:tc>
        <w:tc>
          <w:tcPr>
            <w:tcW w:w="1559" w:type="dxa"/>
            <w:tcBorders>
              <w:top w:val="single" w:sz="4" w:space="0" w:color="636569" w:themeColor="text2"/>
              <w:left w:val="single" w:sz="4" w:space="0" w:color="636569" w:themeColor="text2"/>
              <w:bottom w:val="single" w:sz="4" w:space="0" w:color="636569" w:themeColor="text2"/>
            </w:tcBorders>
          </w:tcPr>
          <w:p w14:paraId="48EF9903" w14:textId="456E5F96" w:rsidR="00577DDE" w:rsidRPr="004026FB" w:rsidRDefault="00577DDE" w:rsidP="00F4595E">
            <w:pPr>
              <w:pStyle w:val="TableText"/>
              <w:jc w:val="center"/>
            </w:pPr>
            <w:r w:rsidRPr="004026FB">
              <w:t>3.3</w:t>
            </w:r>
          </w:p>
        </w:tc>
      </w:tr>
    </w:tbl>
    <w:p w14:paraId="0B9E5DEA" w14:textId="77777777" w:rsidR="00F4595E" w:rsidRPr="004026FB" w:rsidRDefault="00574218" w:rsidP="00F4595E">
      <w:pPr>
        <w:pStyle w:val="Source"/>
        <w:spacing w:after="0"/>
        <w:ind w:left="340" w:hanging="340"/>
      </w:pPr>
      <w:r w:rsidRPr="004026FB">
        <w:t>Note:</w:t>
      </w:r>
    </w:p>
    <w:p w14:paraId="6A46F33E" w14:textId="7DC50D5B" w:rsidR="00574218" w:rsidRPr="004026FB" w:rsidRDefault="00F4595E" w:rsidP="00F4595E">
      <w:pPr>
        <w:pStyle w:val="Source"/>
        <w:spacing w:before="0"/>
        <w:ind w:left="340" w:hanging="340"/>
      </w:pPr>
      <w:r w:rsidRPr="004026FB">
        <w:t>(</w:t>
      </w:r>
      <w:r w:rsidR="00574218" w:rsidRPr="004026FB">
        <w:t>1</w:t>
      </w:r>
      <w:r w:rsidRPr="004026FB">
        <w:t>)</w:t>
      </w:r>
      <w:r w:rsidRPr="004026FB">
        <w:tab/>
      </w:r>
      <w:r w:rsidR="00574218" w:rsidRPr="004026FB">
        <w:t>1 Lugeon </w:t>
      </w:r>
      <w:r w:rsidR="00574218" w:rsidRPr="004026FB">
        <w:sym w:font="Symbol" w:char="F040"/>
      </w:r>
      <w:r w:rsidR="00574218" w:rsidRPr="004026FB">
        <w:t> 1.3</w:t>
      </w:r>
      <w:r w:rsidRPr="004026FB">
        <w:t> </w:t>
      </w:r>
      <w:r w:rsidR="00574218" w:rsidRPr="004026FB">
        <w:t>x</w:t>
      </w:r>
      <w:r w:rsidRPr="004026FB">
        <w:t> </w:t>
      </w:r>
      <w:r w:rsidR="00574218" w:rsidRPr="004026FB">
        <w:t>10</w:t>
      </w:r>
      <w:r w:rsidR="00574218" w:rsidRPr="004026FB">
        <w:rPr>
          <w:vertAlign w:val="superscript"/>
        </w:rPr>
        <w:t>-7</w:t>
      </w:r>
      <w:r w:rsidR="00574218" w:rsidRPr="004026FB">
        <w:t> m/sec</w:t>
      </w:r>
      <w:proofErr w:type="gramStart"/>
      <w:r w:rsidR="00574218" w:rsidRPr="004026FB">
        <w:t>.</w:t>
      </w:r>
      <w:proofErr w:type="gramEnd"/>
      <w:r w:rsidRPr="004026FB">
        <w:br/>
      </w:r>
      <w:r w:rsidR="00574218" w:rsidRPr="004026FB">
        <w:t>Lugeon value is for comparative purposes only – slug tests are not used to determine lugeons.</w:t>
      </w:r>
    </w:p>
    <w:p w14:paraId="3EEE83DD" w14:textId="77777777" w:rsidR="00574218" w:rsidRPr="004026FB" w:rsidRDefault="00574218" w:rsidP="0058165F">
      <w:pPr>
        <w:pStyle w:val="Heading4"/>
      </w:pPr>
      <w:proofErr w:type="spellStart"/>
      <w:r w:rsidRPr="004026FB">
        <w:t>Storativity</w:t>
      </w:r>
      <w:proofErr w:type="spellEnd"/>
      <w:r w:rsidRPr="004026FB">
        <w:t xml:space="preserve"> and specific yield</w:t>
      </w:r>
    </w:p>
    <w:p w14:paraId="5F45962A" w14:textId="3E155354" w:rsidR="00574218" w:rsidRPr="004026FB" w:rsidRDefault="00574218" w:rsidP="0058165F">
      <w:pPr>
        <w:pStyle w:val="BodyText"/>
      </w:pPr>
      <w:proofErr w:type="spellStart"/>
      <w:r w:rsidRPr="004026FB">
        <w:t>Storativity</w:t>
      </w:r>
      <w:proofErr w:type="spellEnd"/>
      <w:r w:rsidRPr="004026FB">
        <w:t xml:space="preserve"> estimates are provided in </w:t>
      </w:r>
      <w:r w:rsidR="005C097A" w:rsidRPr="004026FB">
        <w:fldChar w:fldCharType="begin"/>
      </w:r>
      <w:r w:rsidR="005C097A" w:rsidRPr="004026FB">
        <w:instrText xml:space="preserve"> REF _Ref4598723 \h  \* MERGEFORMAT </w:instrText>
      </w:r>
      <w:r w:rsidR="005C097A" w:rsidRPr="004026FB">
        <w:fldChar w:fldCharType="separate"/>
      </w:r>
      <w:r w:rsidR="007530D3" w:rsidRPr="007530D3">
        <w:t>Table 8</w:t>
      </w:r>
      <w:r w:rsidR="007530D3" w:rsidRPr="007530D3">
        <w:noBreakHyphen/>
        <w:t>3</w:t>
      </w:r>
      <w:r w:rsidR="005C097A" w:rsidRPr="004026FB">
        <w:fldChar w:fldCharType="end"/>
      </w:r>
      <w:r w:rsidRPr="004026FB">
        <w:t xml:space="preserve">, while acknowledging that specific yield (Sy) and storativity can be difficult to quantify. </w:t>
      </w:r>
    </w:p>
    <w:p w14:paraId="08E5C8D2" w14:textId="17C716DB" w:rsidR="00574218" w:rsidRPr="004026FB" w:rsidRDefault="00574218" w:rsidP="00574218">
      <w:pPr>
        <w:pStyle w:val="Caption"/>
      </w:pPr>
      <w:bookmarkStart w:id="36" w:name="_Ref4598723"/>
      <w:bookmarkStart w:id="37" w:name="_Toc19489086"/>
      <w:r w:rsidRPr="004026FB">
        <w:rPr>
          <w:rStyle w:val="CharacterStyle-BrightColour"/>
        </w:rPr>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3</w:t>
      </w:r>
      <w:r w:rsidRPr="004026FB">
        <w:rPr>
          <w:rStyle w:val="CharacterStyle-BrightColour"/>
        </w:rPr>
        <w:fldChar w:fldCharType="end"/>
      </w:r>
      <w:bookmarkEnd w:id="36"/>
      <w:r w:rsidRPr="004026FB">
        <w:tab/>
        <w:t>Published storativities</w:t>
      </w:r>
      <w:bookmarkEnd w:id="37"/>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Look w:val="04A0" w:firstRow="1" w:lastRow="0" w:firstColumn="1" w:lastColumn="0" w:noHBand="0" w:noVBand="1"/>
      </w:tblPr>
      <w:tblGrid>
        <w:gridCol w:w="1418"/>
        <w:gridCol w:w="1702"/>
        <w:gridCol w:w="1417"/>
        <w:gridCol w:w="4534"/>
      </w:tblGrid>
      <w:tr w:rsidR="00577DDE" w:rsidRPr="004026FB" w14:paraId="7052A0AE" w14:textId="77777777" w:rsidTr="00F4595E">
        <w:trPr>
          <w:trHeight w:val="366"/>
          <w:tblHeader/>
        </w:trPr>
        <w:tc>
          <w:tcPr>
            <w:tcW w:w="1418" w:type="dxa"/>
            <w:shd w:val="clear" w:color="auto" w:fill="009A44" w:themeFill="accent2"/>
            <w:vAlign w:val="center"/>
          </w:tcPr>
          <w:p w14:paraId="7255D7A9" w14:textId="0079CB60" w:rsidR="00577DDE" w:rsidRPr="004026FB" w:rsidRDefault="00577DDE" w:rsidP="00577DDE">
            <w:pPr>
              <w:pStyle w:val="TableHeadingWhiteFont"/>
            </w:pPr>
            <w:r w:rsidRPr="004026FB">
              <w:t>Formation</w:t>
            </w:r>
          </w:p>
        </w:tc>
        <w:tc>
          <w:tcPr>
            <w:tcW w:w="1702" w:type="dxa"/>
            <w:shd w:val="clear" w:color="auto" w:fill="009A44" w:themeFill="accent2"/>
            <w:vAlign w:val="center"/>
          </w:tcPr>
          <w:p w14:paraId="3B68222A" w14:textId="5B7BE456" w:rsidR="00577DDE" w:rsidRPr="004026FB" w:rsidRDefault="00577DDE" w:rsidP="00F4595E">
            <w:pPr>
              <w:pStyle w:val="TableHeadingWhiteFont"/>
              <w:jc w:val="center"/>
            </w:pPr>
            <w:r w:rsidRPr="004026FB">
              <w:t>Specific yield (Sy)</w:t>
            </w:r>
          </w:p>
        </w:tc>
        <w:tc>
          <w:tcPr>
            <w:tcW w:w="1417" w:type="dxa"/>
            <w:shd w:val="clear" w:color="auto" w:fill="009A44" w:themeFill="accent2"/>
            <w:vAlign w:val="center"/>
          </w:tcPr>
          <w:p w14:paraId="18E3F4CE" w14:textId="3AF39581" w:rsidR="00577DDE" w:rsidRPr="004026FB" w:rsidRDefault="00577DDE" w:rsidP="00F4595E">
            <w:pPr>
              <w:pStyle w:val="TableHeadingWhiteFont"/>
              <w:jc w:val="center"/>
            </w:pPr>
            <w:r w:rsidRPr="004026FB">
              <w:t>Storativity (S)</w:t>
            </w:r>
          </w:p>
        </w:tc>
        <w:tc>
          <w:tcPr>
            <w:tcW w:w="4534" w:type="dxa"/>
            <w:shd w:val="clear" w:color="auto" w:fill="009A44" w:themeFill="accent2"/>
            <w:vAlign w:val="center"/>
          </w:tcPr>
          <w:p w14:paraId="3219083B" w14:textId="04CB2B21" w:rsidR="00577DDE" w:rsidRPr="004026FB" w:rsidRDefault="00577DDE" w:rsidP="00577DDE">
            <w:pPr>
              <w:pStyle w:val="TableHeadingWhiteFont"/>
            </w:pPr>
            <w:r w:rsidRPr="004026FB">
              <w:t>Reference</w:t>
            </w:r>
          </w:p>
        </w:tc>
      </w:tr>
      <w:tr w:rsidR="00577DDE" w:rsidRPr="004026FB" w14:paraId="4C1D027F" w14:textId="77777777" w:rsidTr="00F4595E">
        <w:trPr>
          <w:trHeight w:val="366"/>
        </w:trPr>
        <w:tc>
          <w:tcPr>
            <w:tcW w:w="1418" w:type="dxa"/>
            <w:vMerge w:val="restart"/>
            <w:shd w:val="clear" w:color="auto" w:fill="E5F4EA"/>
          </w:tcPr>
          <w:p w14:paraId="0B9636CB" w14:textId="7141D889" w:rsidR="00577DDE" w:rsidRPr="004026FB" w:rsidRDefault="00577DDE" w:rsidP="00577DDE">
            <w:pPr>
              <w:pStyle w:val="TableText"/>
            </w:pPr>
            <w:r w:rsidRPr="004026FB">
              <w:t>Alluvials</w:t>
            </w:r>
          </w:p>
        </w:tc>
        <w:tc>
          <w:tcPr>
            <w:tcW w:w="1702" w:type="dxa"/>
          </w:tcPr>
          <w:p w14:paraId="4531B890" w14:textId="061CF9FB" w:rsidR="00577DDE" w:rsidRPr="004026FB" w:rsidRDefault="00577DDE" w:rsidP="00F4595E">
            <w:pPr>
              <w:pStyle w:val="TableText"/>
              <w:jc w:val="center"/>
            </w:pPr>
            <w:r w:rsidRPr="004026FB">
              <w:t>0.075</w:t>
            </w:r>
          </w:p>
        </w:tc>
        <w:tc>
          <w:tcPr>
            <w:tcW w:w="1417" w:type="dxa"/>
          </w:tcPr>
          <w:p w14:paraId="79707CEE" w14:textId="20AECF8D" w:rsidR="00577DDE" w:rsidRPr="004026FB" w:rsidRDefault="00577DDE" w:rsidP="00F4595E">
            <w:pPr>
              <w:pStyle w:val="TableText"/>
              <w:jc w:val="center"/>
            </w:pPr>
            <w:r w:rsidRPr="004026FB">
              <w:t>-</w:t>
            </w:r>
          </w:p>
        </w:tc>
        <w:tc>
          <w:tcPr>
            <w:tcW w:w="4534" w:type="dxa"/>
            <w:vAlign w:val="center"/>
          </w:tcPr>
          <w:p w14:paraId="2A337059" w14:textId="705226FF" w:rsidR="00577DDE" w:rsidRPr="004026FB" w:rsidRDefault="00FE5EAB" w:rsidP="00577DDE">
            <w:pPr>
              <w:pStyle w:val="TableText"/>
            </w:pPr>
            <w:sdt>
              <w:sdtPr>
                <w:id w:val="618500997"/>
                <w:citation/>
              </w:sdtPr>
              <w:sdtEndPr/>
              <w:sdtContent>
                <w:r w:rsidR="00577DDE" w:rsidRPr="004026FB">
                  <w:fldChar w:fldCharType="begin"/>
                </w:r>
                <w:r w:rsidR="00577DDE" w:rsidRPr="004026FB">
                  <w:instrText xml:space="preserve"> CITATION GHD10 \l 3081 </w:instrText>
                </w:r>
                <w:r w:rsidR="00577DDE" w:rsidRPr="004026FB">
                  <w:fldChar w:fldCharType="separate"/>
                </w:r>
                <w:r w:rsidR="007530D3">
                  <w:rPr>
                    <w:noProof/>
                  </w:rPr>
                  <w:t>(GHD, 2010)</w:t>
                </w:r>
                <w:r w:rsidR="00577DDE" w:rsidRPr="004026FB">
                  <w:fldChar w:fldCharType="end"/>
                </w:r>
              </w:sdtContent>
            </w:sdt>
          </w:p>
        </w:tc>
      </w:tr>
      <w:tr w:rsidR="00577DDE" w:rsidRPr="004026FB" w14:paraId="05B82BDA" w14:textId="77777777" w:rsidTr="00F4595E">
        <w:trPr>
          <w:trHeight w:val="366"/>
        </w:trPr>
        <w:tc>
          <w:tcPr>
            <w:tcW w:w="1418" w:type="dxa"/>
            <w:vMerge/>
            <w:shd w:val="clear" w:color="auto" w:fill="E5F4EA"/>
            <w:vAlign w:val="bottom"/>
          </w:tcPr>
          <w:p w14:paraId="0FF59FF3" w14:textId="77777777" w:rsidR="00577DDE" w:rsidRPr="004026FB" w:rsidRDefault="00577DDE" w:rsidP="00577DDE">
            <w:pPr>
              <w:pStyle w:val="TableText"/>
            </w:pPr>
          </w:p>
        </w:tc>
        <w:tc>
          <w:tcPr>
            <w:tcW w:w="1702" w:type="dxa"/>
          </w:tcPr>
          <w:p w14:paraId="643752EC" w14:textId="29611D22" w:rsidR="00577DDE" w:rsidRPr="004026FB" w:rsidRDefault="00577DDE" w:rsidP="00F4595E">
            <w:pPr>
              <w:pStyle w:val="TableText"/>
              <w:jc w:val="center"/>
            </w:pPr>
            <w:r w:rsidRPr="004026FB">
              <w:t>0.05 to 0.3</w:t>
            </w:r>
          </w:p>
        </w:tc>
        <w:tc>
          <w:tcPr>
            <w:tcW w:w="1417" w:type="dxa"/>
          </w:tcPr>
          <w:p w14:paraId="1C273DF1" w14:textId="0DA77ABF" w:rsidR="00577DDE" w:rsidRPr="004026FB" w:rsidRDefault="00577DDE" w:rsidP="00F4595E">
            <w:pPr>
              <w:pStyle w:val="TableText"/>
              <w:jc w:val="center"/>
            </w:pPr>
            <w:r w:rsidRPr="004026FB">
              <w:t>-</w:t>
            </w:r>
          </w:p>
        </w:tc>
        <w:tc>
          <w:tcPr>
            <w:tcW w:w="4534" w:type="dxa"/>
            <w:vAlign w:val="center"/>
          </w:tcPr>
          <w:p w14:paraId="47ED825E" w14:textId="2EC1C267" w:rsidR="00577DDE" w:rsidRPr="004026FB" w:rsidRDefault="00FE5EAB" w:rsidP="00577DDE">
            <w:pPr>
              <w:pStyle w:val="TableText"/>
            </w:pPr>
            <w:sdt>
              <w:sdtPr>
                <w:id w:val="-1906751500"/>
                <w:citation/>
              </w:sdtPr>
              <w:sdtEndPr/>
              <w:sdtContent>
                <w:r w:rsidR="00577DDE" w:rsidRPr="004026FB">
                  <w:fldChar w:fldCharType="begin"/>
                </w:r>
                <w:r w:rsidR="00577DDE" w:rsidRPr="004026FB">
                  <w:instrText xml:space="preserve">CITATION Dah04 \l 3081 </w:instrText>
                </w:r>
                <w:r w:rsidR="00577DDE" w:rsidRPr="004026FB">
                  <w:fldChar w:fldCharType="separate"/>
                </w:r>
                <w:r w:rsidR="007530D3">
                  <w:rPr>
                    <w:noProof/>
                  </w:rPr>
                  <w:t>(Dahlhaus, Brewin, Leonard, Dyson, &amp; Cherry, 2004)</w:t>
                </w:r>
                <w:r w:rsidR="00577DDE" w:rsidRPr="004026FB">
                  <w:fldChar w:fldCharType="end"/>
                </w:r>
              </w:sdtContent>
            </w:sdt>
          </w:p>
        </w:tc>
      </w:tr>
      <w:tr w:rsidR="00577DDE" w:rsidRPr="004026FB" w14:paraId="46FD449B" w14:textId="77777777" w:rsidTr="00F4595E">
        <w:trPr>
          <w:trHeight w:val="366"/>
        </w:trPr>
        <w:tc>
          <w:tcPr>
            <w:tcW w:w="1418" w:type="dxa"/>
            <w:vMerge w:val="restart"/>
            <w:shd w:val="clear" w:color="auto" w:fill="E5F4EA"/>
          </w:tcPr>
          <w:p w14:paraId="670AA01E" w14:textId="7D2FF800" w:rsidR="00577DDE" w:rsidRPr="004026FB" w:rsidRDefault="00577DDE" w:rsidP="00577DDE">
            <w:pPr>
              <w:pStyle w:val="TableText"/>
            </w:pPr>
            <w:r w:rsidRPr="004026FB">
              <w:t>Palaeozoic Basement (generic)</w:t>
            </w:r>
          </w:p>
        </w:tc>
        <w:tc>
          <w:tcPr>
            <w:tcW w:w="1702" w:type="dxa"/>
          </w:tcPr>
          <w:p w14:paraId="5DFFFA11" w14:textId="344A0A6B" w:rsidR="00577DDE" w:rsidRPr="004026FB" w:rsidRDefault="00577DDE" w:rsidP="00F4595E">
            <w:pPr>
              <w:pStyle w:val="TableText"/>
              <w:jc w:val="center"/>
            </w:pPr>
            <w:r w:rsidRPr="004026FB">
              <w:t>0.02 to 0.1</w:t>
            </w:r>
          </w:p>
        </w:tc>
        <w:tc>
          <w:tcPr>
            <w:tcW w:w="1417" w:type="dxa"/>
          </w:tcPr>
          <w:p w14:paraId="517C66A5" w14:textId="026EB5D7" w:rsidR="00577DDE" w:rsidRPr="004026FB" w:rsidRDefault="00577DDE" w:rsidP="00F4595E">
            <w:pPr>
              <w:pStyle w:val="TableText"/>
              <w:jc w:val="center"/>
            </w:pPr>
            <w:r w:rsidRPr="004026FB">
              <w:t>1</w:t>
            </w:r>
            <w:r w:rsidR="00F4595E" w:rsidRPr="004026FB">
              <w:t> </w:t>
            </w:r>
            <w:r w:rsidRPr="004026FB">
              <w:t>x</w:t>
            </w:r>
            <w:r w:rsidR="00F4595E" w:rsidRPr="004026FB">
              <w:t> </w:t>
            </w:r>
            <w:r w:rsidRPr="004026FB">
              <w:t>10</w:t>
            </w:r>
            <w:r w:rsidRPr="004026FB">
              <w:rPr>
                <w:vertAlign w:val="superscript"/>
              </w:rPr>
              <w:t>-5</w:t>
            </w:r>
          </w:p>
        </w:tc>
        <w:tc>
          <w:tcPr>
            <w:tcW w:w="4534" w:type="dxa"/>
            <w:vAlign w:val="center"/>
          </w:tcPr>
          <w:p w14:paraId="24F4C5B4" w14:textId="4E788459" w:rsidR="00577DDE" w:rsidRPr="004026FB" w:rsidRDefault="00FE5EAB" w:rsidP="00577DDE">
            <w:pPr>
              <w:pStyle w:val="TableText"/>
            </w:pPr>
            <w:sdt>
              <w:sdtPr>
                <w:id w:val="-380937766"/>
                <w:citation/>
              </w:sdtPr>
              <w:sdtEndPr/>
              <w:sdtContent>
                <w:r w:rsidR="00577DDE" w:rsidRPr="004026FB">
                  <w:fldChar w:fldCharType="begin"/>
                </w:r>
                <w:r w:rsidR="00577DDE" w:rsidRPr="004026FB">
                  <w:instrText xml:space="preserve">CITATION JGL92 \l 3081 </w:instrText>
                </w:r>
                <w:r w:rsidR="00577DDE" w:rsidRPr="004026FB">
                  <w:fldChar w:fldCharType="separate"/>
                </w:r>
                <w:r w:rsidR="007530D3">
                  <w:rPr>
                    <w:noProof/>
                  </w:rPr>
                  <w:t>(Leonard, 1992)</w:t>
                </w:r>
                <w:r w:rsidR="00577DDE" w:rsidRPr="004026FB">
                  <w:fldChar w:fldCharType="end"/>
                </w:r>
              </w:sdtContent>
            </w:sdt>
          </w:p>
        </w:tc>
      </w:tr>
      <w:tr w:rsidR="00577DDE" w:rsidRPr="004026FB" w14:paraId="1DBF22BD" w14:textId="77777777" w:rsidTr="00F4595E">
        <w:trPr>
          <w:trHeight w:val="366"/>
        </w:trPr>
        <w:tc>
          <w:tcPr>
            <w:tcW w:w="1418" w:type="dxa"/>
            <w:vMerge/>
            <w:shd w:val="clear" w:color="auto" w:fill="E5F4EA"/>
          </w:tcPr>
          <w:p w14:paraId="5FFD6413" w14:textId="77777777" w:rsidR="00577DDE" w:rsidRPr="004026FB" w:rsidRDefault="00577DDE" w:rsidP="00577DDE">
            <w:pPr>
              <w:pStyle w:val="TableText"/>
            </w:pPr>
          </w:p>
        </w:tc>
        <w:tc>
          <w:tcPr>
            <w:tcW w:w="1702" w:type="dxa"/>
          </w:tcPr>
          <w:p w14:paraId="092B798F" w14:textId="30D11933" w:rsidR="00577DDE" w:rsidRPr="004026FB" w:rsidRDefault="00577DDE" w:rsidP="00F4595E">
            <w:pPr>
              <w:pStyle w:val="TableText"/>
              <w:jc w:val="center"/>
            </w:pPr>
            <w:r w:rsidRPr="004026FB">
              <w:t>0.02 to 0.05</w:t>
            </w:r>
          </w:p>
        </w:tc>
        <w:tc>
          <w:tcPr>
            <w:tcW w:w="1417" w:type="dxa"/>
          </w:tcPr>
          <w:p w14:paraId="77D6C4BD" w14:textId="60C08175" w:rsidR="00577DDE" w:rsidRPr="004026FB" w:rsidRDefault="00577DDE" w:rsidP="00F4595E">
            <w:pPr>
              <w:pStyle w:val="TableText"/>
              <w:jc w:val="center"/>
            </w:pPr>
            <w:r w:rsidRPr="004026FB">
              <w:t>-</w:t>
            </w:r>
          </w:p>
        </w:tc>
        <w:tc>
          <w:tcPr>
            <w:tcW w:w="4534" w:type="dxa"/>
            <w:vAlign w:val="center"/>
          </w:tcPr>
          <w:p w14:paraId="544F3352" w14:textId="2977E35B" w:rsidR="00577DDE" w:rsidRPr="004026FB" w:rsidRDefault="00FE5EAB" w:rsidP="00577DDE">
            <w:pPr>
              <w:pStyle w:val="TableText"/>
            </w:pPr>
            <w:sdt>
              <w:sdtPr>
                <w:id w:val="-999961680"/>
                <w:citation/>
              </w:sdtPr>
              <w:sdtEndPr/>
              <w:sdtContent>
                <w:r w:rsidR="00577DDE" w:rsidRPr="004026FB">
                  <w:fldChar w:fldCharType="begin"/>
                </w:r>
                <w:r w:rsidR="00577DDE" w:rsidRPr="004026FB">
                  <w:instrText xml:space="preserve">CITATION Dah04 \l 3081 </w:instrText>
                </w:r>
                <w:r w:rsidR="00577DDE" w:rsidRPr="004026FB">
                  <w:fldChar w:fldCharType="separate"/>
                </w:r>
                <w:r w:rsidR="007530D3">
                  <w:rPr>
                    <w:noProof/>
                  </w:rPr>
                  <w:t>(Dahlhaus, Brewin, Leonard, Dyson, &amp; Cherry, 2004)</w:t>
                </w:r>
                <w:r w:rsidR="00577DDE" w:rsidRPr="004026FB">
                  <w:fldChar w:fldCharType="end"/>
                </w:r>
              </w:sdtContent>
            </w:sdt>
          </w:p>
        </w:tc>
      </w:tr>
    </w:tbl>
    <w:p w14:paraId="3B05E8A7" w14:textId="77777777" w:rsidR="00F4595E" w:rsidRPr="004026FB" w:rsidRDefault="00F4595E" w:rsidP="00F4595E">
      <w:pPr>
        <w:pStyle w:val="Source"/>
      </w:pPr>
      <w:bookmarkStart w:id="38" w:name="_Toc3641367"/>
    </w:p>
    <w:p w14:paraId="7BDE6F5F" w14:textId="6B872791" w:rsidR="0058165F" w:rsidRPr="004026FB" w:rsidRDefault="0058165F" w:rsidP="00053E1F">
      <w:pPr>
        <w:pStyle w:val="Heading3"/>
      </w:pPr>
      <w:bookmarkStart w:id="39" w:name="_Toc19489069"/>
      <w:r w:rsidRPr="004026FB">
        <w:lastRenderedPageBreak/>
        <w:t>Groundwater quality</w:t>
      </w:r>
      <w:bookmarkEnd w:id="38"/>
      <w:bookmarkEnd w:id="39"/>
      <w:r w:rsidRPr="004026FB">
        <w:t xml:space="preserve"> </w:t>
      </w:r>
    </w:p>
    <w:p w14:paraId="1F639842" w14:textId="77777777" w:rsidR="0058165F" w:rsidRPr="004026FB" w:rsidRDefault="0058165F" w:rsidP="00053E1F">
      <w:pPr>
        <w:pStyle w:val="BodyText"/>
        <w:keepNext/>
      </w:pPr>
      <w:r w:rsidRPr="004026FB">
        <w:t>Based on mapping, the regional groundwater salinity is between 1,000 mg/L Total Dissolved Solids (TDS) and 3,500 mg/L TDS; that is, beneficial use Segments A to B (where Segment A is the least saline, and F the most saline) for most of the study area, with the exception of the Eastern Freeway area. This area has high salinity groundwater (3,000 mg/L to 7,000 mg/L TDS) to the west of Chandler Highway, and east of Doncaster Road.</w:t>
      </w:r>
    </w:p>
    <w:p w14:paraId="7B0D0B1B" w14:textId="31E54EAC" w:rsidR="003D16CA" w:rsidRPr="004026FB" w:rsidRDefault="0058165F" w:rsidP="0058165F">
      <w:pPr>
        <w:pStyle w:val="BodyText"/>
      </w:pPr>
      <w:r w:rsidRPr="004026FB">
        <w:t xml:space="preserve">Selected geotechnical boreholes were converted to groundwater monitoring bores to establish a North East Link groundwater monitoring network. This was to support the engineering design and environment studies as well as any future baseline monitoring. Selected groundwater monitoring bores were sampled using low-flow sampling methods, in accordance with the Groundwater Sampling Guidelines of Victoria’s Environment Protection Authority (EPA). </w:t>
      </w:r>
      <w:r w:rsidR="00D84383" w:rsidRPr="004026FB">
        <w:t xml:space="preserve">Since the </w:t>
      </w:r>
      <w:r w:rsidR="003D16CA" w:rsidRPr="004026FB">
        <w:t>exhibition</w:t>
      </w:r>
      <w:r w:rsidR="00D84383" w:rsidRPr="004026FB">
        <w:t xml:space="preserve"> of the draft PER, </w:t>
      </w:r>
      <w:r w:rsidR="003D16CA" w:rsidRPr="004026FB">
        <w:t>additional groundwater data has been collected for the project, and has been included in th</w:t>
      </w:r>
      <w:r w:rsidR="00AE00EF" w:rsidRPr="004026FB">
        <w:t>is</w:t>
      </w:r>
      <w:r w:rsidR="003D16CA" w:rsidRPr="004026FB">
        <w:t xml:space="preserve"> final PER. </w:t>
      </w:r>
    </w:p>
    <w:p w14:paraId="0B2F0945" w14:textId="206A1A61" w:rsidR="003D16CA" w:rsidRPr="004026FB" w:rsidRDefault="003D16CA" w:rsidP="003D16CA">
      <w:pPr>
        <w:pStyle w:val="BodyText"/>
      </w:pPr>
      <w:r w:rsidRPr="004026FB">
        <w:t xml:space="preserve">A summary of the original sampled groundwater is provided in </w:t>
      </w:r>
      <w:r w:rsidR="00717A28" w:rsidRPr="004026FB">
        <w:rPr>
          <w:color w:val="000000" w:themeColor="text1"/>
        </w:rPr>
        <w:fldChar w:fldCharType="begin"/>
      </w:r>
      <w:r w:rsidR="00717A28" w:rsidRPr="004026FB">
        <w:rPr>
          <w:color w:val="000000" w:themeColor="text1"/>
        </w:rPr>
        <w:instrText xml:space="preserve"> REF  _Ref17471293 \h  \* MERGEFORMAT </w:instrText>
      </w:r>
      <w:r w:rsidR="00717A28" w:rsidRPr="004026FB">
        <w:rPr>
          <w:color w:val="000000" w:themeColor="text1"/>
        </w:rPr>
      </w:r>
      <w:r w:rsidR="00717A28" w:rsidRPr="004026FB">
        <w:rPr>
          <w:color w:val="000000" w:themeColor="text1"/>
        </w:rPr>
        <w:fldChar w:fldCharType="separate"/>
      </w:r>
      <w:r w:rsidR="007530D3" w:rsidRPr="007530D3">
        <w:rPr>
          <w:rStyle w:val="CharacterStyle-BrightColour"/>
          <w:color w:val="000000" w:themeColor="text1"/>
        </w:rPr>
        <w:t>Table 8</w:t>
      </w:r>
      <w:r w:rsidR="007530D3" w:rsidRPr="007530D3">
        <w:rPr>
          <w:rStyle w:val="CharacterStyle-BrightColour"/>
          <w:color w:val="000000" w:themeColor="text1"/>
        </w:rPr>
        <w:noBreakHyphen/>
        <w:t>4</w:t>
      </w:r>
      <w:r w:rsidR="00717A28" w:rsidRPr="004026FB">
        <w:rPr>
          <w:color w:val="000000" w:themeColor="text1"/>
        </w:rPr>
        <w:fldChar w:fldCharType="end"/>
      </w:r>
      <w:r w:rsidRPr="004026FB">
        <w:t xml:space="preserve">. </w:t>
      </w:r>
    </w:p>
    <w:p w14:paraId="313B9A67" w14:textId="354D13F0" w:rsidR="0058165F" w:rsidRPr="004026FB" w:rsidRDefault="005B500B" w:rsidP="0058165F">
      <w:pPr>
        <w:pStyle w:val="Caption"/>
      </w:pPr>
      <w:bookmarkStart w:id="40" w:name="_Ref17471293"/>
      <w:bookmarkStart w:id="41" w:name="_Toc19489087"/>
      <w:r w:rsidRPr="004026FB">
        <w:rPr>
          <w:rStyle w:val="CharacterStyle-BrightColour"/>
        </w:rPr>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4</w:t>
      </w:r>
      <w:r w:rsidRPr="004026FB">
        <w:rPr>
          <w:rStyle w:val="CharacterStyle-BrightColour"/>
        </w:rPr>
        <w:fldChar w:fldCharType="end"/>
      </w:r>
      <w:bookmarkEnd w:id="40"/>
      <w:r w:rsidR="005E3228" w:rsidRPr="004026FB">
        <w:rPr>
          <w:rStyle w:val="CharacterStyle-BrightColour"/>
        </w:rPr>
        <w:tab/>
      </w:r>
      <w:r w:rsidRPr="004026FB">
        <w:t>Sampled groundwater quality (</w:t>
      </w:r>
      <w:r w:rsidR="003D16CA" w:rsidRPr="004026FB">
        <w:t xml:space="preserve">original </w:t>
      </w:r>
      <w:r w:rsidRPr="004026FB">
        <w:t>data)</w:t>
      </w:r>
      <w:bookmarkEnd w:id="41"/>
    </w:p>
    <w:tbl>
      <w:tblPr>
        <w:tblStyle w:val="MainTableStyle"/>
        <w:tblW w:w="0" w:type="auto"/>
        <w:tblLayout w:type="fixed"/>
        <w:tblLook w:val="04A0" w:firstRow="1" w:lastRow="0" w:firstColumn="1" w:lastColumn="0" w:noHBand="0" w:noVBand="1"/>
      </w:tblPr>
      <w:tblGrid>
        <w:gridCol w:w="1800"/>
        <w:gridCol w:w="900"/>
        <w:gridCol w:w="990"/>
        <w:gridCol w:w="810"/>
        <w:gridCol w:w="1080"/>
        <w:gridCol w:w="1260"/>
        <w:gridCol w:w="1170"/>
        <w:gridCol w:w="1061"/>
      </w:tblGrid>
      <w:tr w:rsidR="00EB5462" w:rsidRPr="004026FB" w14:paraId="4CD259BB" w14:textId="77777777" w:rsidTr="005560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0DD2BFF0" w14:textId="29EC1652" w:rsidR="00C77935" w:rsidRPr="004026FB" w:rsidRDefault="00C77935" w:rsidP="00B21569">
            <w:pPr>
              <w:pStyle w:val="TableText"/>
            </w:pPr>
            <w:r w:rsidRPr="004026FB">
              <w:t>Aquifer</w:t>
            </w:r>
          </w:p>
        </w:tc>
        <w:tc>
          <w:tcPr>
            <w:tcW w:w="900" w:type="dxa"/>
          </w:tcPr>
          <w:p w14:paraId="691A0485" w14:textId="77777777" w:rsidR="00C77935" w:rsidRPr="004026FB" w:rsidRDefault="00C77935" w:rsidP="00B0184D">
            <w:pPr>
              <w:pStyle w:val="TableText"/>
              <w:jc w:val="center"/>
              <w:cnfStyle w:val="100000000000" w:firstRow="1" w:lastRow="0" w:firstColumn="0" w:lastColumn="0" w:oddVBand="0" w:evenVBand="0" w:oddHBand="0" w:evenHBand="0" w:firstRowFirstColumn="0" w:firstRowLastColumn="0" w:lastRowFirstColumn="0" w:lastRowLastColumn="0"/>
            </w:pPr>
            <w:r w:rsidRPr="004026FB">
              <w:t>Analyte</w:t>
            </w:r>
          </w:p>
        </w:tc>
        <w:tc>
          <w:tcPr>
            <w:tcW w:w="990" w:type="dxa"/>
          </w:tcPr>
          <w:p w14:paraId="262C5436" w14:textId="77777777" w:rsidR="00C77935" w:rsidRPr="004026FB" w:rsidRDefault="00C77935" w:rsidP="00B0184D">
            <w:pPr>
              <w:pStyle w:val="TableText"/>
              <w:jc w:val="center"/>
              <w:cnfStyle w:val="100000000000" w:firstRow="1" w:lastRow="0" w:firstColumn="0" w:lastColumn="0" w:oddVBand="0" w:evenVBand="0" w:oddHBand="0" w:evenHBand="0" w:firstRowFirstColumn="0" w:firstRowLastColumn="0" w:lastRowFirstColumn="0" w:lastRowLastColumn="0"/>
            </w:pPr>
            <w:r w:rsidRPr="004026FB">
              <w:t>Unit</w:t>
            </w:r>
          </w:p>
        </w:tc>
        <w:tc>
          <w:tcPr>
            <w:tcW w:w="810" w:type="dxa"/>
          </w:tcPr>
          <w:p w14:paraId="0DA752B1" w14:textId="77777777" w:rsidR="00C77935" w:rsidRPr="004026FB" w:rsidRDefault="00C77935" w:rsidP="00C77935">
            <w:pPr>
              <w:pStyle w:val="TableText"/>
              <w:jc w:val="center"/>
              <w:cnfStyle w:val="100000000000" w:firstRow="1" w:lastRow="0" w:firstColumn="0" w:lastColumn="0" w:oddVBand="0" w:evenVBand="0" w:oddHBand="0" w:evenHBand="0" w:firstRowFirstColumn="0" w:firstRowLastColumn="0" w:lastRowFirstColumn="0" w:lastRowLastColumn="0"/>
            </w:pPr>
            <w:r w:rsidRPr="004026FB">
              <w:t>Count</w:t>
            </w:r>
          </w:p>
        </w:tc>
        <w:tc>
          <w:tcPr>
            <w:tcW w:w="1080" w:type="dxa"/>
          </w:tcPr>
          <w:p w14:paraId="671C172E" w14:textId="77777777" w:rsidR="00C77935" w:rsidRPr="004026FB" w:rsidRDefault="00C77935" w:rsidP="00C77935">
            <w:pPr>
              <w:pStyle w:val="TableText"/>
              <w:jc w:val="center"/>
              <w:cnfStyle w:val="100000000000" w:firstRow="1" w:lastRow="0" w:firstColumn="0" w:lastColumn="0" w:oddVBand="0" w:evenVBand="0" w:oddHBand="0" w:evenHBand="0" w:firstRowFirstColumn="0" w:firstRowLastColumn="0" w:lastRowFirstColumn="0" w:lastRowLastColumn="0"/>
            </w:pPr>
            <w:r w:rsidRPr="004026FB">
              <w:t>Minimum</w:t>
            </w:r>
          </w:p>
        </w:tc>
        <w:tc>
          <w:tcPr>
            <w:tcW w:w="1260" w:type="dxa"/>
          </w:tcPr>
          <w:p w14:paraId="3BB23978" w14:textId="77777777" w:rsidR="00C77935" w:rsidRPr="004026FB" w:rsidRDefault="00C77935" w:rsidP="00C77935">
            <w:pPr>
              <w:pStyle w:val="TableText"/>
              <w:jc w:val="center"/>
              <w:cnfStyle w:val="100000000000" w:firstRow="1" w:lastRow="0" w:firstColumn="0" w:lastColumn="0" w:oddVBand="0" w:evenVBand="0" w:oddHBand="0" w:evenHBand="0" w:firstRowFirstColumn="0" w:firstRowLastColumn="0" w:lastRowFirstColumn="0" w:lastRowLastColumn="0"/>
            </w:pPr>
            <w:r w:rsidRPr="004026FB">
              <w:t>Maximum</w:t>
            </w:r>
          </w:p>
        </w:tc>
        <w:tc>
          <w:tcPr>
            <w:tcW w:w="1170" w:type="dxa"/>
          </w:tcPr>
          <w:p w14:paraId="3F5390CD" w14:textId="77777777" w:rsidR="00C77935" w:rsidRPr="004026FB" w:rsidRDefault="00C77935" w:rsidP="00C77935">
            <w:pPr>
              <w:pStyle w:val="TableText"/>
              <w:jc w:val="center"/>
              <w:cnfStyle w:val="100000000000" w:firstRow="1" w:lastRow="0" w:firstColumn="0" w:lastColumn="0" w:oddVBand="0" w:evenVBand="0" w:oddHBand="0" w:evenHBand="0" w:firstRowFirstColumn="0" w:firstRowLastColumn="0" w:lastRowFirstColumn="0" w:lastRowLastColumn="0"/>
            </w:pPr>
            <w:r w:rsidRPr="004026FB">
              <w:t>Average</w:t>
            </w:r>
          </w:p>
        </w:tc>
        <w:tc>
          <w:tcPr>
            <w:tcW w:w="1061" w:type="dxa"/>
          </w:tcPr>
          <w:p w14:paraId="03E6EB02" w14:textId="77777777" w:rsidR="00C77935" w:rsidRPr="004026FB" w:rsidRDefault="00C77935" w:rsidP="00C77935">
            <w:pPr>
              <w:pStyle w:val="TableText"/>
              <w:jc w:val="center"/>
              <w:cnfStyle w:val="100000000000" w:firstRow="1" w:lastRow="0" w:firstColumn="0" w:lastColumn="0" w:oddVBand="0" w:evenVBand="0" w:oddHBand="0" w:evenHBand="0" w:firstRowFirstColumn="0" w:firstRowLastColumn="0" w:lastRowFirstColumn="0" w:lastRowLastColumn="0"/>
            </w:pPr>
            <w:r w:rsidRPr="004026FB">
              <w:t>Geo. mean</w:t>
            </w:r>
          </w:p>
        </w:tc>
      </w:tr>
      <w:tr w:rsidR="00EB5462" w:rsidRPr="004026FB" w14:paraId="7538B290"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val="restart"/>
          </w:tcPr>
          <w:p w14:paraId="3CC94901" w14:textId="15A6CBC2" w:rsidR="00C77935" w:rsidRPr="004026FB" w:rsidRDefault="00C77935" w:rsidP="005B500B">
            <w:pPr>
              <w:pStyle w:val="TableText"/>
            </w:pPr>
            <w:r w:rsidRPr="004026FB">
              <w:t>Alluvials</w:t>
            </w:r>
          </w:p>
        </w:tc>
        <w:tc>
          <w:tcPr>
            <w:tcW w:w="900" w:type="dxa"/>
          </w:tcPr>
          <w:p w14:paraId="11027EB0"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pH</w:t>
            </w:r>
          </w:p>
        </w:tc>
        <w:tc>
          <w:tcPr>
            <w:tcW w:w="990" w:type="dxa"/>
          </w:tcPr>
          <w:p w14:paraId="27C2D8D1"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pH unit</w:t>
            </w:r>
          </w:p>
        </w:tc>
        <w:tc>
          <w:tcPr>
            <w:tcW w:w="810" w:type="dxa"/>
          </w:tcPr>
          <w:p w14:paraId="79048A36" w14:textId="6AF222A9"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7</w:t>
            </w:r>
          </w:p>
        </w:tc>
        <w:tc>
          <w:tcPr>
            <w:tcW w:w="1080" w:type="dxa"/>
          </w:tcPr>
          <w:p w14:paraId="3E3733FA" w14:textId="4A0C6B71"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6.3</w:t>
            </w:r>
          </w:p>
        </w:tc>
        <w:tc>
          <w:tcPr>
            <w:tcW w:w="1260" w:type="dxa"/>
          </w:tcPr>
          <w:p w14:paraId="66D1C91F" w14:textId="77777777"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8.3</w:t>
            </w:r>
          </w:p>
        </w:tc>
        <w:tc>
          <w:tcPr>
            <w:tcW w:w="1170" w:type="dxa"/>
          </w:tcPr>
          <w:p w14:paraId="191D9929" w14:textId="257C6F95"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7.37</w:t>
            </w:r>
          </w:p>
        </w:tc>
        <w:tc>
          <w:tcPr>
            <w:tcW w:w="1061" w:type="dxa"/>
          </w:tcPr>
          <w:p w14:paraId="1F8966C7" w14:textId="4D57F193"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7.33</w:t>
            </w:r>
          </w:p>
        </w:tc>
      </w:tr>
      <w:tr w:rsidR="00EB5462" w:rsidRPr="004026FB" w14:paraId="7041C854"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tcPr>
          <w:p w14:paraId="1B272917" w14:textId="77777777" w:rsidR="00C77935" w:rsidRPr="004026FB" w:rsidRDefault="00C77935" w:rsidP="00B21569">
            <w:pPr>
              <w:pStyle w:val="TableText"/>
            </w:pPr>
          </w:p>
        </w:tc>
        <w:tc>
          <w:tcPr>
            <w:tcW w:w="900" w:type="dxa"/>
          </w:tcPr>
          <w:p w14:paraId="486004B0"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EC</w:t>
            </w:r>
          </w:p>
        </w:tc>
        <w:tc>
          <w:tcPr>
            <w:tcW w:w="990" w:type="dxa"/>
          </w:tcPr>
          <w:p w14:paraId="26A0A9A8"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µS/cm</w:t>
            </w:r>
          </w:p>
        </w:tc>
        <w:tc>
          <w:tcPr>
            <w:tcW w:w="810" w:type="dxa"/>
          </w:tcPr>
          <w:p w14:paraId="7C996413" w14:textId="6D985322"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6</w:t>
            </w:r>
          </w:p>
        </w:tc>
        <w:tc>
          <w:tcPr>
            <w:tcW w:w="1080" w:type="dxa"/>
          </w:tcPr>
          <w:p w14:paraId="23A12923" w14:textId="6D01AAA2"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1,600</w:t>
            </w:r>
          </w:p>
        </w:tc>
        <w:tc>
          <w:tcPr>
            <w:tcW w:w="1260" w:type="dxa"/>
          </w:tcPr>
          <w:p w14:paraId="78B3DD7B" w14:textId="3BB3E86D"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12,000</w:t>
            </w:r>
          </w:p>
        </w:tc>
        <w:tc>
          <w:tcPr>
            <w:tcW w:w="1170" w:type="dxa"/>
          </w:tcPr>
          <w:p w14:paraId="2744B99C" w14:textId="5AAF70F2" w:rsidR="00C77935" w:rsidRPr="004026FB" w:rsidRDefault="00C77935"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4,650</w:t>
            </w:r>
          </w:p>
        </w:tc>
        <w:tc>
          <w:tcPr>
            <w:tcW w:w="1061" w:type="dxa"/>
          </w:tcPr>
          <w:p w14:paraId="12916E51" w14:textId="464F8B68"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3,637</w:t>
            </w:r>
          </w:p>
        </w:tc>
      </w:tr>
      <w:tr w:rsidR="00EB5462" w:rsidRPr="004026FB" w14:paraId="39C57D64"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tcPr>
          <w:p w14:paraId="26AF337B" w14:textId="77777777" w:rsidR="00C77935" w:rsidRPr="004026FB" w:rsidRDefault="00C77935" w:rsidP="00B21569">
            <w:pPr>
              <w:pStyle w:val="TableText"/>
            </w:pPr>
          </w:p>
        </w:tc>
        <w:tc>
          <w:tcPr>
            <w:tcW w:w="900" w:type="dxa"/>
          </w:tcPr>
          <w:p w14:paraId="2A56BDFE"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TDS</w:t>
            </w:r>
          </w:p>
        </w:tc>
        <w:tc>
          <w:tcPr>
            <w:tcW w:w="990" w:type="dxa"/>
          </w:tcPr>
          <w:p w14:paraId="5CC3779D" w14:textId="77777777" w:rsidR="00C77935" w:rsidRPr="004026FB" w:rsidRDefault="00C77935" w:rsidP="00B0184D">
            <w:pPr>
              <w:pStyle w:val="TableText"/>
              <w:jc w:val="center"/>
              <w:cnfStyle w:val="000000000000" w:firstRow="0" w:lastRow="0" w:firstColumn="0" w:lastColumn="0" w:oddVBand="0" w:evenVBand="0" w:oddHBand="0" w:evenHBand="0" w:firstRowFirstColumn="0" w:firstRowLastColumn="0" w:lastRowFirstColumn="0" w:lastRowLastColumn="0"/>
            </w:pPr>
            <w:r w:rsidRPr="004026FB">
              <w:t>mg/L</w:t>
            </w:r>
          </w:p>
        </w:tc>
        <w:tc>
          <w:tcPr>
            <w:tcW w:w="810" w:type="dxa"/>
          </w:tcPr>
          <w:p w14:paraId="51D0A0AB" w14:textId="48021DAA" w:rsidR="00C77935" w:rsidRPr="004026FB" w:rsidRDefault="00C77935"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w:t>
            </w:r>
          </w:p>
        </w:tc>
        <w:tc>
          <w:tcPr>
            <w:tcW w:w="1080" w:type="dxa"/>
          </w:tcPr>
          <w:p w14:paraId="4BB0A9C5" w14:textId="4E5D2B78"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910</w:t>
            </w:r>
          </w:p>
        </w:tc>
        <w:tc>
          <w:tcPr>
            <w:tcW w:w="1260" w:type="dxa"/>
          </w:tcPr>
          <w:p w14:paraId="536DC8C0" w14:textId="0C142CBF" w:rsidR="00C77935" w:rsidRPr="004026FB" w:rsidRDefault="00C77935"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6,100</w:t>
            </w:r>
          </w:p>
        </w:tc>
        <w:tc>
          <w:tcPr>
            <w:tcW w:w="1170" w:type="dxa"/>
          </w:tcPr>
          <w:p w14:paraId="35BB53F4" w14:textId="69088117" w:rsidR="00C77935" w:rsidRPr="004026FB" w:rsidRDefault="00C77935"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2,658</w:t>
            </w:r>
          </w:p>
        </w:tc>
        <w:tc>
          <w:tcPr>
            <w:tcW w:w="1061" w:type="dxa"/>
          </w:tcPr>
          <w:p w14:paraId="6E908830" w14:textId="01F612D4" w:rsidR="00C77935" w:rsidRPr="004026FB" w:rsidRDefault="00C77935" w:rsidP="00C77935">
            <w:pPr>
              <w:pStyle w:val="TableText"/>
              <w:jc w:val="center"/>
              <w:cnfStyle w:val="000000000000" w:firstRow="0" w:lastRow="0" w:firstColumn="0" w:lastColumn="0" w:oddVBand="0" w:evenVBand="0" w:oddHBand="0" w:evenHBand="0" w:firstRowFirstColumn="0" w:firstRowLastColumn="0" w:lastRowFirstColumn="0" w:lastRowLastColumn="0"/>
            </w:pPr>
            <w:r w:rsidRPr="004026FB">
              <w:t>2,235</w:t>
            </w:r>
          </w:p>
        </w:tc>
      </w:tr>
      <w:tr w:rsidR="00EB5462" w:rsidRPr="004026FB" w14:paraId="637C2036"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val="restart"/>
          </w:tcPr>
          <w:p w14:paraId="68684B27" w14:textId="0D0014E9" w:rsidR="00EB5462" w:rsidRPr="004026FB" w:rsidRDefault="00EB5462" w:rsidP="005B500B">
            <w:pPr>
              <w:pStyle w:val="TableText"/>
            </w:pPr>
            <w:r w:rsidRPr="004026FB">
              <w:t>Bedrock</w:t>
            </w:r>
          </w:p>
        </w:tc>
        <w:tc>
          <w:tcPr>
            <w:tcW w:w="900" w:type="dxa"/>
          </w:tcPr>
          <w:p w14:paraId="0418119B"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pH</w:t>
            </w:r>
          </w:p>
        </w:tc>
        <w:tc>
          <w:tcPr>
            <w:tcW w:w="990" w:type="dxa"/>
          </w:tcPr>
          <w:p w14:paraId="2A681325"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pH unit</w:t>
            </w:r>
          </w:p>
        </w:tc>
        <w:tc>
          <w:tcPr>
            <w:tcW w:w="810" w:type="dxa"/>
          </w:tcPr>
          <w:p w14:paraId="75B32FE1" w14:textId="036BAB69"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26</w:t>
            </w:r>
          </w:p>
        </w:tc>
        <w:tc>
          <w:tcPr>
            <w:tcW w:w="1080" w:type="dxa"/>
          </w:tcPr>
          <w:p w14:paraId="7640C8D7" w14:textId="064B5A64"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6</w:t>
            </w:r>
          </w:p>
        </w:tc>
        <w:tc>
          <w:tcPr>
            <w:tcW w:w="1260" w:type="dxa"/>
          </w:tcPr>
          <w:p w14:paraId="2E65D4EC" w14:textId="22E62299"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8.6</w:t>
            </w:r>
          </w:p>
        </w:tc>
        <w:tc>
          <w:tcPr>
            <w:tcW w:w="1170" w:type="dxa"/>
          </w:tcPr>
          <w:p w14:paraId="13A61C1B" w14:textId="560BBC79"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7.60</w:t>
            </w:r>
          </w:p>
        </w:tc>
        <w:tc>
          <w:tcPr>
            <w:tcW w:w="1061" w:type="dxa"/>
          </w:tcPr>
          <w:p w14:paraId="6690FE64" w14:textId="610A3552"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7.57</w:t>
            </w:r>
          </w:p>
        </w:tc>
      </w:tr>
      <w:tr w:rsidR="00EB5462" w:rsidRPr="004026FB" w14:paraId="5A2E293C"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tcPr>
          <w:p w14:paraId="2BECA850" w14:textId="77777777" w:rsidR="00EB5462" w:rsidRPr="004026FB" w:rsidRDefault="00EB5462" w:rsidP="00EB5462">
            <w:pPr>
              <w:pStyle w:val="TableText"/>
            </w:pPr>
          </w:p>
        </w:tc>
        <w:tc>
          <w:tcPr>
            <w:tcW w:w="900" w:type="dxa"/>
          </w:tcPr>
          <w:p w14:paraId="3101BFBC"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EC</w:t>
            </w:r>
          </w:p>
        </w:tc>
        <w:tc>
          <w:tcPr>
            <w:tcW w:w="990" w:type="dxa"/>
          </w:tcPr>
          <w:p w14:paraId="2B254B64"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µS/cm</w:t>
            </w:r>
          </w:p>
        </w:tc>
        <w:tc>
          <w:tcPr>
            <w:tcW w:w="810" w:type="dxa"/>
          </w:tcPr>
          <w:p w14:paraId="50CA08BA" w14:textId="67AE6290"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23</w:t>
            </w:r>
          </w:p>
        </w:tc>
        <w:tc>
          <w:tcPr>
            <w:tcW w:w="1080" w:type="dxa"/>
          </w:tcPr>
          <w:p w14:paraId="71BDB9C2" w14:textId="1915C7B5"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5,500</w:t>
            </w:r>
          </w:p>
        </w:tc>
        <w:tc>
          <w:tcPr>
            <w:tcW w:w="1260" w:type="dxa"/>
          </w:tcPr>
          <w:p w14:paraId="168C40CA" w14:textId="60191E59"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19,000</w:t>
            </w:r>
          </w:p>
        </w:tc>
        <w:tc>
          <w:tcPr>
            <w:tcW w:w="1170" w:type="dxa"/>
          </w:tcPr>
          <w:p w14:paraId="1D9E3BDC" w14:textId="79DF59FF"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11,117</w:t>
            </w:r>
          </w:p>
        </w:tc>
        <w:tc>
          <w:tcPr>
            <w:tcW w:w="1061" w:type="dxa"/>
          </w:tcPr>
          <w:p w14:paraId="5A6B1C6B" w14:textId="6C9DE3D5"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10,518</w:t>
            </w:r>
          </w:p>
        </w:tc>
      </w:tr>
      <w:tr w:rsidR="00EB5462" w:rsidRPr="004026FB" w14:paraId="43E0BDBB" w14:textId="77777777" w:rsidTr="005560B6">
        <w:tc>
          <w:tcPr>
            <w:cnfStyle w:val="001000000000" w:firstRow="0" w:lastRow="0" w:firstColumn="1" w:lastColumn="0" w:oddVBand="0" w:evenVBand="0" w:oddHBand="0" w:evenHBand="0" w:firstRowFirstColumn="0" w:firstRowLastColumn="0" w:lastRowFirstColumn="0" w:lastRowLastColumn="0"/>
            <w:tcW w:w="1800" w:type="dxa"/>
            <w:vMerge/>
          </w:tcPr>
          <w:p w14:paraId="37F0C002" w14:textId="77777777" w:rsidR="00EB5462" w:rsidRPr="004026FB" w:rsidRDefault="00EB5462" w:rsidP="00EB5462">
            <w:pPr>
              <w:pStyle w:val="TableText"/>
            </w:pPr>
          </w:p>
        </w:tc>
        <w:tc>
          <w:tcPr>
            <w:tcW w:w="900" w:type="dxa"/>
          </w:tcPr>
          <w:p w14:paraId="2A02E512"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TDS</w:t>
            </w:r>
          </w:p>
        </w:tc>
        <w:tc>
          <w:tcPr>
            <w:tcW w:w="990" w:type="dxa"/>
          </w:tcPr>
          <w:p w14:paraId="4C1A9CEF" w14:textId="77777777"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mg/L</w:t>
            </w:r>
          </w:p>
        </w:tc>
        <w:tc>
          <w:tcPr>
            <w:tcW w:w="810" w:type="dxa"/>
          </w:tcPr>
          <w:p w14:paraId="34035BE9" w14:textId="6AFF4D81"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26</w:t>
            </w:r>
          </w:p>
        </w:tc>
        <w:tc>
          <w:tcPr>
            <w:tcW w:w="1080" w:type="dxa"/>
          </w:tcPr>
          <w:p w14:paraId="7FE9C060" w14:textId="540EA5D5"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730</w:t>
            </w:r>
          </w:p>
        </w:tc>
        <w:tc>
          <w:tcPr>
            <w:tcW w:w="1260" w:type="dxa"/>
          </w:tcPr>
          <w:p w14:paraId="45860EB2" w14:textId="17B2106F"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9,900</w:t>
            </w:r>
          </w:p>
        </w:tc>
        <w:tc>
          <w:tcPr>
            <w:tcW w:w="1170" w:type="dxa"/>
          </w:tcPr>
          <w:p w14:paraId="42EEAB30" w14:textId="7201E7FC"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5</w:t>
            </w:r>
            <w:r w:rsidR="005B500B" w:rsidRPr="004026FB">
              <w:t>,</w:t>
            </w:r>
            <w:r w:rsidRPr="004026FB">
              <w:t>720</w:t>
            </w:r>
          </w:p>
        </w:tc>
        <w:tc>
          <w:tcPr>
            <w:tcW w:w="1061" w:type="dxa"/>
          </w:tcPr>
          <w:p w14:paraId="592A3930" w14:textId="3C1D0859" w:rsidR="00EB5462" w:rsidRPr="004026FB" w:rsidRDefault="00EB5462" w:rsidP="00EB5462">
            <w:pPr>
              <w:pStyle w:val="TableText"/>
              <w:jc w:val="center"/>
              <w:cnfStyle w:val="000000000000" w:firstRow="0" w:lastRow="0" w:firstColumn="0" w:lastColumn="0" w:oddVBand="0" w:evenVBand="0" w:oddHBand="0" w:evenHBand="0" w:firstRowFirstColumn="0" w:firstRowLastColumn="0" w:lastRowFirstColumn="0" w:lastRowLastColumn="0"/>
            </w:pPr>
            <w:r w:rsidRPr="004026FB">
              <w:t>5</w:t>
            </w:r>
            <w:r w:rsidR="005B500B" w:rsidRPr="004026FB">
              <w:t>,</w:t>
            </w:r>
            <w:r w:rsidRPr="004026FB">
              <w:t>099</w:t>
            </w:r>
          </w:p>
        </w:tc>
      </w:tr>
    </w:tbl>
    <w:p w14:paraId="2C957020" w14:textId="5C664989" w:rsidR="005B500B" w:rsidRPr="004026FB" w:rsidRDefault="00EB5462" w:rsidP="00EB5462">
      <w:pPr>
        <w:pStyle w:val="Source"/>
        <w:spacing w:before="0" w:after="120"/>
      </w:pPr>
      <w:bookmarkStart w:id="42" w:name="_Ref534126226"/>
      <w:bookmarkStart w:id="43" w:name="_Toc3641368"/>
      <w:bookmarkStart w:id="44" w:name="_Ref534021854"/>
      <w:r w:rsidRPr="004026FB">
        <w:t>Note</w:t>
      </w:r>
      <w:r w:rsidR="00717A28" w:rsidRPr="004026FB">
        <w:t>s</w:t>
      </w:r>
      <w:proofErr w:type="gramStart"/>
      <w:r w:rsidRPr="004026FB">
        <w:t>:</w:t>
      </w:r>
      <w:proofErr w:type="gramEnd"/>
      <w:r w:rsidRPr="004026FB">
        <w:br/>
        <w:t>1. At time of reporting, no North East Link bores were developed in the volcanics (Newer or Older).</w:t>
      </w:r>
      <w:r w:rsidRPr="004026FB">
        <w:br/>
        <w:t xml:space="preserve">2. Whole of study area </w:t>
      </w:r>
      <w:r w:rsidR="005B500B" w:rsidRPr="004026FB">
        <w:t>excludes</w:t>
      </w:r>
      <w:r w:rsidRPr="004026FB">
        <w:t xml:space="preserve"> Commonwealth land</w:t>
      </w:r>
    </w:p>
    <w:p w14:paraId="6A50C0B0" w14:textId="33221A2F" w:rsidR="00EB5462" w:rsidRPr="004026FB" w:rsidRDefault="0031559F" w:rsidP="00053E1F">
      <w:pPr>
        <w:pStyle w:val="BodyText"/>
        <w:keepNext/>
      </w:pPr>
      <w:r w:rsidRPr="004026FB">
        <w:lastRenderedPageBreak/>
        <w:fldChar w:fldCharType="begin"/>
      </w:r>
      <w:r w:rsidRPr="004026FB">
        <w:instrText xml:space="preserve"> REF _Ref17440476 \h  \* MERGEFORMAT </w:instrText>
      </w:r>
      <w:r w:rsidRPr="004026FB">
        <w:fldChar w:fldCharType="separate"/>
      </w:r>
      <w:r w:rsidR="007530D3" w:rsidRPr="007530D3">
        <w:t>Table 8</w:t>
      </w:r>
      <w:r w:rsidR="007530D3" w:rsidRPr="007530D3">
        <w:noBreakHyphen/>
        <w:t>5</w:t>
      </w:r>
      <w:r w:rsidRPr="004026FB">
        <w:fldChar w:fldCharType="end"/>
      </w:r>
      <w:r w:rsidRPr="004026FB">
        <w:t xml:space="preserve"> provides the </w:t>
      </w:r>
      <w:r w:rsidR="003D16CA" w:rsidRPr="004026FB">
        <w:t>additional</w:t>
      </w:r>
      <w:r w:rsidRPr="004026FB">
        <w:t xml:space="preserve"> data </w:t>
      </w:r>
      <w:r w:rsidR="00AE00EF" w:rsidRPr="004026FB">
        <w:t>from</w:t>
      </w:r>
      <w:r w:rsidRPr="004026FB">
        <w:t xml:space="preserve"> the additional investigations. </w:t>
      </w:r>
    </w:p>
    <w:p w14:paraId="4E5CFA69" w14:textId="7D96EBBF" w:rsidR="005B500B" w:rsidRPr="004026FB" w:rsidRDefault="005B500B" w:rsidP="00053E1F">
      <w:pPr>
        <w:pStyle w:val="Caption"/>
      </w:pPr>
      <w:bookmarkStart w:id="45" w:name="_Ref17440476"/>
      <w:bookmarkStart w:id="46" w:name="_Toc19489088"/>
      <w:r w:rsidRPr="004026FB">
        <w:rPr>
          <w:rStyle w:val="CharacterStyle-BrightColour"/>
        </w:rPr>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5</w:t>
      </w:r>
      <w:r w:rsidRPr="004026FB">
        <w:rPr>
          <w:rStyle w:val="CharacterStyle-BrightColour"/>
        </w:rPr>
        <w:fldChar w:fldCharType="end"/>
      </w:r>
      <w:bookmarkEnd w:id="45"/>
      <w:r w:rsidRPr="004026FB">
        <w:tab/>
        <w:t>Sampled groundwater quality (</w:t>
      </w:r>
      <w:r w:rsidR="003D16CA" w:rsidRPr="004026FB">
        <w:t>additional</w:t>
      </w:r>
      <w:r w:rsidRPr="004026FB">
        <w:t xml:space="preserve"> data)</w:t>
      </w:r>
      <w:bookmarkEnd w:id="46"/>
    </w:p>
    <w:tbl>
      <w:tblPr>
        <w:tblStyle w:val="MainTableStyle"/>
        <w:tblW w:w="0" w:type="auto"/>
        <w:tblLayout w:type="fixed"/>
        <w:tblLook w:val="04A0" w:firstRow="1" w:lastRow="0" w:firstColumn="1" w:lastColumn="0" w:noHBand="0" w:noVBand="1"/>
      </w:tblPr>
      <w:tblGrid>
        <w:gridCol w:w="1800"/>
        <w:gridCol w:w="900"/>
        <w:gridCol w:w="990"/>
        <w:gridCol w:w="810"/>
        <w:gridCol w:w="1080"/>
        <w:gridCol w:w="1260"/>
        <w:gridCol w:w="1170"/>
        <w:gridCol w:w="1061"/>
      </w:tblGrid>
      <w:tr w:rsidR="005B500B" w:rsidRPr="004026FB" w14:paraId="1D357012" w14:textId="77777777" w:rsidTr="005B50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33A296C7" w14:textId="77777777" w:rsidR="005B500B" w:rsidRPr="004026FB" w:rsidRDefault="005B500B" w:rsidP="00053E1F">
            <w:pPr>
              <w:pStyle w:val="TableText"/>
            </w:pPr>
            <w:r w:rsidRPr="004026FB">
              <w:t>Aquifer</w:t>
            </w:r>
          </w:p>
        </w:tc>
        <w:tc>
          <w:tcPr>
            <w:tcW w:w="900" w:type="dxa"/>
          </w:tcPr>
          <w:p w14:paraId="7F7F2436"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Analyte</w:t>
            </w:r>
          </w:p>
        </w:tc>
        <w:tc>
          <w:tcPr>
            <w:tcW w:w="990" w:type="dxa"/>
          </w:tcPr>
          <w:p w14:paraId="4B9D163D"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Unit</w:t>
            </w:r>
          </w:p>
        </w:tc>
        <w:tc>
          <w:tcPr>
            <w:tcW w:w="810" w:type="dxa"/>
          </w:tcPr>
          <w:p w14:paraId="646B0E48"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Count</w:t>
            </w:r>
          </w:p>
        </w:tc>
        <w:tc>
          <w:tcPr>
            <w:tcW w:w="1080" w:type="dxa"/>
          </w:tcPr>
          <w:p w14:paraId="7A0FBE1D"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Minimum</w:t>
            </w:r>
          </w:p>
        </w:tc>
        <w:tc>
          <w:tcPr>
            <w:tcW w:w="1260" w:type="dxa"/>
          </w:tcPr>
          <w:p w14:paraId="48FD5632"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Maximum</w:t>
            </w:r>
          </w:p>
        </w:tc>
        <w:tc>
          <w:tcPr>
            <w:tcW w:w="1170" w:type="dxa"/>
          </w:tcPr>
          <w:p w14:paraId="39E09927"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Average</w:t>
            </w:r>
          </w:p>
        </w:tc>
        <w:tc>
          <w:tcPr>
            <w:tcW w:w="1061" w:type="dxa"/>
          </w:tcPr>
          <w:p w14:paraId="7860309A" w14:textId="77777777" w:rsidR="005B500B" w:rsidRPr="004026FB" w:rsidRDefault="005B500B" w:rsidP="00053E1F">
            <w:pPr>
              <w:pStyle w:val="TableText"/>
              <w:jc w:val="center"/>
              <w:cnfStyle w:val="100000000000" w:firstRow="1" w:lastRow="0" w:firstColumn="0" w:lastColumn="0" w:oddVBand="0" w:evenVBand="0" w:oddHBand="0" w:evenHBand="0" w:firstRowFirstColumn="0" w:firstRowLastColumn="0" w:lastRowFirstColumn="0" w:lastRowLastColumn="0"/>
            </w:pPr>
            <w:r w:rsidRPr="004026FB">
              <w:t>Geo. mean</w:t>
            </w:r>
          </w:p>
        </w:tc>
      </w:tr>
      <w:tr w:rsidR="005B500B" w:rsidRPr="004026FB" w14:paraId="061B419F"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val="restart"/>
          </w:tcPr>
          <w:p w14:paraId="26191A36" w14:textId="77777777" w:rsidR="005B500B" w:rsidRPr="004026FB" w:rsidRDefault="005B500B" w:rsidP="00053E1F">
            <w:pPr>
              <w:pStyle w:val="TableText"/>
              <w:keepNext/>
            </w:pPr>
            <w:r w:rsidRPr="004026FB">
              <w:t>Alluvials (whole of project)</w:t>
            </w:r>
          </w:p>
        </w:tc>
        <w:tc>
          <w:tcPr>
            <w:tcW w:w="900" w:type="dxa"/>
          </w:tcPr>
          <w:p w14:paraId="2C0F61E2"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pH</w:t>
            </w:r>
          </w:p>
        </w:tc>
        <w:tc>
          <w:tcPr>
            <w:tcW w:w="990" w:type="dxa"/>
          </w:tcPr>
          <w:p w14:paraId="652AF3E4"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pH unit</w:t>
            </w:r>
          </w:p>
        </w:tc>
        <w:tc>
          <w:tcPr>
            <w:tcW w:w="810" w:type="dxa"/>
          </w:tcPr>
          <w:p w14:paraId="3BDB5509"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39</w:t>
            </w:r>
          </w:p>
        </w:tc>
        <w:tc>
          <w:tcPr>
            <w:tcW w:w="1080" w:type="dxa"/>
          </w:tcPr>
          <w:p w14:paraId="685A00A0"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6.24</w:t>
            </w:r>
          </w:p>
        </w:tc>
        <w:tc>
          <w:tcPr>
            <w:tcW w:w="1260" w:type="dxa"/>
          </w:tcPr>
          <w:p w14:paraId="5FD6E978"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8.3</w:t>
            </w:r>
          </w:p>
        </w:tc>
        <w:tc>
          <w:tcPr>
            <w:tcW w:w="1170" w:type="dxa"/>
          </w:tcPr>
          <w:p w14:paraId="52C77749"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7.08</w:t>
            </w:r>
          </w:p>
        </w:tc>
        <w:tc>
          <w:tcPr>
            <w:tcW w:w="1061" w:type="dxa"/>
          </w:tcPr>
          <w:p w14:paraId="49380B6D"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7.07</w:t>
            </w:r>
          </w:p>
        </w:tc>
      </w:tr>
      <w:tr w:rsidR="005B500B" w:rsidRPr="004026FB" w14:paraId="6B92FB24"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tcPr>
          <w:p w14:paraId="5EB12F40" w14:textId="77777777" w:rsidR="005B500B" w:rsidRPr="004026FB" w:rsidRDefault="005B500B" w:rsidP="00053E1F">
            <w:pPr>
              <w:pStyle w:val="TableText"/>
              <w:keepNext/>
            </w:pPr>
          </w:p>
        </w:tc>
        <w:tc>
          <w:tcPr>
            <w:tcW w:w="900" w:type="dxa"/>
          </w:tcPr>
          <w:p w14:paraId="4E6E96D2"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EC</w:t>
            </w:r>
          </w:p>
        </w:tc>
        <w:tc>
          <w:tcPr>
            <w:tcW w:w="990" w:type="dxa"/>
          </w:tcPr>
          <w:p w14:paraId="039CD7B3"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µS/cm</w:t>
            </w:r>
          </w:p>
        </w:tc>
        <w:tc>
          <w:tcPr>
            <w:tcW w:w="810" w:type="dxa"/>
          </w:tcPr>
          <w:p w14:paraId="330BA699"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38</w:t>
            </w:r>
          </w:p>
        </w:tc>
        <w:tc>
          <w:tcPr>
            <w:tcW w:w="1080" w:type="dxa"/>
          </w:tcPr>
          <w:p w14:paraId="61031ABD"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1,180</w:t>
            </w:r>
          </w:p>
        </w:tc>
        <w:tc>
          <w:tcPr>
            <w:tcW w:w="1260" w:type="dxa"/>
          </w:tcPr>
          <w:p w14:paraId="4F25B8B9"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13,000</w:t>
            </w:r>
          </w:p>
        </w:tc>
        <w:tc>
          <w:tcPr>
            <w:tcW w:w="1170" w:type="dxa"/>
          </w:tcPr>
          <w:p w14:paraId="752C78E8"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5,315</w:t>
            </w:r>
          </w:p>
        </w:tc>
        <w:tc>
          <w:tcPr>
            <w:tcW w:w="1061" w:type="dxa"/>
          </w:tcPr>
          <w:p w14:paraId="4627451B"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3,898</w:t>
            </w:r>
          </w:p>
        </w:tc>
      </w:tr>
      <w:tr w:rsidR="005B500B" w:rsidRPr="004026FB" w14:paraId="45B696C9"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tcPr>
          <w:p w14:paraId="00B98839" w14:textId="77777777" w:rsidR="005B500B" w:rsidRPr="004026FB" w:rsidRDefault="005B500B" w:rsidP="00053E1F">
            <w:pPr>
              <w:pStyle w:val="TableText"/>
              <w:keepNext/>
            </w:pPr>
          </w:p>
        </w:tc>
        <w:tc>
          <w:tcPr>
            <w:tcW w:w="900" w:type="dxa"/>
          </w:tcPr>
          <w:p w14:paraId="68AB94CC"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TDS</w:t>
            </w:r>
          </w:p>
        </w:tc>
        <w:tc>
          <w:tcPr>
            <w:tcW w:w="990" w:type="dxa"/>
          </w:tcPr>
          <w:p w14:paraId="197848C1"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mg/L</w:t>
            </w:r>
          </w:p>
        </w:tc>
        <w:tc>
          <w:tcPr>
            <w:tcW w:w="810" w:type="dxa"/>
          </w:tcPr>
          <w:p w14:paraId="368BCF9B" w14:textId="77777777" w:rsidR="005B500B" w:rsidRPr="004026FB" w:rsidRDefault="005B500B" w:rsidP="00053E1F">
            <w:pPr>
              <w:pStyle w:val="TableText"/>
              <w:keepNext/>
              <w:numPr>
                <w:ilvl w:val="0"/>
                <w:numId w:val="0"/>
              </w:numPr>
              <w:jc w:val="center"/>
              <w:cnfStyle w:val="000000000000" w:firstRow="0" w:lastRow="0" w:firstColumn="0" w:lastColumn="0" w:oddVBand="0" w:evenVBand="0" w:oddHBand="0" w:evenHBand="0" w:firstRowFirstColumn="0" w:firstRowLastColumn="0" w:lastRowFirstColumn="0" w:lastRowLastColumn="0"/>
            </w:pPr>
            <w:r w:rsidRPr="004026FB">
              <w:t>35</w:t>
            </w:r>
          </w:p>
        </w:tc>
        <w:tc>
          <w:tcPr>
            <w:tcW w:w="1080" w:type="dxa"/>
          </w:tcPr>
          <w:p w14:paraId="2CA84FB1"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703</w:t>
            </w:r>
          </w:p>
        </w:tc>
        <w:tc>
          <w:tcPr>
            <w:tcW w:w="1260" w:type="dxa"/>
          </w:tcPr>
          <w:p w14:paraId="5005FFBC"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7,190</w:t>
            </w:r>
          </w:p>
        </w:tc>
        <w:tc>
          <w:tcPr>
            <w:tcW w:w="1170" w:type="dxa"/>
          </w:tcPr>
          <w:p w14:paraId="11309F40"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2,795</w:t>
            </w:r>
          </w:p>
        </w:tc>
        <w:tc>
          <w:tcPr>
            <w:tcW w:w="1061" w:type="dxa"/>
          </w:tcPr>
          <w:p w14:paraId="115A0676" w14:textId="77777777" w:rsidR="005B500B" w:rsidRPr="004026FB" w:rsidRDefault="005B500B" w:rsidP="00053E1F">
            <w:pPr>
              <w:pStyle w:val="TableText"/>
              <w:keepNext/>
              <w:jc w:val="center"/>
              <w:cnfStyle w:val="000000000000" w:firstRow="0" w:lastRow="0" w:firstColumn="0" w:lastColumn="0" w:oddVBand="0" w:evenVBand="0" w:oddHBand="0" w:evenHBand="0" w:firstRowFirstColumn="0" w:firstRowLastColumn="0" w:lastRowFirstColumn="0" w:lastRowLastColumn="0"/>
            </w:pPr>
            <w:r w:rsidRPr="004026FB">
              <w:t>2,148</w:t>
            </w:r>
          </w:p>
        </w:tc>
      </w:tr>
      <w:tr w:rsidR="005B500B" w:rsidRPr="004026FB" w14:paraId="07ADBEC3" w14:textId="77777777" w:rsidTr="005B500B">
        <w:tc>
          <w:tcPr>
            <w:cnfStyle w:val="001000000000" w:firstRow="0" w:lastRow="0" w:firstColumn="1" w:lastColumn="0" w:oddVBand="0" w:evenVBand="0" w:oddHBand="0" w:evenHBand="0" w:firstRowFirstColumn="0" w:firstRowLastColumn="0" w:lastRowFirstColumn="0" w:lastRowLastColumn="0"/>
            <w:tcW w:w="1800" w:type="dxa"/>
          </w:tcPr>
          <w:p w14:paraId="08C38686" w14:textId="77777777" w:rsidR="005B500B" w:rsidRPr="004026FB" w:rsidRDefault="005B500B" w:rsidP="005B500B">
            <w:pPr>
              <w:pStyle w:val="TableText"/>
            </w:pPr>
            <w:r w:rsidRPr="004026FB">
              <w:t>Alluvials (Commonwealth land)</w:t>
            </w:r>
          </w:p>
        </w:tc>
        <w:tc>
          <w:tcPr>
            <w:tcW w:w="7271" w:type="dxa"/>
            <w:gridSpan w:val="7"/>
          </w:tcPr>
          <w:p w14:paraId="500C6C90"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Not present on Commonwealth land (west side of Simpson Barracks)</w:t>
            </w:r>
          </w:p>
        </w:tc>
      </w:tr>
      <w:tr w:rsidR="005B500B" w:rsidRPr="004026FB" w14:paraId="2BFB3875" w14:textId="77777777" w:rsidTr="005B500B">
        <w:tc>
          <w:tcPr>
            <w:cnfStyle w:val="001000000000" w:firstRow="0" w:lastRow="0" w:firstColumn="1" w:lastColumn="0" w:oddVBand="0" w:evenVBand="0" w:oddHBand="0" w:evenHBand="0" w:firstRowFirstColumn="0" w:firstRowLastColumn="0" w:lastRowFirstColumn="0" w:lastRowLastColumn="0"/>
            <w:tcW w:w="1800" w:type="dxa"/>
          </w:tcPr>
          <w:p w14:paraId="2F7BE847" w14:textId="77777777" w:rsidR="005B500B" w:rsidRPr="004026FB" w:rsidRDefault="005B500B" w:rsidP="005B500B">
            <w:pPr>
              <w:pStyle w:val="TableText"/>
            </w:pPr>
            <w:r w:rsidRPr="004026FB">
              <w:t>Bedrock (whole of project)</w:t>
            </w:r>
          </w:p>
        </w:tc>
        <w:tc>
          <w:tcPr>
            <w:tcW w:w="900" w:type="dxa"/>
          </w:tcPr>
          <w:p w14:paraId="3F8AB06D"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TDS</w:t>
            </w:r>
          </w:p>
        </w:tc>
        <w:tc>
          <w:tcPr>
            <w:tcW w:w="990" w:type="dxa"/>
          </w:tcPr>
          <w:p w14:paraId="469F2E1F"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mg/L</w:t>
            </w:r>
          </w:p>
        </w:tc>
        <w:tc>
          <w:tcPr>
            <w:tcW w:w="810" w:type="dxa"/>
          </w:tcPr>
          <w:p w14:paraId="63B94402"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104</w:t>
            </w:r>
          </w:p>
        </w:tc>
        <w:tc>
          <w:tcPr>
            <w:tcW w:w="1080" w:type="dxa"/>
          </w:tcPr>
          <w:p w14:paraId="5572FE61"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730</w:t>
            </w:r>
          </w:p>
        </w:tc>
        <w:tc>
          <w:tcPr>
            <w:tcW w:w="1260" w:type="dxa"/>
          </w:tcPr>
          <w:p w14:paraId="3795C088"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12,000</w:t>
            </w:r>
          </w:p>
        </w:tc>
        <w:tc>
          <w:tcPr>
            <w:tcW w:w="1170" w:type="dxa"/>
          </w:tcPr>
          <w:p w14:paraId="0707ED76"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6,268</w:t>
            </w:r>
          </w:p>
        </w:tc>
        <w:tc>
          <w:tcPr>
            <w:tcW w:w="1061" w:type="dxa"/>
          </w:tcPr>
          <w:p w14:paraId="562D895A"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5,602</w:t>
            </w:r>
          </w:p>
        </w:tc>
      </w:tr>
      <w:tr w:rsidR="005B500B" w:rsidRPr="004026FB" w14:paraId="2EC24573"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val="restart"/>
          </w:tcPr>
          <w:p w14:paraId="5FB1B685" w14:textId="77777777" w:rsidR="005B500B" w:rsidRPr="004026FB" w:rsidRDefault="005B500B" w:rsidP="005B500B">
            <w:pPr>
              <w:pStyle w:val="TableText"/>
            </w:pPr>
            <w:r w:rsidRPr="004026FB">
              <w:t>Bedrock (Commonwealth land)</w:t>
            </w:r>
          </w:p>
        </w:tc>
        <w:tc>
          <w:tcPr>
            <w:tcW w:w="900" w:type="dxa"/>
          </w:tcPr>
          <w:p w14:paraId="3FB3FA3D"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pH</w:t>
            </w:r>
          </w:p>
        </w:tc>
        <w:tc>
          <w:tcPr>
            <w:tcW w:w="990" w:type="dxa"/>
          </w:tcPr>
          <w:p w14:paraId="7693BB8A"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pH unit</w:t>
            </w:r>
          </w:p>
        </w:tc>
        <w:tc>
          <w:tcPr>
            <w:tcW w:w="810" w:type="dxa"/>
          </w:tcPr>
          <w:p w14:paraId="1C8EA4FB"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24</w:t>
            </w:r>
          </w:p>
        </w:tc>
        <w:tc>
          <w:tcPr>
            <w:tcW w:w="1080" w:type="dxa"/>
          </w:tcPr>
          <w:p w14:paraId="275BF0CD"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6.7</w:t>
            </w:r>
          </w:p>
        </w:tc>
        <w:tc>
          <w:tcPr>
            <w:tcW w:w="1260" w:type="dxa"/>
          </w:tcPr>
          <w:p w14:paraId="0D31A41E"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7.8</w:t>
            </w:r>
          </w:p>
        </w:tc>
        <w:tc>
          <w:tcPr>
            <w:tcW w:w="1170" w:type="dxa"/>
          </w:tcPr>
          <w:p w14:paraId="4471DCDA"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7.4</w:t>
            </w:r>
          </w:p>
        </w:tc>
        <w:tc>
          <w:tcPr>
            <w:tcW w:w="1061" w:type="dxa"/>
          </w:tcPr>
          <w:p w14:paraId="5F327BBF"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7.4</w:t>
            </w:r>
          </w:p>
        </w:tc>
      </w:tr>
      <w:tr w:rsidR="005B500B" w:rsidRPr="004026FB" w14:paraId="36BAAA90"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tcPr>
          <w:p w14:paraId="6DEF184D" w14:textId="77777777" w:rsidR="005B500B" w:rsidRPr="004026FB" w:rsidRDefault="005B500B" w:rsidP="005B500B">
            <w:pPr>
              <w:pStyle w:val="TableText"/>
            </w:pPr>
          </w:p>
        </w:tc>
        <w:tc>
          <w:tcPr>
            <w:tcW w:w="900" w:type="dxa"/>
          </w:tcPr>
          <w:p w14:paraId="088445C6"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EC</w:t>
            </w:r>
          </w:p>
        </w:tc>
        <w:tc>
          <w:tcPr>
            <w:tcW w:w="990" w:type="dxa"/>
          </w:tcPr>
          <w:p w14:paraId="557583E3"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µS/cm</w:t>
            </w:r>
          </w:p>
        </w:tc>
        <w:tc>
          <w:tcPr>
            <w:tcW w:w="810" w:type="dxa"/>
          </w:tcPr>
          <w:p w14:paraId="185175D5"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24</w:t>
            </w:r>
          </w:p>
        </w:tc>
        <w:tc>
          <w:tcPr>
            <w:tcW w:w="1080" w:type="dxa"/>
          </w:tcPr>
          <w:p w14:paraId="0822221B"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8,380</w:t>
            </w:r>
          </w:p>
        </w:tc>
        <w:tc>
          <w:tcPr>
            <w:tcW w:w="1260" w:type="dxa"/>
          </w:tcPr>
          <w:p w14:paraId="2083225A"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18,300</w:t>
            </w:r>
          </w:p>
        </w:tc>
        <w:tc>
          <w:tcPr>
            <w:tcW w:w="1170" w:type="dxa"/>
          </w:tcPr>
          <w:p w14:paraId="61C9A78B"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12,095</w:t>
            </w:r>
          </w:p>
        </w:tc>
        <w:tc>
          <w:tcPr>
            <w:tcW w:w="1061" w:type="dxa"/>
          </w:tcPr>
          <w:p w14:paraId="102D58F7"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11,768</w:t>
            </w:r>
          </w:p>
        </w:tc>
      </w:tr>
      <w:tr w:rsidR="005B500B" w:rsidRPr="004026FB" w14:paraId="4C18D414" w14:textId="77777777" w:rsidTr="005B500B">
        <w:tc>
          <w:tcPr>
            <w:cnfStyle w:val="001000000000" w:firstRow="0" w:lastRow="0" w:firstColumn="1" w:lastColumn="0" w:oddVBand="0" w:evenVBand="0" w:oddHBand="0" w:evenHBand="0" w:firstRowFirstColumn="0" w:firstRowLastColumn="0" w:lastRowFirstColumn="0" w:lastRowLastColumn="0"/>
            <w:tcW w:w="1800" w:type="dxa"/>
            <w:vMerge/>
          </w:tcPr>
          <w:p w14:paraId="322E1DF2" w14:textId="77777777" w:rsidR="005B500B" w:rsidRPr="004026FB" w:rsidRDefault="005B500B" w:rsidP="005B500B">
            <w:pPr>
              <w:pStyle w:val="TableText"/>
            </w:pPr>
          </w:p>
        </w:tc>
        <w:tc>
          <w:tcPr>
            <w:tcW w:w="900" w:type="dxa"/>
          </w:tcPr>
          <w:p w14:paraId="2E3F9944"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TDS</w:t>
            </w:r>
          </w:p>
        </w:tc>
        <w:tc>
          <w:tcPr>
            <w:tcW w:w="990" w:type="dxa"/>
          </w:tcPr>
          <w:p w14:paraId="58E7A310"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mg/L</w:t>
            </w:r>
          </w:p>
        </w:tc>
        <w:tc>
          <w:tcPr>
            <w:tcW w:w="810" w:type="dxa"/>
          </w:tcPr>
          <w:p w14:paraId="49678317"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24</w:t>
            </w:r>
          </w:p>
        </w:tc>
        <w:tc>
          <w:tcPr>
            <w:tcW w:w="1080" w:type="dxa"/>
          </w:tcPr>
          <w:p w14:paraId="231CE0E0"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5,220</w:t>
            </w:r>
          </w:p>
        </w:tc>
        <w:tc>
          <w:tcPr>
            <w:tcW w:w="1260" w:type="dxa"/>
          </w:tcPr>
          <w:p w14:paraId="25EBAAD9"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10,800</w:t>
            </w:r>
          </w:p>
        </w:tc>
        <w:tc>
          <w:tcPr>
            <w:tcW w:w="1170" w:type="dxa"/>
          </w:tcPr>
          <w:p w14:paraId="5D060685"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7,061</w:t>
            </w:r>
          </w:p>
        </w:tc>
        <w:tc>
          <w:tcPr>
            <w:tcW w:w="1061" w:type="dxa"/>
          </w:tcPr>
          <w:p w14:paraId="4B35054A" w14:textId="77777777" w:rsidR="005B500B" w:rsidRPr="004026FB" w:rsidRDefault="005B500B" w:rsidP="005B500B">
            <w:pPr>
              <w:pStyle w:val="TableText"/>
              <w:jc w:val="center"/>
              <w:cnfStyle w:val="000000000000" w:firstRow="0" w:lastRow="0" w:firstColumn="0" w:lastColumn="0" w:oddVBand="0" w:evenVBand="0" w:oddHBand="0" w:evenHBand="0" w:firstRowFirstColumn="0" w:firstRowLastColumn="0" w:lastRowFirstColumn="0" w:lastRowLastColumn="0"/>
            </w:pPr>
            <w:r w:rsidRPr="004026FB">
              <w:t>6,835</w:t>
            </w:r>
          </w:p>
        </w:tc>
      </w:tr>
    </w:tbl>
    <w:p w14:paraId="0A1110F0" w14:textId="5BCC773B" w:rsidR="00673E79" w:rsidRPr="004026FB" w:rsidRDefault="005B500B" w:rsidP="00673E79">
      <w:pPr>
        <w:pStyle w:val="Source"/>
      </w:pPr>
      <w:r w:rsidRPr="004026FB">
        <w:t>Note</w:t>
      </w:r>
      <w:r w:rsidR="00717A28" w:rsidRPr="004026FB">
        <w:t>s</w:t>
      </w:r>
      <w:proofErr w:type="gramStart"/>
      <w:r w:rsidRPr="004026FB">
        <w:t>:</w:t>
      </w:r>
      <w:proofErr w:type="gramEnd"/>
      <w:r w:rsidRPr="004026FB">
        <w:br/>
        <w:t>1. At time of reporting, no North East Link bores were developed in the volcanics (Newer or Older).</w:t>
      </w:r>
      <w:r w:rsidRPr="004026FB">
        <w:br/>
        <w:t>2. Whole of study area includes Commonwealth land</w:t>
      </w:r>
      <w:r w:rsidRPr="004026FB">
        <w:br/>
        <w:t>3. Some bores have been sampled more than once.</w:t>
      </w:r>
    </w:p>
    <w:p w14:paraId="40A4B55D" w14:textId="4AAA8083" w:rsidR="0058165F" w:rsidRPr="004026FB" w:rsidRDefault="0058165F" w:rsidP="0058165F">
      <w:pPr>
        <w:pStyle w:val="Heading3"/>
      </w:pPr>
      <w:bookmarkStart w:id="47" w:name="_Toc19489070"/>
      <w:r w:rsidRPr="004026FB">
        <w:t>Groundwater dependent ecosystems</w:t>
      </w:r>
      <w:bookmarkEnd w:id="42"/>
      <w:bookmarkEnd w:id="43"/>
      <w:bookmarkEnd w:id="47"/>
    </w:p>
    <w:p w14:paraId="09CE96EB" w14:textId="60E7BF72" w:rsidR="0058165F" w:rsidRPr="004026FB" w:rsidRDefault="0058165F" w:rsidP="0058165F">
      <w:pPr>
        <w:pStyle w:val="BodyText"/>
      </w:pPr>
      <w:r w:rsidRPr="004026FB">
        <w:t>In accordance with item (e) in Section 2.5.2.1 of the PER Guidelines, this subsection identifies potential groundwater dependent ecosystems (GDEs) based on depth to groundwater. Further</w:t>
      </w:r>
      <w:r w:rsidR="00D518CD" w:rsidRPr="004026FB">
        <w:t> </w:t>
      </w:r>
      <w:r w:rsidRPr="004026FB">
        <w:t xml:space="preserve">information is provided in PER Technical Appendix </w:t>
      </w:r>
      <w:proofErr w:type="gramStart"/>
      <w:r w:rsidRPr="004026FB">
        <w:t>A</w:t>
      </w:r>
      <w:proofErr w:type="gramEnd"/>
      <w:r w:rsidRPr="004026FB">
        <w:t xml:space="preserve"> – Flora and fauna technical report. </w:t>
      </w:r>
    </w:p>
    <w:p w14:paraId="55805896" w14:textId="123846EA" w:rsidR="0058165F" w:rsidRPr="004026FB" w:rsidRDefault="0058165F" w:rsidP="00D518CD">
      <w:pPr>
        <w:pStyle w:val="BodyText"/>
        <w:ind w:right="-170"/>
      </w:pPr>
      <w:r w:rsidRPr="004026FB">
        <w:t>GDEs are natural ecosystems that require groundwater to meet some or all of their water requirements to maintain their communities of plants, animals, ecological processes or services. If</w:t>
      </w:r>
      <w:r w:rsidR="00D518CD" w:rsidRPr="004026FB">
        <w:t> </w:t>
      </w:r>
      <w:r w:rsidRPr="004026FB">
        <w:t xml:space="preserve">groundwater availability is reduced or groundwater quality decreases, the ecosystems would be adversely impacted. </w:t>
      </w:r>
    </w:p>
    <w:p w14:paraId="37D35A92" w14:textId="77777777" w:rsidR="0058165F" w:rsidRPr="004026FB" w:rsidRDefault="0058165F" w:rsidP="0058165F">
      <w:pPr>
        <w:pStyle w:val="BodyText"/>
      </w:pPr>
      <w:r w:rsidRPr="004026FB">
        <w:t xml:space="preserve">GDE reliance on groundwater in the study area is potentially via direct groundwater discharge to surface waters (such as baseflow to wetlands – surface expression of groundwater), and/or via evapotranspiration from the water table by vegetation (sub-surface expression). The degree of groundwater dependence typically varies temporally and/or opportunistically, depending on the availability of other sources of water (for example prevailing climate, and runoff during wetter periods). Groundwater dependence is also spatially variable, as dictated by factors including topography, water table depth and vegetation rooting depth, soil types and groundwater quality. </w:t>
      </w:r>
    </w:p>
    <w:p w14:paraId="424651FB" w14:textId="36CDA8A9" w:rsidR="0058165F" w:rsidRPr="004026FB" w:rsidRDefault="0058165F" w:rsidP="0058165F">
      <w:pPr>
        <w:pStyle w:val="BodyText"/>
      </w:pPr>
      <w:r w:rsidRPr="004026FB">
        <w:lastRenderedPageBreak/>
        <w:t>Existing mapping that identifies potential GDEs was used, as well as specific project modelling undertaken, to identify GDEs adjacent to the project boundary (see PER Technical Appendix A – Flora and fauna technical report). This is due to the conservative assumption that all vegetation within North East Link project boundary would be removed, and so any change in groundwater within the project boundary is not relevant. GDEs that have been identified adjacent to North East Link that may be affected based on depth to and reliance on groundwater are described below.</w:t>
      </w:r>
    </w:p>
    <w:p w14:paraId="1EC3D3D7" w14:textId="77777777" w:rsidR="0058165F" w:rsidRPr="004026FB" w:rsidRDefault="0058165F" w:rsidP="0058165F">
      <w:pPr>
        <w:pStyle w:val="Heading4"/>
      </w:pPr>
      <w:r w:rsidRPr="004026FB">
        <w:t xml:space="preserve">Banyule Creek and surrounds (Simpson Barracks) </w:t>
      </w:r>
    </w:p>
    <w:p w14:paraId="59A2A7C9" w14:textId="0011BDB3" w:rsidR="0058165F" w:rsidRPr="004026FB" w:rsidRDefault="0058165F" w:rsidP="0058165F">
      <w:pPr>
        <w:pStyle w:val="BodyText"/>
      </w:pPr>
      <w:r w:rsidRPr="004026FB">
        <w:t xml:space="preserve">At Simpson Barracks, the headwaters of Banyule Creek </w:t>
      </w:r>
      <w:r w:rsidR="00B21569" w:rsidRPr="004026FB">
        <w:t>are</w:t>
      </w:r>
      <w:r w:rsidRPr="004026FB">
        <w:t xml:space="preserve"> mapped as a GDE, relying on the surface expression of groundwater. In addition, parts of the Plains Grassy Woodland mapped within Simpson Barracks are mapped as a GDE. This preliminary mapped data was then used to help determine modelled groundwater dependency, as described below. In the Plains Grassy Woodland, the dominant tree species are River Red Gum in the lower western section closest to the project boundary, in association with Yellow Box and Studley Park Gum.</w:t>
      </w:r>
    </w:p>
    <w:p w14:paraId="500BAB33" w14:textId="23211A50" w:rsidR="0058165F" w:rsidRPr="004026FB" w:rsidRDefault="0058165F" w:rsidP="0058165F">
      <w:pPr>
        <w:pStyle w:val="BodyText"/>
      </w:pPr>
      <w:r w:rsidRPr="004026FB">
        <w:t>On the lower slopes of Simpson Barracks, where depth to groundwater is modelled to be 10 metres</w:t>
      </w:r>
      <w:r w:rsidR="00D518CD" w:rsidRPr="004026FB">
        <w:t xml:space="preserve"> </w:t>
      </w:r>
      <w:r w:rsidRPr="004026FB">
        <w:t>or less (based on groundwater depth contours), it is assumed that River Red Gums are accessing</w:t>
      </w:r>
      <w:r w:rsidR="00D518CD" w:rsidRPr="004026FB">
        <w:t> </w:t>
      </w:r>
      <w:r w:rsidRPr="004026FB">
        <w:t xml:space="preserve">subsurface groundwater for at least part of the year (such as during summer) or during drought conditions. </w:t>
      </w:r>
    </w:p>
    <w:p w14:paraId="6AB3B3EB" w14:textId="77777777" w:rsidR="0058165F" w:rsidRPr="004026FB" w:rsidRDefault="0058165F" w:rsidP="0058165F">
      <w:pPr>
        <w:pStyle w:val="BodyText"/>
      </w:pPr>
      <w:r w:rsidRPr="004026FB">
        <w:t>On the lower to mid slopes of Simpson Barracks (east of the project boundary) where depth to groundwater is 10 to 20 metres (based on groundwater depth contours), it is assumed that River Red Gums may be accessing subsurface groundwater for at least part of the year (such as during summer) or during drought conditions.</w:t>
      </w:r>
    </w:p>
    <w:p w14:paraId="0B0A29E6" w14:textId="77777777" w:rsidR="0058165F" w:rsidRPr="004026FB" w:rsidRDefault="0058165F" w:rsidP="0058165F">
      <w:pPr>
        <w:pStyle w:val="BodyText"/>
      </w:pPr>
      <w:r w:rsidRPr="004026FB">
        <w:t>On the upper slopes of Simpson Barracks where depth to groundwater is greater than 20 metres (based on groundwater depth contours), it is assumed that River Red Gum and Yellow Box do not access subsurface groundwater.</w:t>
      </w:r>
    </w:p>
    <w:p w14:paraId="1FF602C5" w14:textId="77777777" w:rsidR="0058165F" w:rsidRPr="004026FB" w:rsidRDefault="0058165F" w:rsidP="0058165F">
      <w:pPr>
        <w:pStyle w:val="Heading4"/>
      </w:pPr>
      <w:r w:rsidRPr="004026FB">
        <w:t xml:space="preserve">Banyule Flats </w:t>
      </w:r>
    </w:p>
    <w:p w14:paraId="3BD50B78" w14:textId="77777777" w:rsidR="0058165F" w:rsidRPr="004026FB" w:rsidRDefault="0058165F" w:rsidP="0058165F">
      <w:pPr>
        <w:pStyle w:val="BodyText"/>
      </w:pPr>
      <w:r w:rsidRPr="004026FB">
        <w:t xml:space="preserve">GDEs are modelled extensively across the Banyule Flats area. </w:t>
      </w:r>
    </w:p>
    <w:p w14:paraId="7725D481" w14:textId="4724CE6C" w:rsidR="0058165F" w:rsidRPr="004026FB" w:rsidRDefault="0058165F" w:rsidP="00955709">
      <w:pPr>
        <w:pStyle w:val="Heading4"/>
      </w:pPr>
      <w:r w:rsidRPr="004026FB">
        <w:t xml:space="preserve">Yarra Flats (including Yarra floodplain, ephemeral Yarra billabongs, and </w:t>
      </w:r>
      <w:r w:rsidR="004C5A88" w:rsidRPr="004026FB">
        <w:t>Bolin Bolin</w:t>
      </w:r>
      <w:r w:rsidRPr="004026FB">
        <w:t xml:space="preserve"> Billabong)</w:t>
      </w:r>
    </w:p>
    <w:p w14:paraId="015657DF" w14:textId="77777777" w:rsidR="0058165F" w:rsidRPr="004026FB" w:rsidRDefault="0058165F" w:rsidP="0058165F">
      <w:pPr>
        <w:pStyle w:val="BodyText"/>
      </w:pPr>
      <w:r w:rsidRPr="004026FB">
        <w:t>At the proposed location of the North East Link southern portal, the majority of the Yarra River floodplain (characterised mainly by Floodplain Riparian Woodland) adjacent to the project boundary is mapped as GDEs, relying on the surface or subsurface expression of groundwater. The GDEs in this area are thought to be accessing an alluvial aquifer, which is understood to be strongly interconnected with Yarra River surface water levels, although local groundwater levels and flux pathways are affected by local geology and topography.</w:t>
      </w:r>
    </w:p>
    <w:p w14:paraId="6875B4FD" w14:textId="0531425A" w:rsidR="0058165F" w:rsidRPr="004026FB" w:rsidRDefault="0058165F" w:rsidP="0058165F">
      <w:pPr>
        <w:pStyle w:val="BodyText"/>
      </w:pPr>
      <w:r w:rsidRPr="004026FB">
        <w:lastRenderedPageBreak/>
        <w:t xml:space="preserve">On the floodplain of the Yarra River where depth to groundwater is modelled to be </w:t>
      </w:r>
      <w:r w:rsidR="00C859B4" w:rsidRPr="004026FB">
        <w:t>zero</w:t>
      </w:r>
      <w:r w:rsidRPr="004026FB">
        <w:t xml:space="preserve"> to 10 metres, it is assumed that River Red Gums within the Floodplain Riparian Woodland EVC are accessing subsurface groundwater.</w:t>
      </w:r>
    </w:p>
    <w:p w14:paraId="06AD49D9" w14:textId="4DCB28AC" w:rsidR="0058165F" w:rsidRPr="004026FB" w:rsidRDefault="0058165F" w:rsidP="0058165F">
      <w:pPr>
        <w:pStyle w:val="BodyText"/>
      </w:pPr>
      <w:r w:rsidRPr="004026FB">
        <w:t xml:space="preserve">In billabongs associated with the Yarra River floodplain, where depth to groundwater is modelled to be </w:t>
      </w:r>
      <w:r w:rsidR="00C859B4" w:rsidRPr="004026FB">
        <w:t>zero</w:t>
      </w:r>
      <w:r w:rsidRPr="004026FB">
        <w:t xml:space="preserve"> to five metres, it is assumed these wetlands are largely filled by overland flow during floods or local runoff from natural or stormwater catchment, and so do not have obligate dependency. Connection to groundwater is expected to occur during and immediately following flooding or inundation events, as the water collected in the billabong seeps into the groundwater.</w:t>
      </w:r>
    </w:p>
    <w:p w14:paraId="40F6B30B" w14:textId="1336FFAE" w:rsidR="0058165F" w:rsidRPr="004026FB" w:rsidRDefault="0058165F" w:rsidP="0058165F">
      <w:pPr>
        <w:pStyle w:val="BodyText"/>
      </w:pPr>
      <w:r w:rsidRPr="004026FB">
        <w:t xml:space="preserve">The eastern end of </w:t>
      </w:r>
      <w:r w:rsidR="004C5A88" w:rsidRPr="004026FB">
        <w:t>Bolin Bolin</w:t>
      </w:r>
      <w:r w:rsidRPr="004026FB">
        <w:t xml:space="preserve"> Billabong contains a deep pool, with an area of permanent surface water which rarely dries out (approximately once per decade) </w:t>
      </w:r>
      <w:sdt>
        <w:sdtPr>
          <w:id w:val="-1351334309"/>
          <w:citation/>
        </w:sdtPr>
        <w:sdtEndPr/>
        <w:sdtContent>
          <w:r w:rsidRPr="004026FB">
            <w:fldChar w:fldCharType="begin"/>
          </w:r>
          <w:r w:rsidRPr="004026FB">
            <w:instrText xml:space="preserve"> CITATION Jac17 \l 5129 </w:instrText>
          </w:r>
          <w:r w:rsidRPr="004026FB">
            <w:fldChar w:fldCharType="separate"/>
          </w:r>
          <w:r w:rsidR="007530D3" w:rsidRPr="007530D3">
            <w:rPr>
              <w:noProof/>
            </w:rPr>
            <w:t>(Jacobs, 2017)</w:t>
          </w:r>
          <w:r w:rsidRPr="004026FB">
            <w:fldChar w:fldCharType="end"/>
          </w:r>
        </w:sdtContent>
      </w:sdt>
      <w:r w:rsidRPr="004026FB">
        <w:t xml:space="preserve">. This deep pool spanning an area of approximately 0.2 hectares is recognised by Melbourne Water as groundwater dependent </w:t>
      </w:r>
      <w:sdt>
        <w:sdtPr>
          <w:id w:val="-122625019"/>
          <w:citation/>
        </w:sdtPr>
        <w:sdtEndPr/>
        <w:sdtContent>
          <w:r w:rsidRPr="004026FB">
            <w:fldChar w:fldCharType="begin"/>
          </w:r>
          <w:r w:rsidRPr="004026FB">
            <w:instrText xml:space="preserve"> CITATION Jac17 \l 5129 </w:instrText>
          </w:r>
          <w:r w:rsidRPr="004026FB">
            <w:fldChar w:fldCharType="separate"/>
          </w:r>
          <w:r w:rsidR="007530D3" w:rsidRPr="007530D3">
            <w:rPr>
              <w:noProof/>
            </w:rPr>
            <w:t>(Jacobs, 2017)</w:t>
          </w:r>
          <w:r w:rsidRPr="004026FB">
            <w:fldChar w:fldCharType="end"/>
          </w:r>
        </w:sdtContent>
      </w:sdt>
      <w:r w:rsidRPr="004026FB">
        <w:t xml:space="preserve"> and at typical baseflow, the water level is approximately 1.8 metres deep.</w:t>
      </w:r>
    </w:p>
    <w:p w14:paraId="533F8316" w14:textId="77777777" w:rsidR="0058165F" w:rsidRPr="004026FB" w:rsidRDefault="0058165F" w:rsidP="00955709">
      <w:pPr>
        <w:pStyle w:val="Heading3"/>
      </w:pPr>
      <w:bookmarkStart w:id="48" w:name="_Ref535250358"/>
      <w:bookmarkStart w:id="49" w:name="_Ref535250410"/>
      <w:bookmarkStart w:id="50" w:name="_Toc3641369"/>
      <w:bookmarkStart w:id="51" w:name="_Toc19489071"/>
      <w:r w:rsidRPr="004026FB">
        <w:t>Existing groundwater users</w:t>
      </w:r>
      <w:bookmarkEnd w:id="48"/>
      <w:bookmarkEnd w:id="49"/>
      <w:bookmarkEnd w:id="50"/>
      <w:bookmarkEnd w:id="51"/>
      <w:r w:rsidRPr="004026FB">
        <w:t xml:space="preserve"> </w:t>
      </w:r>
    </w:p>
    <w:bookmarkEnd w:id="44"/>
    <w:p w14:paraId="4694D7E1" w14:textId="77777777" w:rsidR="0058165F" w:rsidRPr="004026FB" w:rsidRDefault="0058165F" w:rsidP="0058165F">
      <w:pPr>
        <w:pStyle w:val="BodyText"/>
      </w:pPr>
      <w:r w:rsidRPr="004026FB">
        <w:t>To assist with the assessment required by item (i) in Section 2.5.2.1 of the PER Guidelines, this subsection identifies potential groundwater users in the study area.</w:t>
      </w:r>
    </w:p>
    <w:p w14:paraId="572ABA5D" w14:textId="7E0866F5" w:rsidR="0058165F" w:rsidRPr="004026FB" w:rsidRDefault="0058165F" w:rsidP="0058165F">
      <w:pPr>
        <w:pStyle w:val="BodyText"/>
      </w:pPr>
      <w:r w:rsidRPr="004026FB">
        <w:t>Groundwater uses are limited within the study area. This is due to the urbanised, mostly residential setting and the brackish to saline groundwater quality, limiting its benefits to potential users. There</w:t>
      </w:r>
      <w:r w:rsidR="00D518CD" w:rsidRPr="004026FB">
        <w:t> </w:t>
      </w:r>
      <w:r w:rsidRPr="004026FB">
        <w:t xml:space="preserve">are 207 bores registered within one kilometre of the project boundary and the bore numbers by use type are summarised in </w:t>
      </w:r>
      <w:r w:rsidR="005C097A" w:rsidRPr="004026FB">
        <w:fldChar w:fldCharType="begin"/>
      </w:r>
      <w:r w:rsidR="005C097A" w:rsidRPr="004026FB">
        <w:instrText xml:space="preserve"> REF _Ref4598791 \h  \* MERGEFORMAT </w:instrText>
      </w:r>
      <w:r w:rsidR="005C097A" w:rsidRPr="004026FB">
        <w:fldChar w:fldCharType="separate"/>
      </w:r>
      <w:r w:rsidR="007530D3" w:rsidRPr="007530D3">
        <w:t>Table 8</w:t>
      </w:r>
      <w:r w:rsidR="007530D3" w:rsidRPr="007530D3">
        <w:noBreakHyphen/>
        <w:t>6</w:t>
      </w:r>
      <w:r w:rsidR="005C097A" w:rsidRPr="004026FB">
        <w:fldChar w:fldCharType="end"/>
      </w:r>
      <w:r w:rsidRPr="004026FB">
        <w:t xml:space="preserve">. Two groundwater monitoring bores were also identified at Simpson Barracks during a site inspection. These monitoring bores are not registered and not accounted for in </w:t>
      </w:r>
      <w:r w:rsidR="005C097A" w:rsidRPr="004026FB">
        <w:fldChar w:fldCharType="begin"/>
      </w:r>
      <w:r w:rsidR="005C097A" w:rsidRPr="004026FB">
        <w:instrText xml:space="preserve"> REF _Ref4598791 \h  \* MERGEFORMAT </w:instrText>
      </w:r>
      <w:r w:rsidR="005C097A" w:rsidRPr="004026FB">
        <w:fldChar w:fldCharType="separate"/>
      </w:r>
      <w:r w:rsidR="007530D3" w:rsidRPr="007530D3">
        <w:t>Table 8</w:t>
      </w:r>
      <w:r w:rsidR="007530D3" w:rsidRPr="007530D3">
        <w:noBreakHyphen/>
        <w:t>6</w:t>
      </w:r>
      <w:r w:rsidR="005C097A" w:rsidRPr="004026FB">
        <w:fldChar w:fldCharType="end"/>
      </w:r>
      <w:r w:rsidRPr="004026FB">
        <w:t>.</w:t>
      </w:r>
    </w:p>
    <w:p w14:paraId="5DEAFCA5" w14:textId="0893F1EA" w:rsidR="00955709" w:rsidRPr="004026FB" w:rsidRDefault="00955709" w:rsidP="00955709">
      <w:pPr>
        <w:pStyle w:val="Caption"/>
      </w:pPr>
      <w:bookmarkStart w:id="52" w:name="_Ref4598791"/>
      <w:bookmarkStart w:id="53" w:name="_Toc19489089"/>
      <w:r w:rsidRPr="004026FB">
        <w:rPr>
          <w:rStyle w:val="CharacterStyle-BrightColour"/>
        </w:rPr>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6</w:t>
      </w:r>
      <w:r w:rsidRPr="004026FB">
        <w:rPr>
          <w:rStyle w:val="CharacterStyle-BrightColour"/>
        </w:rPr>
        <w:fldChar w:fldCharType="end"/>
      </w:r>
      <w:bookmarkEnd w:id="52"/>
      <w:r w:rsidRPr="004026FB">
        <w:tab/>
        <w:t>Groundwater users in the study area</w:t>
      </w:r>
      <w:bookmarkEnd w:id="53"/>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2409"/>
        <w:gridCol w:w="1702"/>
        <w:gridCol w:w="1700"/>
        <w:gridCol w:w="1631"/>
        <w:gridCol w:w="1629"/>
      </w:tblGrid>
      <w:tr w:rsidR="00955709" w:rsidRPr="004026FB" w14:paraId="6DBDB5A2" w14:textId="77777777" w:rsidTr="00F4595E">
        <w:trPr>
          <w:trHeight w:val="366"/>
        </w:trPr>
        <w:tc>
          <w:tcPr>
            <w:tcW w:w="2409" w:type="dxa"/>
            <w:vMerge w:val="restart"/>
            <w:shd w:val="clear" w:color="auto" w:fill="009A44" w:themeFill="accent2"/>
            <w:vAlign w:val="bottom"/>
          </w:tcPr>
          <w:p w14:paraId="3319C424" w14:textId="0EA4AF6F" w:rsidR="00955709" w:rsidRPr="004026FB" w:rsidRDefault="00955709" w:rsidP="00F4595E">
            <w:pPr>
              <w:pStyle w:val="TableHeadingWhiteFont"/>
            </w:pPr>
            <w:r w:rsidRPr="004026FB">
              <w:t>Registered use</w:t>
            </w:r>
          </w:p>
        </w:tc>
        <w:tc>
          <w:tcPr>
            <w:tcW w:w="5033" w:type="dxa"/>
            <w:gridSpan w:val="3"/>
            <w:shd w:val="clear" w:color="auto" w:fill="009A44" w:themeFill="accent2"/>
            <w:vAlign w:val="bottom"/>
          </w:tcPr>
          <w:p w14:paraId="74095C98" w14:textId="4491DDDD" w:rsidR="00955709" w:rsidRPr="004026FB" w:rsidRDefault="00955709" w:rsidP="00F4595E">
            <w:pPr>
              <w:pStyle w:val="TableHeadingWhiteFont"/>
              <w:jc w:val="center"/>
            </w:pPr>
            <w:r w:rsidRPr="004026FB">
              <w:t>Element</w:t>
            </w:r>
          </w:p>
        </w:tc>
        <w:tc>
          <w:tcPr>
            <w:tcW w:w="1629" w:type="dxa"/>
            <w:vMerge w:val="restart"/>
            <w:shd w:val="clear" w:color="auto" w:fill="009A44" w:themeFill="accent2"/>
            <w:vAlign w:val="bottom"/>
          </w:tcPr>
          <w:p w14:paraId="26322B8E" w14:textId="1B59757F" w:rsidR="00955709" w:rsidRPr="004026FB" w:rsidRDefault="00955709" w:rsidP="00F4595E">
            <w:pPr>
              <w:pStyle w:val="TableHeadingWhiteFont"/>
              <w:jc w:val="center"/>
            </w:pPr>
            <w:r w:rsidRPr="004026FB">
              <w:t>Total</w:t>
            </w:r>
          </w:p>
        </w:tc>
      </w:tr>
      <w:tr w:rsidR="00955709" w:rsidRPr="004026FB" w14:paraId="68A76E88" w14:textId="77777777" w:rsidTr="00F4595E">
        <w:trPr>
          <w:trHeight w:val="366"/>
        </w:trPr>
        <w:tc>
          <w:tcPr>
            <w:tcW w:w="2409" w:type="dxa"/>
            <w:vMerge/>
            <w:shd w:val="clear" w:color="auto" w:fill="009A44" w:themeFill="accent2"/>
            <w:vAlign w:val="bottom"/>
          </w:tcPr>
          <w:p w14:paraId="47D02F1B" w14:textId="77777777" w:rsidR="00955709" w:rsidRPr="004026FB" w:rsidRDefault="00955709" w:rsidP="00F4595E">
            <w:pPr>
              <w:pStyle w:val="TableHeadingWhiteFont"/>
              <w:jc w:val="center"/>
            </w:pPr>
          </w:p>
        </w:tc>
        <w:tc>
          <w:tcPr>
            <w:tcW w:w="1702" w:type="dxa"/>
            <w:shd w:val="clear" w:color="auto" w:fill="007332" w:themeFill="accent2" w:themeFillShade="BF"/>
            <w:vAlign w:val="bottom"/>
          </w:tcPr>
          <w:p w14:paraId="18AC09F5" w14:textId="2AF93D9B" w:rsidR="00955709" w:rsidRPr="004026FB" w:rsidRDefault="00955709" w:rsidP="00F4595E">
            <w:pPr>
              <w:pStyle w:val="TableHeadingWhiteFont"/>
              <w:jc w:val="center"/>
            </w:pPr>
            <w:r w:rsidRPr="004026FB">
              <w:t>M80 Ring Road to northern portal</w:t>
            </w:r>
          </w:p>
        </w:tc>
        <w:tc>
          <w:tcPr>
            <w:tcW w:w="1700" w:type="dxa"/>
            <w:shd w:val="clear" w:color="auto" w:fill="007332" w:themeFill="accent2" w:themeFillShade="BF"/>
            <w:vAlign w:val="bottom"/>
          </w:tcPr>
          <w:p w14:paraId="1B06CC1B" w14:textId="36BD2060" w:rsidR="00955709" w:rsidRPr="004026FB" w:rsidRDefault="00955709" w:rsidP="00F4595E">
            <w:pPr>
              <w:pStyle w:val="TableHeadingWhiteFont"/>
              <w:jc w:val="center"/>
            </w:pPr>
            <w:r w:rsidRPr="004026FB">
              <w:t>Northern portal to southern portal</w:t>
            </w:r>
          </w:p>
        </w:tc>
        <w:tc>
          <w:tcPr>
            <w:tcW w:w="1631" w:type="dxa"/>
            <w:shd w:val="clear" w:color="auto" w:fill="007332" w:themeFill="accent2" w:themeFillShade="BF"/>
            <w:vAlign w:val="bottom"/>
          </w:tcPr>
          <w:p w14:paraId="6ED0E1F3" w14:textId="108FDE24" w:rsidR="00955709" w:rsidRPr="004026FB" w:rsidRDefault="00955709" w:rsidP="00F4595E">
            <w:pPr>
              <w:pStyle w:val="TableHeadingWhiteFont"/>
              <w:jc w:val="center"/>
            </w:pPr>
            <w:r w:rsidRPr="004026FB">
              <w:t>Eastern Freeway</w:t>
            </w:r>
          </w:p>
        </w:tc>
        <w:tc>
          <w:tcPr>
            <w:tcW w:w="1629" w:type="dxa"/>
            <w:vMerge/>
            <w:shd w:val="clear" w:color="auto" w:fill="009A44" w:themeFill="accent2"/>
            <w:vAlign w:val="bottom"/>
          </w:tcPr>
          <w:p w14:paraId="5E7925AE" w14:textId="77777777" w:rsidR="00955709" w:rsidRPr="004026FB" w:rsidRDefault="00955709" w:rsidP="00F4595E">
            <w:pPr>
              <w:pStyle w:val="TableHeadingWhiteFont"/>
              <w:jc w:val="center"/>
            </w:pPr>
          </w:p>
        </w:tc>
      </w:tr>
      <w:tr w:rsidR="00955709" w:rsidRPr="004026FB" w14:paraId="20D4E0A1" w14:textId="77777777" w:rsidTr="00F4595E">
        <w:trPr>
          <w:trHeight w:val="366"/>
        </w:trPr>
        <w:tc>
          <w:tcPr>
            <w:tcW w:w="2409" w:type="dxa"/>
          </w:tcPr>
          <w:p w14:paraId="6C5DDA3B" w14:textId="5370D2EF" w:rsidR="00955709" w:rsidRPr="004026FB" w:rsidRDefault="00955709" w:rsidP="00955709">
            <w:pPr>
              <w:pStyle w:val="TableText"/>
            </w:pPr>
            <w:r w:rsidRPr="004026FB">
              <w:t>Groundwater investigation</w:t>
            </w:r>
          </w:p>
        </w:tc>
        <w:tc>
          <w:tcPr>
            <w:tcW w:w="1702" w:type="dxa"/>
          </w:tcPr>
          <w:p w14:paraId="6789FE65" w14:textId="2A58F68A" w:rsidR="00955709" w:rsidRPr="004026FB" w:rsidRDefault="00955709" w:rsidP="00F4595E">
            <w:pPr>
              <w:pStyle w:val="TableText"/>
              <w:jc w:val="center"/>
            </w:pPr>
            <w:r w:rsidRPr="004026FB">
              <w:t>0</w:t>
            </w:r>
          </w:p>
        </w:tc>
        <w:tc>
          <w:tcPr>
            <w:tcW w:w="1700" w:type="dxa"/>
          </w:tcPr>
          <w:p w14:paraId="33F1575D" w14:textId="31F6CC33" w:rsidR="00955709" w:rsidRPr="004026FB" w:rsidRDefault="00955709" w:rsidP="00F4595E">
            <w:pPr>
              <w:pStyle w:val="TableText"/>
              <w:jc w:val="center"/>
            </w:pPr>
            <w:r w:rsidRPr="004026FB">
              <w:t>0</w:t>
            </w:r>
          </w:p>
        </w:tc>
        <w:tc>
          <w:tcPr>
            <w:tcW w:w="1631" w:type="dxa"/>
          </w:tcPr>
          <w:p w14:paraId="4CB14920" w14:textId="64047F9D" w:rsidR="00955709" w:rsidRPr="004026FB" w:rsidRDefault="00955709" w:rsidP="00F4595E">
            <w:pPr>
              <w:pStyle w:val="TableText"/>
              <w:jc w:val="center"/>
            </w:pPr>
            <w:r w:rsidRPr="004026FB">
              <w:t>37</w:t>
            </w:r>
          </w:p>
        </w:tc>
        <w:tc>
          <w:tcPr>
            <w:tcW w:w="1629" w:type="dxa"/>
          </w:tcPr>
          <w:p w14:paraId="484F2F42" w14:textId="1BA0A7FE" w:rsidR="00955709" w:rsidRPr="004026FB" w:rsidRDefault="00955709" w:rsidP="00F4595E">
            <w:pPr>
              <w:pStyle w:val="TableText"/>
              <w:jc w:val="center"/>
            </w:pPr>
            <w:r w:rsidRPr="004026FB">
              <w:t>37</w:t>
            </w:r>
          </w:p>
        </w:tc>
      </w:tr>
      <w:tr w:rsidR="00955709" w:rsidRPr="004026FB" w14:paraId="6B1CF1EF" w14:textId="77777777" w:rsidTr="00F4595E">
        <w:trPr>
          <w:trHeight w:val="366"/>
        </w:trPr>
        <w:tc>
          <w:tcPr>
            <w:tcW w:w="2409" w:type="dxa"/>
          </w:tcPr>
          <w:p w14:paraId="350B2239" w14:textId="7D597BB5" w:rsidR="00955709" w:rsidRPr="004026FB" w:rsidRDefault="00955709" w:rsidP="00955709">
            <w:pPr>
              <w:pStyle w:val="TableText"/>
            </w:pPr>
            <w:r w:rsidRPr="004026FB">
              <w:t>Stock and domestic</w:t>
            </w:r>
          </w:p>
        </w:tc>
        <w:tc>
          <w:tcPr>
            <w:tcW w:w="1702" w:type="dxa"/>
          </w:tcPr>
          <w:p w14:paraId="072CBDBA" w14:textId="6CEBD70C" w:rsidR="00955709" w:rsidRPr="004026FB" w:rsidRDefault="00955709" w:rsidP="00F4595E">
            <w:pPr>
              <w:pStyle w:val="TableText"/>
              <w:jc w:val="center"/>
            </w:pPr>
            <w:r w:rsidRPr="004026FB">
              <w:t>0</w:t>
            </w:r>
          </w:p>
        </w:tc>
        <w:tc>
          <w:tcPr>
            <w:tcW w:w="1700" w:type="dxa"/>
          </w:tcPr>
          <w:p w14:paraId="5A7733F4" w14:textId="2EA5D0C9" w:rsidR="00955709" w:rsidRPr="004026FB" w:rsidRDefault="00955709" w:rsidP="00F4595E">
            <w:pPr>
              <w:pStyle w:val="TableText"/>
              <w:jc w:val="center"/>
            </w:pPr>
            <w:r w:rsidRPr="004026FB">
              <w:t>3</w:t>
            </w:r>
          </w:p>
        </w:tc>
        <w:tc>
          <w:tcPr>
            <w:tcW w:w="1631" w:type="dxa"/>
          </w:tcPr>
          <w:p w14:paraId="2A10F800" w14:textId="2A477860" w:rsidR="00955709" w:rsidRPr="004026FB" w:rsidRDefault="00955709" w:rsidP="00F4595E">
            <w:pPr>
              <w:pStyle w:val="TableText"/>
              <w:jc w:val="center"/>
            </w:pPr>
            <w:r w:rsidRPr="004026FB">
              <w:t>4</w:t>
            </w:r>
          </w:p>
        </w:tc>
        <w:tc>
          <w:tcPr>
            <w:tcW w:w="1629" w:type="dxa"/>
          </w:tcPr>
          <w:p w14:paraId="6806E21A" w14:textId="12E1CE0C" w:rsidR="00955709" w:rsidRPr="004026FB" w:rsidRDefault="00955709" w:rsidP="00F4595E">
            <w:pPr>
              <w:pStyle w:val="TableText"/>
              <w:jc w:val="center"/>
            </w:pPr>
            <w:r w:rsidRPr="004026FB">
              <w:t>7</w:t>
            </w:r>
          </w:p>
        </w:tc>
      </w:tr>
      <w:tr w:rsidR="00955709" w:rsidRPr="004026FB" w14:paraId="787084FE" w14:textId="77777777" w:rsidTr="00F4595E">
        <w:trPr>
          <w:trHeight w:val="366"/>
        </w:trPr>
        <w:tc>
          <w:tcPr>
            <w:tcW w:w="2409" w:type="dxa"/>
          </w:tcPr>
          <w:p w14:paraId="467EC074" w14:textId="7BAA6DA9" w:rsidR="00955709" w:rsidRPr="004026FB" w:rsidRDefault="00955709" w:rsidP="00955709">
            <w:pPr>
              <w:pStyle w:val="TableText"/>
            </w:pPr>
            <w:r w:rsidRPr="004026FB">
              <w:t>Use not known</w:t>
            </w:r>
          </w:p>
        </w:tc>
        <w:tc>
          <w:tcPr>
            <w:tcW w:w="1702" w:type="dxa"/>
          </w:tcPr>
          <w:p w14:paraId="07A9EF78" w14:textId="543DDB4A" w:rsidR="00955709" w:rsidRPr="004026FB" w:rsidRDefault="00955709" w:rsidP="00F4595E">
            <w:pPr>
              <w:pStyle w:val="TableText"/>
              <w:jc w:val="center"/>
            </w:pPr>
            <w:r w:rsidRPr="004026FB">
              <w:t>11</w:t>
            </w:r>
          </w:p>
        </w:tc>
        <w:tc>
          <w:tcPr>
            <w:tcW w:w="1700" w:type="dxa"/>
          </w:tcPr>
          <w:p w14:paraId="1D549375" w14:textId="64127920" w:rsidR="00955709" w:rsidRPr="004026FB" w:rsidRDefault="00955709" w:rsidP="00F4595E">
            <w:pPr>
              <w:pStyle w:val="TableText"/>
              <w:jc w:val="center"/>
            </w:pPr>
            <w:r w:rsidRPr="004026FB">
              <w:t>9</w:t>
            </w:r>
          </w:p>
        </w:tc>
        <w:tc>
          <w:tcPr>
            <w:tcW w:w="1631" w:type="dxa"/>
          </w:tcPr>
          <w:p w14:paraId="50A9A035" w14:textId="33BDB943" w:rsidR="00955709" w:rsidRPr="004026FB" w:rsidRDefault="00955709" w:rsidP="00F4595E">
            <w:pPr>
              <w:pStyle w:val="TableText"/>
              <w:jc w:val="center"/>
            </w:pPr>
            <w:r w:rsidRPr="004026FB">
              <w:t>52</w:t>
            </w:r>
          </w:p>
        </w:tc>
        <w:tc>
          <w:tcPr>
            <w:tcW w:w="1629" w:type="dxa"/>
          </w:tcPr>
          <w:p w14:paraId="1673EDA5" w14:textId="107903C1" w:rsidR="00955709" w:rsidRPr="004026FB" w:rsidRDefault="00955709" w:rsidP="00F4595E">
            <w:pPr>
              <w:pStyle w:val="TableText"/>
              <w:jc w:val="center"/>
            </w:pPr>
            <w:r w:rsidRPr="004026FB">
              <w:t>72</w:t>
            </w:r>
          </w:p>
        </w:tc>
      </w:tr>
      <w:tr w:rsidR="00955709" w:rsidRPr="004026FB" w14:paraId="2806A721" w14:textId="77777777" w:rsidTr="00F4595E">
        <w:trPr>
          <w:trHeight w:val="366"/>
        </w:trPr>
        <w:tc>
          <w:tcPr>
            <w:tcW w:w="2409" w:type="dxa"/>
          </w:tcPr>
          <w:p w14:paraId="78F8471C" w14:textId="0D91B060" w:rsidR="00955709" w:rsidRPr="004026FB" w:rsidRDefault="00955709" w:rsidP="00955709">
            <w:pPr>
              <w:pStyle w:val="TableText"/>
            </w:pPr>
            <w:r w:rsidRPr="004026FB">
              <w:t>Miscellaneous</w:t>
            </w:r>
          </w:p>
        </w:tc>
        <w:tc>
          <w:tcPr>
            <w:tcW w:w="1702" w:type="dxa"/>
          </w:tcPr>
          <w:p w14:paraId="67CCE326" w14:textId="2927FB43" w:rsidR="00955709" w:rsidRPr="004026FB" w:rsidRDefault="00955709" w:rsidP="00F4595E">
            <w:pPr>
              <w:pStyle w:val="TableText"/>
              <w:jc w:val="center"/>
            </w:pPr>
            <w:r w:rsidRPr="004026FB">
              <w:t>0</w:t>
            </w:r>
          </w:p>
        </w:tc>
        <w:tc>
          <w:tcPr>
            <w:tcW w:w="1700" w:type="dxa"/>
          </w:tcPr>
          <w:p w14:paraId="3A330AE3" w14:textId="7DDF0F81" w:rsidR="00955709" w:rsidRPr="004026FB" w:rsidRDefault="00955709" w:rsidP="00F4595E">
            <w:pPr>
              <w:pStyle w:val="TableText"/>
              <w:jc w:val="center"/>
            </w:pPr>
            <w:r w:rsidRPr="004026FB">
              <w:t>1</w:t>
            </w:r>
          </w:p>
        </w:tc>
        <w:tc>
          <w:tcPr>
            <w:tcW w:w="1631" w:type="dxa"/>
          </w:tcPr>
          <w:p w14:paraId="53357763" w14:textId="7162C3B8" w:rsidR="00955709" w:rsidRPr="004026FB" w:rsidRDefault="00955709" w:rsidP="00F4595E">
            <w:pPr>
              <w:pStyle w:val="TableText"/>
              <w:jc w:val="center"/>
            </w:pPr>
            <w:r w:rsidRPr="004026FB">
              <w:t>0</w:t>
            </w:r>
          </w:p>
        </w:tc>
        <w:tc>
          <w:tcPr>
            <w:tcW w:w="1629" w:type="dxa"/>
          </w:tcPr>
          <w:p w14:paraId="4531F166" w14:textId="74FB4D6C" w:rsidR="00955709" w:rsidRPr="004026FB" w:rsidRDefault="00955709" w:rsidP="00F4595E">
            <w:pPr>
              <w:pStyle w:val="TableText"/>
              <w:jc w:val="center"/>
            </w:pPr>
            <w:r w:rsidRPr="004026FB">
              <w:t>1</w:t>
            </w:r>
          </w:p>
        </w:tc>
      </w:tr>
      <w:tr w:rsidR="00955709" w:rsidRPr="004026FB" w14:paraId="6B70CE1E" w14:textId="77777777" w:rsidTr="00F4595E">
        <w:trPr>
          <w:trHeight w:val="366"/>
        </w:trPr>
        <w:tc>
          <w:tcPr>
            <w:tcW w:w="2409" w:type="dxa"/>
          </w:tcPr>
          <w:p w14:paraId="1537F5AF" w14:textId="67D61182" w:rsidR="00955709" w:rsidRPr="004026FB" w:rsidRDefault="00955709" w:rsidP="00955709">
            <w:pPr>
              <w:pStyle w:val="TableText"/>
            </w:pPr>
            <w:r w:rsidRPr="004026FB">
              <w:t>Irrigation</w:t>
            </w:r>
          </w:p>
        </w:tc>
        <w:tc>
          <w:tcPr>
            <w:tcW w:w="1702" w:type="dxa"/>
          </w:tcPr>
          <w:p w14:paraId="1ED8F073" w14:textId="1A6A8A03" w:rsidR="00955709" w:rsidRPr="004026FB" w:rsidRDefault="00955709" w:rsidP="00F4595E">
            <w:pPr>
              <w:pStyle w:val="TableText"/>
              <w:jc w:val="center"/>
            </w:pPr>
            <w:r w:rsidRPr="004026FB">
              <w:t>1</w:t>
            </w:r>
          </w:p>
        </w:tc>
        <w:tc>
          <w:tcPr>
            <w:tcW w:w="1700" w:type="dxa"/>
          </w:tcPr>
          <w:p w14:paraId="038D3643" w14:textId="043D4A25" w:rsidR="00955709" w:rsidRPr="004026FB" w:rsidRDefault="00955709" w:rsidP="00F4595E">
            <w:pPr>
              <w:pStyle w:val="TableText"/>
              <w:jc w:val="center"/>
            </w:pPr>
            <w:r w:rsidRPr="004026FB">
              <w:t>0</w:t>
            </w:r>
          </w:p>
        </w:tc>
        <w:tc>
          <w:tcPr>
            <w:tcW w:w="1631" w:type="dxa"/>
          </w:tcPr>
          <w:p w14:paraId="5B674A95" w14:textId="3E5211A2" w:rsidR="00955709" w:rsidRPr="004026FB" w:rsidRDefault="00955709" w:rsidP="00F4595E">
            <w:pPr>
              <w:pStyle w:val="TableText"/>
              <w:jc w:val="center"/>
            </w:pPr>
            <w:r w:rsidRPr="004026FB">
              <w:t>0</w:t>
            </w:r>
          </w:p>
        </w:tc>
        <w:tc>
          <w:tcPr>
            <w:tcW w:w="1629" w:type="dxa"/>
          </w:tcPr>
          <w:p w14:paraId="24A51058" w14:textId="6D7B436C" w:rsidR="00955709" w:rsidRPr="004026FB" w:rsidRDefault="00955709" w:rsidP="00F4595E">
            <w:pPr>
              <w:pStyle w:val="TableText"/>
              <w:jc w:val="center"/>
            </w:pPr>
            <w:r w:rsidRPr="004026FB">
              <w:t>1</w:t>
            </w:r>
          </w:p>
        </w:tc>
      </w:tr>
      <w:tr w:rsidR="00955709" w:rsidRPr="004026FB" w14:paraId="609322FC" w14:textId="77777777" w:rsidTr="00F4595E">
        <w:trPr>
          <w:trHeight w:val="366"/>
        </w:trPr>
        <w:tc>
          <w:tcPr>
            <w:tcW w:w="2409" w:type="dxa"/>
          </w:tcPr>
          <w:p w14:paraId="383A8456" w14:textId="2CD682B1" w:rsidR="00955709" w:rsidRPr="004026FB" w:rsidRDefault="00955709" w:rsidP="00955709">
            <w:pPr>
              <w:pStyle w:val="TableText"/>
            </w:pPr>
            <w:r w:rsidRPr="004026FB">
              <w:t>Commercial</w:t>
            </w:r>
          </w:p>
        </w:tc>
        <w:tc>
          <w:tcPr>
            <w:tcW w:w="1702" w:type="dxa"/>
          </w:tcPr>
          <w:p w14:paraId="37F3AF49" w14:textId="3C608EE7" w:rsidR="00955709" w:rsidRPr="004026FB" w:rsidRDefault="00955709" w:rsidP="00F4595E">
            <w:pPr>
              <w:pStyle w:val="TableText"/>
              <w:jc w:val="center"/>
            </w:pPr>
            <w:r w:rsidRPr="004026FB">
              <w:t>0</w:t>
            </w:r>
          </w:p>
        </w:tc>
        <w:tc>
          <w:tcPr>
            <w:tcW w:w="1700" w:type="dxa"/>
          </w:tcPr>
          <w:p w14:paraId="1A984768" w14:textId="5F56FC26" w:rsidR="00955709" w:rsidRPr="004026FB" w:rsidRDefault="00955709" w:rsidP="00F4595E">
            <w:pPr>
              <w:pStyle w:val="TableText"/>
              <w:jc w:val="center"/>
            </w:pPr>
            <w:r w:rsidRPr="004026FB">
              <w:t>1</w:t>
            </w:r>
          </w:p>
        </w:tc>
        <w:tc>
          <w:tcPr>
            <w:tcW w:w="1631" w:type="dxa"/>
          </w:tcPr>
          <w:p w14:paraId="5EF829FC" w14:textId="27141B8B" w:rsidR="00955709" w:rsidRPr="004026FB" w:rsidRDefault="00955709" w:rsidP="00F4595E">
            <w:pPr>
              <w:pStyle w:val="TableText"/>
              <w:jc w:val="center"/>
            </w:pPr>
            <w:r w:rsidRPr="004026FB">
              <w:t>0</w:t>
            </w:r>
          </w:p>
        </w:tc>
        <w:tc>
          <w:tcPr>
            <w:tcW w:w="1629" w:type="dxa"/>
          </w:tcPr>
          <w:p w14:paraId="716F9424" w14:textId="49715FE3" w:rsidR="00955709" w:rsidRPr="004026FB" w:rsidRDefault="00955709" w:rsidP="00F4595E">
            <w:pPr>
              <w:pStyle w:val="TableText"/>
              <w:jc w:val="center"/>
            </w:pPr>
            <w:r w:rsidRPr="004026FB">
              <w:t>1</w:t>
            </w:r>
          </w:p>
        </w:tc>
      </w:tr>
      <w:tr w:rsidR="00955709" w:rsidRPr="004026FB" w14:paraId="7D6062E2" w14:textId="77777777" w:rsidTr="00F4595E">
        <w:trPr>
          <w:trHeight w:val="366"/>
        </w:trPr>
        <w:tc>
          <w:tcPr>
            <w:tcW w:w="2409" w:type="dxa"/>
          </w:tcPr>
          <w:p w14:paraId="4A91DB7D" w14:textId="1D7870BE" w:rsidR="00955709" w:rsidRPr="004026FB" w:rsidRDefault="00955709" w:rsidP="00955709">
            <w:pPr>
              <w:pStyle w:val="TableText"/>
            </w:pPr>
            <w:r w:rsidRPr="004026FB">
              <w:t>Observation</w:t>
            </w:r>
          </w:p>
        </w:tc>
        <w:tc>
          <w:tcPr>
            <w:tcW w:w="1702" w:type="dxa"/>
          </w:tcPr>
          <w:p w14:paraId="589E37BB" w14:textId="3089E45E" w:rsidR="00955709" w:rsidRPr="004026FB" w:rsidRDefault="00955709" w:rsidP="00F4595E">
            <w:pPr>
              <w:pStyle w:val="TableText"/>
              <w:jc w:val="center"/>
            </w:pPr>
            <w:r w:rsidRPr="004026FB">
              <w:t>1</w:t>
            </w:r>
          </w:p>
        </w:tc>
        <w:tc>
          <w:tcPr>
            <w:tcW w:w="1700" w:type="dxa"/>
          </w:tcPr>
          <w:p w14:paraId="48CCDB4C" w14:textId="350ABE98" w:rsidR="00955709" w:rsidRPr="004026FB" w:rsidRDefault="00955709" w:rsidP="00F4595E">
            <w:pPr>
              <w:pStyle w:val="TableText"/>
              <w:jc w:val="center"/>
            </w:pPr>
            <w:r w:rsidRPr="004026FB">
              <w:t>8</w:t>
            </w:r>
          </w:p>
        </w:tc>
        <w:tc>
          <w:tcPr>
            <w:tcW w:w="1631" w:type="dxa"/>
          </w:tcPr>
          <w:p w14:paraId="7605CEB1" w14:textId="783E9BE4" w:rsidR="00955709" w:rsidRPr="004026FB" w:rsidRDefault="00955709" w:rsidP="00F4595E">
            <w:pPr>
              <w:pStyle w:val="TableText"/>
              <w:jc w:val="center"/>
            </w:pPr>
            <w:r w:rsidRPr="004026FB">
              <w:t>79</w:t>
            </w:r>
          </w:p>
        </w:tc>
        <w:tc>
          <w:tcPr>
            <w:tcW w:w="1629" w:type="dxa"/>
          </w:tcPr>
          <w:p w14:paraId="57D76591" w14:textId="14EF6F65" w:rsidR="00955709" w:rsidRPr="004026FB" w:rsidRDefault="00955709" w:rsidP="00F4595E">
            <w:pPr>
              <w:pStyle w:val="TableText"/>
              <w:jc w:val="center"/>
            </w:pPr>
            <w:r w:rsidRPr="004026FB">
              <w:t>88</w:t>
            </w:r>
          </w:p>
        </w:tc>
      </w:tr>
      <w:tr w:rsidR="00955709" w:rsidRPr="004026FB" w14:paraId="087128C8" w14:textId="77777777" w:rsidTr="00F4595E">
        <w:trPr>
          <w:trHeight w:val="366"/>
        </w:trPr>
        <w:tc>
          <w:tcPr>
            <w:tcW w:w="2409" w:type="dxa"/>
            <w:shd w:val="clear" w:color="auto" w:fill="DFE0E1" w:themeFill="text2" w:themeFillTint="33"/>
          </w:tcPr>
          <w:p w14:paraId="4B3F7A9E" w14:textId="40912905" w:rsidR="00955709" w:rsidRPr="004026FB" w:rsidRDefault="00955709" w:rsidP="00955709">
            <w:pPr>
              <w:pStyle w:val="TableText"/>
              <w:rPr>
                <w:b/>
              </w:rPr>
            </w:pPr>
            <w:r w:rsidRPr="004026FB">
              <w:rPr>
                <w:b/>
              </w:rPr>
              <w:t>Total</w:t>
            </w:r>
          </w:p>
        </w:tc>
        <w:tc>
          <w:tcPr>
            <w:tcW w:w="1702" w:type="dxa"/>
            <w:shd w:val="clear" w:color="auto" w:fill="DFE0E1" w:themeFill="text2" w:themeFillTint="33"/>
          </w:tcPr>
          <w:p w14:paraId="5D4FE23A" w14:textId="20A7233F" w:rsidR="00955709" w:rsidRPr="004026FB" w:rsidRDefault="00955709" w:rsidP="00F4595E">
            <w:pPr>
              <w:pStyle w:val="TableText"/>
              <w:jc w:val="center"/>
              <w:rPr>
                <w:b/>
              </w:rPr>
            </w:pPr>
            <w:r w:rsidRPr="004026FB">
              <w:rPr>
                <w:b/>
              </w:rPr>
              <w:fldChar w:fldCharType="begin"/>
            </w:r>
            <w:r w:rsidRPr="004026FB">
              <w:rPr>
                <w:b/>
              </w:rPr>
              <w:instrText xml:space="preserve"> =SUM(ABOVE) </w:instrText>
            </w:r>
            <w:r w:rsidRPr="004026FB">
              <w:rPr>
                <w:b/>
              </w:rPr>
              <w:fldChar w:fldCharType="separate"/>
            </w:r>
            <w:r w:rsidR="007530D3">
              <w:rPr>
                <w:b/>
                <w:noProof/>
              </w:rPr>
              <w:t>13</w:t>
            </w:r>
            <w:r w:rsidRPr="004026FB">
              <w:rPr>
                <w:b/>
              </w:rPr>
              <w:fldChar w:fldCharType="end"/>
            </w:r>
          </w:p>
        </w:tc>
        <w:tc>
          <w:tcPr>
            <w:tcW w:w="1700" w:type="dxa"/>
            <w:shd w:val="clear" w:color="auto" w:fill="DFE0E1" w:themeFill="text2" w:themeFillTint="33"/>
          </w:tcPr>
          <w:p w14:paraId="5CA6BB50" w14:textId="614FE7CA" w:rsidR="00955709" w:rsidRPr="004026FB" w:rsidRDefault="00955709" w:rsidP="00F4595E">
            <w:pPr>
              <w:pStyle w:val="TableText"/>
              <w:jc w:val="center"/>
              <w:rPr>
                <w:b/>
              </w:rPr>
            </w:pPr>
            <w:r w:rsidRPr="004026FB">
              <w:rPr>
                <w:b/>
              </w:rPr>
              <w:fldChar w:fldCharType="begin"/>
            </w:r>
            <w:r w:rsidRPr="004026FB">
              <w:rPr>
                <w:b/>
              </w:rPr>
              <w:instrText xml:space="preserve"> =SUM(ABOVE) </w:instrText>
            </w:r>
            <w:r w:rsidRPr="004026FB">
              <w:rPr>
                <w:b/>
              </w:rPr>
              <w:fldChar w:fldCharType="separate"/>
            </w:r>
            <w:r w:rsidR="007530D3">
              <w:rPr>
                <w:b/>
                <w:noProof/>
              </w:rPr>
              <w:t>22</w:t>
            </w:r>
            <w:r w:rsidRPr="004026FB">
              <w:rPr>
                <w:b/>
              </w:rPr>
              <w:fldChar w:fldCharType="end"/>
            </w:r>
          </w:p>
        </w:tc>
        <w:tc>
          <w:tcPr>
            <w:tcW w:w="1631" w:type="dxa"/>
            <w:shd w:val="clear" w:color="auto" w:fill="DFE0E1" w:themeFill="text2" w:themeFillTint="33"/>
          </w:tcPr>
          <w:p w14:paraId="036CC9A7" w14:textId="232D2A01" w:rsidR="00955709" w:rsidRPr="004026FB" w:rsidRDefault="00955709" w:rsidP="00F4595E">
            <w:pPr>
              <w:pStyle w:val="TableText"/>
              <w:jc w:val="center"/>
              <w:rPr>
                <w:b/>
              </w:rPr>
            </w:pPr>
            <w:r w:rsidRPr="004026FB">
              <w:rPr>
                <w:b/>
              </w:rPr>
              <w:fldChar w:fldCharType="begin"/>
            </w:r>
            <w:r w:rsidRPr="004026FB">
              <w:rPr>
                <w:b/>
              </w:rPr>
              <w:instrText xml:space="preserve"> =SUM(ABOVE) </w:instrText>
            </w:r>
            <w:r w:rsidRPr="004026FB">
              <w:rPr>
                <w:b/>
              </w:rPr>
              <w:fldChar w:fldCharType="separate"/>
            </w:r>
            <w:r w:rsidR="007530D3">
              <w:rPr>
                <w:b/>
                <w:noProof/>
              </w:rPr>
              <w:t>172</w:t>
            </w:r>
            <w:r w:rsidRPr="004026FB">
              <w:rPr>
                <w:b/>
              </w:rPr>
              <w:fldChar w:fldCharType="end"/>
            </w:r>
          </w:p>
        </w:tc>
        <w:tc>
          <w:tcPr>
            <w:tcW w:w="1629" w:type="dxa"/>
            <w:shd w:val="clear" w:color="auto" w:fill="DFE0E1" w:themeFill="text2" w:themeFillTint="33"/>
          </w:tcPr>
          <w:p w14:paraId="7F80BA1F" w14:textId="264BD8D6" w:rsidR="00955709" w:rsidRPr="004026FB" w:rsidRDefault="00955709" w:rsidP="00F4595E">
            <w:pPr>
              <w:pStyle w:val="TableText"/>
              <w:jc w:val="center"/>
              <w:rPr>
                <w:b/>
              </w:rPr>
            </w:pPr>
            <w:r w:rsidRPr="004026FB">
              <w:rPr>
                <w:b/>
              </w:rPr>
              <w:fldChar w:fldCharType="begin"/>
            </w:r>
            <w:r w:rsidRPr="004026FB">
              <w:rPr>
                <w:b/>
              </w:rPr>
              <w:instrText xml:space="preserve"> =SUM(ABOVE) </w:instrText>
            </w:r>
            <w:r w:rsidRPr="004026FB">
              <w:rPr>
                <w:b/>
              </w:rPr>
              <w:fldChar w:fldCharType="separate"/>
            </w:r>
            <w:r w:rsidR="007530D3">
              <w:rPr>
                <w:b/>
                <w:noProof/>
              </w:rPr>
              <w:t>207</w:t>
            </w:r>
            <w:r w:rsidRPr="004026FB">
              <w:rPr>
                <w:b/>
              </w:rPr>
              <w:fldChar w:fldCharType="end"/>
            </w:r>
          </w:p>
        </w:tc>
      </w:tr>
    </w:tbl>
    <w:p w14:paraId="19026541" w14:textId="77777777" w:rsidR="00955709" w:rsidRPr="004026FB" w:rsidRDefault="00955709" w:rsidP="00F4595E">
      <w:pPr>
        <w:pStyle w:val="Source"/>
      </w:pPr>
      <w:r w:rsidRPr="004026FB">
        <w:t>Note: Bores with non-groundwater or SEC use classification omitted.</w:t>
      </w:r>
    </w:p>
    <w:p w14:paraId="0BF330A1" w14:textId="0CA2EEF1" w:rsidR="00955709" w:rsidRPr="004026FB" w:rsidRDefault="00955709" w:rsidP="00955709">
      <w:pPr>
        <w:pStyle w:val="BodyText"/>
      </w:pPr>
      <w:r w:rsidRPr="004026FB">
        <w:lastRenderedPageBreak/>
        <w:t xml:space="preserve">The majority of bores identified in the study area have been installed for either groundwater investigation or groundwater observation purposes and the majority of these are suspected to be for environmental or contaminated land investigation purposes. </w:t>
      </w:r>
    </w:p>
    <w:p w14:paraId="0B9D44F1" w14:textId="77777777" w:rsidR="00955709" w:rsidRPr="004026FB" w:rsidRDefault="00955709" w:rsidP="00955709">
      <w:pPr>
        <w:pStyle w:val="Heading2"/>
      </w:pPr>
      <w:bookmarkStart w:id="54" w:name="_Toc532392009"/>
      <w:bookmarkStart w:id="55" w:name="_Ref535227395"/>
      <w:bookmarkStart w:id="56" w:name="_Ref535227420"/>
      <w:bookmarkStart w:id="57" w:name="_Toc3641370"/>
      <w:bookmarkStart w:id="58" w:name="_Toc19489072"/>
      <w:r w:rsidRPr="004026FB">
        <w:t>Groundwater – relevant impacts and mitigation measures</w:t>
      </w:r>
      <w:bookmarkEnd w:id="54"/>
      <w:bookmarkEnd w:id="55"/>
      <w:bookmarkEnd w:id="56"/>
      <w:bookmarkEnd w:id="57"/>
      <w:bookmarkEnd w:id="58"/>
      <w:r w:rsidRPr="004026FB">
        <w:t xml:space="preserve"> </w:t>
      </w:r>
    </w:p>
    <w:p w14:paraId="2B6A8AB9" w14:textId="77777777" w:rsidR="00955709" w:rsidRPr="004026FB" w:rsidRDefault="00955709" w:rsidP="00955709">
      <w:pPr>
        <w:pStyle w:val="Heading3"/>
      </w:pPr>
      <w:bookmarkStart w:id="59" w:name="_Ref3051825"/>
      <w:bookmarkStart w:id="60" w:name="_Ref3051836"/>
      <w:bookmarkStart w:id="61" w:name="_Toc3641371"/>
      <w:bookmarkStart w:id="62" w:name="_Toc19489073"/>
      <w:r w:rsidRPr="004026FB">
        <w:t>Overview</w:t>
      </w:r>
      <w:bookmarkEnd w:id="59"/>
      <w:bookmarkEnd w:id="60"/>
      <w:bookmarkEnd w:id="61"/>
      <w:bookmarkEnd w:id="62"/>
    </w:p>
    <w:p w14:paraId="3158A563" w14:textId="77777777" w:rsidR="00955709" w:rsidRPr="004026FB" w:rsidRDefault="00955709" w:rsidP="00955709">
      <w:pPr>
        <w:pStyle w:val="BodyText"/>
      </w:pPr>
      <w:r w:rsidRPr="004026FB">
        <w:t xml:space="preserve">North East Link would involve the construction of structures including tunnels and deep trenches located below the water table in some places. </w:t>
      </w:r>
    </w:p>
    <w:p w14:paraId="30CD9A10" w14:textId="35B42612" w:rsidR="00955709" w:rsidRPr="004026FB" w:rsidRDefault="00955709" w:rsidP="00955709">
      <w:pPr>
        <w:pStyle w:val="BodyText"/>
      </w:pPr>
      <w:r w:rsidRPr="004026FB">
        <w:t xml:space="preserve">North East Link would be located adjacent to environmentally sensitive areas, with groundwater connected water bodies and GDEs that are potentially sensitive to changes in the elevation of the water table, groundwater fluxes and water quality. These include water bodies such as the </w:t>
      </w:r>
      <w:r w:rsidR="004C5A88" w:rsidRPr="004026FB">
        <w:t>Bolin Bolin</w:t>
      </w:r>
      <w:r w:rsidRPr="004026FB">
        <w:t xml:space="preserve"> Billabong, a high value ox</w:t>
      </w:r>
      <w:r w:rsidRPr="004026FB">
        <w:rPr>
          <w:rFonts w:ascii="Cambria Math" w:hAnsi="Cambria Math" w:cs="Cambria Math"/>
        </w:rPr>
        <w:t>‐</w:t>
      </w:r>
      <w:r w:rsidRPr="004026FB">
        <w:t xml:space="preserve">bow lake on the Yarra River floodplain in Bulleen, and vegetation that is potentially reliant on groundwater to meet some of its water requirements. </w:t>
      </w:r>
    </w:p>
    <w:p w14:paraId="5A9C1C25" w14:textId="77777777" w:rsidR="00955709" w:rsidRPr="004026FB" w:rsidRDefault="00955709" w:rsidP="00955709">
      <w:pPr>
        <w:pStyle w:val="BodyText"/>
      </w:pPr>
      <w:r w:rsidRPr="004026FB">
        <w:t>The main potential impacts of North East Link on groundwater are likely to be related to changes to the quality and level of groundwater (drawdown and mounding). A general description of how North East Link would likely affect groundwater quality and levels is provided below, with more specific discussions of impacts due to groundwater level changes provided in the subsections that follow.</w:t>
      </w:r>
    </w:p>
    <w:p w14:paraId="31F0AA75" w14:textId="77777777" w:rsidR="00955709" w:rsidRPr="004026FB" w:rsidRDefault="00955709" w:rsidP="00955709">
      <w:pPr>
        <w:pStyle w:val="Heading4"/>
      </w:pPr>
      <w:r w:rsidRPr="004026FB">
        <w:t xml:space="preserve">Groundwater quality </w:t>
      </w:r>
    </w:p>
    <w:p w14:paraId="78C81D5F" w14:textId="77777777" w:rsidR="00955709" w:rsidRPr="004026FB" w:rsidRDefault="00955709" w:rsidP="00955709">
      <w:pPr>
        <w:pStyle w:val="BodyText"/>
      </w:pPr>
      <w:r w:rsidRPr="004026FB">
        <w:t xml:space="preserve">Groundwater quality is not expected to decline during the construction and operation of North East Link. This is partly due to the existing groundwater quality being generally saline, and therefore considered to have a low sensitivity to adverse impacts. </w:t>
      </w:r>
    </w:p>
    <w:p w14:paraId="301BC1AB" w14:textId="77777777" w:rsidR="00955709" w:rsidRPr="004026FB" w:rsidRDefault="00955709" w:rsidP="00955709">
      <w:pPr>
        <w:pStyle w:val="BodyText"/>
      </w:pPr>
      <w:r w:rsidRPr="004026FB">
        <w:t>The three main potential causes of a decrease in water quality include:</w:t>
      </w:r>
    </w:p>
    <w:p w14:paraId="33E19636" w14:textId="77777777" w:rsidR="00955709" w:rsidRPr="004026FB" w:rsidRDefault="00955709" w:rsidP="00955709">
      <w:pPr>
        <w:pStyle w:val="BodyBullet1"/>
      </w:pPr>
      <w:r w:rsidRPr="004026FB">
        <w:t>Hazardous spills</w:t>
      </w:r>
    </w:p>
    <w:p w14:paraId="704C6E54" w14:textId="77777777" w:rsidR="00955709" w:rsidRPr="004026FB" w:rsidRDefault="00955709" w:rsidP="00955709">
      <w:pPr>
        <w:pStyle w:val="BodyBullet1"/>
      </w:pPr>
      <w:r w:rsidRPr="004026FB">
        <w:t>Contaminated stormwater runoff that is allowed to seep into the groundwater</w:t>
      </w:r>
    </w:p>
    <w:p w14:paraId="3F318F1E" w14:textId="77777777" w:rsidR="00955709" w:rsidRPr="004026FB" w:rsidRDefault="00955709" w:rsidP="00955709">
      <w:pPr>
        <w:pStyle w:val="BodyBullet1"/>
      </w:pPr>
      <w:r w:rsidRPr="004026FB">
        <w:t>Artificial recharge (injection of fluids into existing aquifers).</w:t>
      </w:r>
    </w:p>
    <w:p w14:paraId="6B4C3C73" w14:textId="649E31DE" w:rsidR="00955709" w:rsidRPr="004026FB" w:rsidRDefault="00955709" w:rsidP="00955709">
      <w:pPr>
        <w:pStyle w:val="BodyText"/>
      </w:pPr>
      <w:r w:rsidRPr="004026FB">
        <w:t xml:space="preserve">Spills are a localised impact, and with standard mitigation are likely to be dealt with quickly enough to prevent a </w:t>
      </w:r>
      <w:r w:rsidR="00C47EE9" w:rsidRPr="004026FB">
        <w:t>(long</w:t>
      </w:r>
      <w:r w:rsidR="005D1A47" w:rsidRPr="004026FB">
        <w:t>-</w:t>
      </w:r>
      <w:r w:rsidR="00C47EE9" w:rsidRPr="004026FB">
        <w:t xml:space="preserve">term) </w:t>
      </w:r>
      <w:r w:rsidRPr="004026FB">
        <w:t xml:space="preserve">reduction in quality. Stormwater runoff would be intercepted by water treatment features along the road alignment to be treated before potentially seeping into the groundwater and reducing the groundwater quality. Aquifer recharge is licenced under the </w:t>
      </w:r>
      <w:r w:rsidRPr="004026FB">
        <w:rPr>
          <w:i/>
        </w:rPr>
        <w:t>Water Act 1989</w:t>
      </w:r>
      <w:r w:rsidRPr="004026FB">
        <w:t xml:space="preserve">, with the water quality of any injection fluid needing to be compatible with the existing groundwater quality. For these reasons, a reduction in groundwater quality is not expected. </w:t>
      </w:r>
    </w:p>
    <w:p w14:paraId="66B7FDB6" w14:textId="77777777" w:rsidR="00955709" w:rsidRPr="004026FB" w:rsidRDefault="00955709" w:rsidP="00D518CD">
      <w:pPr>
        <w:pStyle w:val="Heading4"/>
        <w:spacing w:before="0"/>
      </w:pPr>
      <w:r w:rsidRPr="004026FB">
        <w:lastRenderedPageBreak/>
        <w:t xml:space="preserve">Drawdown </w:t>
      </w:r>
    </w:p>
    <w:p w14:paraId="3B8D2BB9" w14:textId="2190F2B4" w:rsidR="00955709" w:rsidRPr="004026FB" w:rsidRDefault="00955709" w:rsidP="00955709">
      <w:pPr>
        <w:pStyle w:val="BodyText"/>
      </w:pPr>
      <w:r w:rsidRPr="004026FB">
        <w:t>Changes to groundwater occur when it flows into an excavation or migrates around a cut-off. The</w:t>
      </w:r>
      <w:r w:rsidR="00D518CD" w:rsidRPr="004026FB">
        <w:t> </w:t>
      </w:r>
      <w:r w:rsidRPr="004026FB">
        <w:t xml:space="preserve">lowering of the groundwater level at the excavation site creates a hydraulic gradient towards the excavation or tunnel, so the groundwater moves along that gradient from high pressure to low pressure. The decline in water level is referred to as the ‘drawdown cone’ or ‘cone of depression’ around the pumping bore, or drawdown zone around an excavation. </w:t>
      </w:r>
    </w:p>
    <w:p w14:paraId="31D334AB" w14:textId="5B27B814" w:rsidR="00955709" w:rsidRPr="004026FB" w:rsidRDefault="00955709" w:rsidP="00955709">
      <w:pPr>
        <w:pStyle w:val="BodyText"/>
      </w:pPr>
      <w:r w:rsidRPr="004026FB">
        <w:t xml:space="preserve">The extent of groundwater drawdown is influenced by the nature of the aquifer (high or low </w:t>
      </w:r>
      <w:r w:rsidR="00C47EE9" w:rsidRPr="004026FB">
        <w:t>aquifer transmission capacities</w:t>
      </w:r>
      <w:r w:rsidRPr="004026FB">
        <w:t xml:space="preserve">), the pumping rate (how quickly water is removed via pump or seepage) and how long the pumping or seepage occurs. Altering the hydraulic gradient may change the groundwater movement from (or to) features such as creeks and rivers, and cause a reduction in water availability at those </w:t>
      </w:r>
      <w:proofErr w:type="gramStart"/>
      <w:r w:rsidRPr="004026FB">
        <w:t>features.</w:t>
      </w:r>
      <w:proofErr w:type="gramEnd"/>
      <w:r w:rsidRPr="004026FB">
        <w:t xml:space="preserve"> Features such as rivers may stabilise the cone of depression by inducing leakage from the surface water to groundwater, thereby ‘topping up’ groundwater levels. Aquifer thinning or permeability changes (such as </w:t>
      </w:r>
      <w:r w:rsidR="00C47EE9" w:rsidRPr="004026FB">
        <w:t>lateral changes in the transmission capacity of the aquifer</w:t>
      </w:r>
      <w:r w:rsidRPr="004026FB">
        <w:t xml:space="preserve">) may increase drawdown, as the cone of depression would expand </w:t>
      </w:r>
      <w:r w:rsidR="00C47EE9" w:rsidRPr="004026FB">
        <w:t>in order to supply the volume of water being taken from the aquifer.</w:t>
      </w:r>
    </w:p>
    <w:p w14:paraId="0E986382" w14:textId="77777777" w:rsidR="00955709" w:rsidRPr="004026FB" w:rsidRDefault="00955709" w:rsidP="00955709">
      <w:pPr>
        <w:pStyle w:val="Heading4"/>
      </w:pPr>
      <w:r w:rsidRPr="004026FB">
        <w:t xml:space="preserve">Mounding </w:t>
      </w:r>
    </w:p>
    <w:p w14:paraId="072E2E79" w14:textId="735A7024" w:rsidR="00955709" w:rsidRPr="004026FB" w:rsidRDefault="00955709" w:rsidP="00955709">
      <w:pPr>
        <w:pStyle w:val="BodyText"/>
      </w:pPr>
      <w:r w:rsidRPr="004026FB">
        <w:t>Barriers to regional groundwater flow, such as construction of an impediment, requires groundwater to migrate around that impediment. This can create an increase in groundwater level, or ‘mounding’, on the upstream side of the structure. Downstream of the impediment, there is less groundwater flow</w:t>
      </w:r>
      <w:r w:rsidR="00C47EE9" w:rsidRPr="004026FB">
        <w:t>ing through the aquifer,</w:t>
      </w:r>
      <w:r w:rsidRPr="004026FB">
        <w:t xml:space="preserve"> and groundwater levels tend to decline, resulting in drawdown. </w:t>
      </w:r>
    </w:p>
    <w:p w14:paraId="11B98CEF" w14:textId="5CCF242C" w:rsidR="00955709" w:rsidRPr="004026FB" w:rsidRDefault="00955709" w:rsidP="00955709">
      <w:pPr>
        <w:pStyle w:val="BodyText"/>
      </w:pPr>
      <w:r w:rsidRPr="004026FB">
        <w:t xml:space="preserve">A schematic of the groundwater conditions in the study area before and after the completion of North East Link is provided in </w:t>
      </w:r>
      <w:r w:rsidRPr="004026FB">
        <w:fldChar w:fldCharType="begin"/>
      </w:r>
      <w:r w:rsidRPr="004026FB">
        <w:instrText xml:space="preserve"> REF _Ref531157086 \h  \* MERGEFORMAT </w:instrText>
      </w:r>
      <w:r w:rsidRPr="004026FB">
        <w:fldChar w:fldCharType="separate"/>
      </w:r>
      <w:r w:rsidR="007530D3" w:rsidRPr="007530D3">
        <w:t>Figure 8</w:t>
      </w:r>
      <w:r w:rsidR="007530D3" w:rsidRPr="007530D3">
        <w:noBreakHyphen/>
        <w:t>4</w:t>
      </w:r>
      <w:r w:rsidRPr="004026FB">
        <w:fldChar w:fldCharType="end"/>
      </w:r>
      <w:r w:rsidRPr="004026FB">
        <w:t xml:space="preserve">. </w:t>
      </w:r>
    </w:p>
    <w:p w14:paraId="67FFE97E" w14:textId="4FD5A769" w:rsidR="00955709" w:rsidRPr="004026FB" w:rsidRDefault="00D84383" w:rsidP="00717A28">
      <w:pPr>
        <w:pStyle w:val="Object"/>
      </w:pPr>
      <w:r w:rsidRPr="004026FB">
        <w:rPr>
          <w:noProof/>
          <w:lang w:eastAsia="en-AU"/>
        </w:rPr>
        <w:lastRenderedPageBreak/>
        <w:drawing>
          <wp:inline distT="0" distB="0" distL="0" distR="0" wp14:anchorId="5284384B" wp14:editId="5AFF8CA2">
            <wp:extent cx="5720080" cy="2958778"/>
            <wp:effectExtent l="0" t="0" r="0" b="0"/>
            <wp:docPr id="3" name="Picture 3" descr="This figure shows the schematic how changes to ground water can affect availability during construction phase of the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a:ext>
                      </a:extLst>
                    </a:blip>
                    <a:srcRect t="2055" b="2159"/>
                    <a:stretch/>
                  </pic:blipFill>
                  <pic:spPr bwMode="auto">
                    <a:xfrm>
                      <a:off x="0" y="0"/>
                      <a:ext cx="5731632" cy="2964753"/>
                    </a:xfrm>
                    <a:prstGeom prst="rect">
                      <a:avLst/>
                    </a:prstGeom>
                    <a:noFill/>
                    <a:ln>
                      <a:noFill/>
                    </a:ln>
                    <a:extLst>
                      <a:ext uri="{53640926-AAD7-44D8-BBD7-CCE9431645EC}">
                        <a14:shadowObscured xmlns:a14="http://schemas.microsoft.com/office/drawing/2010/main"/>
                      </a:ext>
                    </a:extLst>
                  </pic:spPr>
                </pic:pic>
              </a:graphicData>
            </a:graphic>
          </wp:inline>
        </w:drawing>
      </w:r>
    </w:p>
    <w:p w14:paraId="1CBBB20B" w14:textId="24AEA70D" w:rsidR="00955709" w:rsidRPr="004026FB" w:rsidRDefault="00955709" w:rsidP="00D518CD">
      <w:pPr>
        <w:pStyle w:val="CaptionFigure"/>
        <w:keepLines w:val="0"/>
        <w:spacing w:before="120" w:after="0" w:line="240" w:lineRule="auto"/>
      </w:pPr>
      <w:bookmarkStart w:id="63" w:name="_Ref531157086"/>
      <w:bookmarkStart w:id="64" w:name="_Toc531163805"/>
      <w:bookmarkStart w:id="65" w:name="_Toc3641417"/>
      <w:bookmarkStart w:id="66" w:name="_Toc19489095"/>
      <w:r w:rsidRPr="004026FB">
        <w:rPr>
          <w:rStyle w:val="CharacterStyle-BrightColour"/>
        </w:rPr>
        <w:t>Figure</w:t>
      </w:r>
      <w:r w:rsidR="00B2156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4</w:t>
      </w:r>
      <w:r w:rsidR="00E175A2" w:rsidRPr="004026FB">
        <w:rPr>
          <w:rStyle w:val="CharacterStyle-BrightColour"/>
        </w:rPr>
        <w:fldChar w:fldCharType="end"/>
      </w:r>
      <w:bookmarkEnd w:id="63"/>
      <w:r w:rsidRPr="004026FB">
        <w:tab/>
        <w:t>Barriers to groundwater flow</w:t>
      </w:r>
      <w:bookmarkEnd w:id="64"/>
      <w:bookmarkEnd w:id="65"/>
      <w:bookmarkEnd w:id="66"/>
    </w:p>
    <w:p w14:paraId="4B93734E" w14:textId="589D307F" w:rsidR="00AB4956" w:rsidRPr="004026FB" w:rsidRDefault="00AB4956" w:rsidP="00AB4956">
      <w:pPr>
        <w:pStyle w:val="BodyText"/>
      </w:pPr>
      <w:r w:rsidRPr="004026FB">
        <w:t>Falling groundwater levels on the downstream side of an impediment can adversely affect GDEs and</w:t>
      </w:r>
      <w:r w:rsidR="00237873" w:rsidRPr="004026FB">
        <w:t> </w:t>
      </w:r>
      <w:r w:rsidRPr="004026FB">
        <w:t>existing groundwater bores, while mounding can create water logging, impacting vegetation or underground structures such as cellars and buried services. Impacts from changes to groundwater</w:t>
      </w:r>
      <w:r w:rsidR="00237873" w:rsidRPr="004026FB">
        <w:t> </w:t>
      </w:r>
      <w:r w:rsidRPr="004026FB">
        <w:t xml:space="preserve">levels are greatest nearest the impediment and decrease with increased distance from the impediment. </w:t>
      </w:r>
    </w:p>
    <w:p w14:paraId="72BB6255" w14:textId="77777777" w:rsidR="00AB4956" w:rsidRPr="004026FB" w:rsidRDefault="00AB4956" w:rsidP="00AB4956">
      <w:pPr>
        <w:pStyle w:val="Heading4"/>
      </w:pPr>
      <w:r w:rsidRPr="004026FB">
        <w:t xml:space="preserve">Mitigation </w:t>
      </w:r>
    </w:p>
    <w:p w14:paraId="19B83F68" w14:textId="77777777" w:rsidR="00AB4956" w:rsidRPr="004026FB" w:rsidRDefault="00AB4956" w:rsidP="00AB4956">
      <w:pPr>
        <w:pStyle w:val="BodyText"/>
      </w:pPr>
      <w:r w:rsidRPr="004026FB">
        <w:t>Relevant mitigation for changes to groundwater level, such as ‘tanking’, are discussed in relation to the groundwater impacts identified in the sections below.</w:t>
      </w:r>
    </w:p>
    <w:p w14:paraId="4C653B3E" w14:textId="77777777" w:rsidR="00AB4956" w:rsidRPr="004026FB" w:rsidRDefault="00AB4956" w:rsidP="00AB4956">
      <w:pPr>
        <w:pStyle w:val="Heading4"/>
      </w:pPr>
      <w:r w:rsidRPr="004026FB">
        <w:t xml:space="preserve">Groundwater modelling </w:t>
      </w:r>
    </w:p>
    <w:p w14:paraId="629E97C8" w14:textId="7E905E5F" w:rsidR="00AB4956" w:rsidRPr="004026FB" w:rsidRDefault="00AB4956" w:rsidP="00AB4956">
      <w:pPr>
        <w:pStyle w:val="BodyText"/>
      </w:pPr>
      <w:r w:rsidRPr="004026FB">
        <w:t xml:space="preserve">The changes to groundwater levels due to North East Link have been predicted using a numerical groundwater model. This specifically includes the cut and cover structures and tunnels that would be constructed below the existing water table. The model simulates the behaviour of groundwater taking into account the properties of the aquifer, </w:t>
      </w:r>
      <w:r w:rsidR="002A47DC" w:rsidRPr="004026FB">
        <w:t xml:space="preserve">groundwater levels, </w:t>
      </w:r>
      <w:r w:rsidRPr="004026FB">
        <w:t xml:space="preserve">the tunnel design and the proposed construction methods and duration. The primary objective of the numerical groundwater modelling was to inform potential impacts and risks of the construction of North East Link on sensitive receptors such as the ones described in Section </w:t>
      </w:r>
      <w:r w:rsidRPr="004026FB">
        <w:fldChar w:fldCharType="begin"/>
      </w:r>
      <w:r w:rsidRPr="004026FB">
        <w:instrText xml:space="preserve"> REF _Ref3046723 \r \h  \* MERGEFORMAT </w:instrText>
      </w:r>
      <w:r w:rsidRPr="004026FB">
        <w:fldChar w:fldCharType="separate"/>
      </w:r>
      <w:r w:rsidR="007530D3">
        <w:t>8.2</w:t>
      </w:r>
      <w:r w:rsidRPr="004026FB">
        <w:fldChar w:fldCharType="end"/>
      </w:r>
      <w:r w:rsidRPr="004026FB">
        <w:t xml:space="preserve"> above. </w:t>
      </w:r>
    </w:p>
    <w:p w14:paraId="7931C0D3" w14:textId="4E6FF51C" w:rsidR="00AB4956" w:rsidRPr="004026FB" w:rsidRDefault="00AB4956" w:rsidP="00AB4956">
      <w:pPr>
        <w:pStyle w:val="BodyText"/>
      </w:pPr>
      <w:r w:rsidRPr="004026FB">
        <w:lastRenderedPageBreak/>
        <w:t xml:space="preserve">Due to uncertainties in the data and model, 200 alternative models were developed, with each model providing plausible predictions for groundwater responses. </w:t>
      </w:r>
      <w:r w:rsidR="00733DC9" w:rsidRPr="004026FB">
        <w:t xml:space="preserve">At the time of the numerical model development there was insufficient data to enable transient calibration. </w:t>
      </w:r>
      <w:r w:rsidRPr="004026FB">
        <w:t>The groundwater outcomes discussed in the sections below are based on the majority of the outcomes that the 200 models predicted. This is why drawdown is discussed in terms of 95</w:t>
      </w:r>
      <w:r w:rsidRPr="004026FB">
        <w:rPr>
          <w:vertAlign w:val="superscript"/>
        </w:rPr>
        <w:t>th</w:t>
      </w:r>
      <w:r w:rsidRPr="004026FB">
        <w:t xml:space="preserve"> percentile values (that is 95 per cent of the models predict smaller values than the drawdown amount), and mounding in terms of 5</w:t>
      </w:r>
      <w:r w:rsidRPr="004026FB">
        <w:rPr>
          <w:vertAlign w:val="superscript"/>
        </w:rPr>
        <w:t>th</w:t>
      </w:r>
      <w:r w:rsidRPr="004026FB">
        <w:t xml:space="preserve"> percentile values (that is only 5 per cent of the models predict greater than the mounding amounts).</w:t>
      </w:r>
      <w:r w:rsidR="004C5A88" w:rsidRPr="004026FB">
        <w:t xml:space="preserve"> </w:t>
      </w:r>
    </w:p>
    <w:p w14:paraId="04BF5172" w14:textId="77777777" w:rsidR="00AB4956" w:rsidRPr="004026FB" w:rsidRDefault="00AB4956" w:rsidP="00AB4956">
      <w:pPr>
        <w:pStyle w:val="BodyText"/>
      </w:pPr>
      <w:r w:rsidRPr="004026FB">
        <w:t>The groundwater modelling report is provided as Appendix A of the PER Technical Appendix B – Groundwater technical report. The modelling report provides:</w:t>
      </w:r>
    </w:p>
    <w:p w14:paraId="3AA44061" w14:textId="0CECF7AE" w:rsidR="00AB4956" w:rsidRPr="004026FB" w:rsidRDefault="00AB4956" w:rsidP="00AB4956">
      <w:pPr>
        <w:pStyle w:val="BodyBullet1"/>
      </w:pPr>
      <w:r w:rsidRPr="004026FB">
        <w:t>Predictive numerical groundwater modelling</w:t>
      </w:r>
    </w:p>
    <w:p w14:paraId="4A46AB65" w14:textId="35C8B3BD" w:rsidR="00AB4956" w:rsidRPr="004026FB" w:rsidRDefault="00AB4956" w:rsidP="00AB4956">
      <w:pPr>
        <w:pStyle w:val="BodyBullet1"/>
      </w:pPr>
      <w:r w:rsidRPr="004026FB">
        <w:t>An assessment of short and long-term analysis of modelling during the construction and operation of North East Link</w:t>
      </w:r>
    </w:p>
    <w:p w14:paraId="142A1996" w14:textId="5CF33274" w:rsidR="00AB4956" w:rsidRPr="004026FB" w:rsidRDefault="00AB4956" w:rsidP="00AB4956">
      <w:pPr>
        <w:pStyle w:val="BodyBullet1"/>
      </w:pPr>
      <w:r w:rsidRPr="004026FB">
        <w:t>Predictions to groundwater recovery and re-equilibration scenarios and impact on nearby groundwater dependent assets</w:t>
      </w:r>
    </w:p>
    <w:p w14:paraId="2E244571" w14:textId="2B86D1E9" w:rsidR="00AB4956" w:rsidRPr="004026FB" w:rsidRDefault="00AB4956" w:rsidP="00AB4956">
      <w:pPr>
        <w:pStyle w:val="BodyBullet1"/>
      </w:pPr>
      <w:r w:rsidRPr="004026FB">
        <w:t>Details of existing monitoring bores and data collection.</w:t>
      </w:r>
    </w:p>
    <w:p w14:paraId="0B9A7567" w14:textId="7CAC7C5A" w:rsidR="00E45CFF" w:rsidRPr="004026FB" w:rsidRDefault="00E45CFF" w:rsidP="00B178B3">
      <w:pPr>
        <w:pStyle w:val="BodyText"/>
      </w:pPr>
      <w:r w:rsidRPr="004026FB">
        <w:t xml:space="preserve">Since the numerical groundwater modelling was undertaken for the preparation of the draft PER, </w:t>
      </w:r>
      <w:r w:rsidR="00733DC9" w:rsidRPr="004026FB">
        <w:t xml:space="preserve">further </w:t>
      </w:r>
      <w:r w:rsidRPr="004026FB">
        <w:t xml:space="preserve">numerical groundwater modelling has been undertaken. The purpose of the further modelling was to incorporate additional </w:t>
      </w:r>
      <w:r w:rsidR="002A47DC" w:rsidRPr="004026FB">
        <w:t xml:space="preserve">geological and </w:t>
      </w:r>
      <w:r w:rsidRPr="004026FB">
        <w:t>groundwater data collected over a period of approximately 12 months</w:t>
      </w:r>
      <w:r w:rsidR="00733DC9" w:rsidRPr="004026FB">
        <w:t xml:space="preserve">. This </w:t>
      </w:r>
      <w:r w:rsidRPr="004026FB">
        <w:t>enable</w:t>
      </w:r>
      <w:r w:rsidR="00733DC9" w:rsidRPr="004026FB">
        <w:t>d</w:t>
      </w:r>
      <w:r w:rsidRPr="004026FB">
        <w:t xml:space="preserve"> transient calibration to seasonal variations in groundwater levels and to assess whether or not the additional calibration efforts result in changes to the assessment of project-induced groundwater impacts.</w:t>
      </w:r>
    </w:p>
    <w:p w14:paraId="75EF66C3" w14:textId="2E813E88" w:rsidR="00B178B3" w:rsidRPr="004026FB" w:rsidRDefault="004E2E10" w:rsidP="00B178B3">
      <w:pPr>
        <w:pStyle w:val="BodyText"/>
      </w:pPr>
      <w:r w:rsidRPr="004026FB">
        <w:t xml:space="preserve">With the </w:t>
      </w:r>
      <w:r w:rsidR="00B178B3" w:rsidRPr="004026FB">
        <w:t>transient calibration and the additional data</w:t>
      </w:r>
      <w:r w:rsidR="00E44CE9" w:rsidRPr="004026FB">
        <w:t>, the updated model</w:t>
      </w:r>
      <w:r w:rsidR="00B178B3" w:rsidRPr="004026FB">
        <w:t xml:space="preserve"> generally resulted in an improved model performance. Whilst the model performance ha</w:t>
      </w:r>
      <w:r w:rsidR="005F6DAD" w:rsidRPr="004026FB">
        <w:t>s</w:t>
      </w:r>
      <w:r w:rsidR="00B178B3" w:rsidRPr="004026FB">
        <w:t xml:space="preserve"> improved, the overall findings of the model </w:t>
      </w:r>
      <w:r w:rsidR="005F6DAD" w:rsidRPr="004026FB">
        <w:t>a</w:t>
      </w:r>
      <w:r w:rsidR="00B178B3" w:rsidRPr="004026FB">
        <w:t>re gen</w:t>
      </w:r>
      <w:r w:rsidR="00E45CFF" w:rsidRPr="004026FB">
        <w:t>erally similar to the original.</w:t>
      </w:r>
      <w:r w:rsidR="00B178B3" w:rsidRPr="004026FB">
        <w:t xml:space="preserve"> An uncertainty analysis has not been completed as part of the model update, however</w:t>
      </w:r>
      <w:r w:rsidR="002A47DC" w:rsidRPr="004026FB">
        <w:t>,</w:t>
      </w:r>
      <w:r w:rsidR="00B178B3" w:rsidRPr="004026FB">
        <w:t xml:space="preserve"> predicted drawdowns tend to be less based upon the </w:t>
      </w:r>
      <w:r w:rsidR="00A66376" w:rsidRPr="004026FB">
        <w:t xml:space="preserve">further </w:t>
      </w:r>
      <w:r w:rsidR="00B178B3" w:rsidRPr="004026FB">
        <w:t>model</w:t>
      </w:r>
      <w:r w:rsidR="00A66376" w:rsidRPr="004026FB">
        <w:t>ling</w:t>
      </w:r>
      <w:r w:rsidR="00B178B3" w:rsidRPr="004026FB">
        <w:t>.</w:t>
      </w:r>
      <w:r w:rsidR="00C4122F" w:rsidRPr="004026FB">
        <w:t xml:space="preserve"> </w:t>
      </w:r>
      <w:r w:rsidR="00B92677" w:rsidRPr="004026FB">
        <w:t xml:space="preserve">Detail of this further modelling </w:t>
      </w:r>
      <w:r w:rsidR="00C4122F" w:rsidRPr="004026FB">
        <w:t xml:space="preserve">is provided </w:t>
      </w:r>
      <w:r w:rsidR="00B92677" w:rsidRPr="004026FB">
        <w:t xml:space="preserve">in </w:t>
      </w:r>
      <w:r w:rsidR="00C4122F" w:rsidRPr="004026FB">
        <w:t>Appendix B of the PER Technical Appendix B – Groundwater technical report.</w:t>
      </w:r>
    </w:p>
    <w:p w14:paraId="55B52186" w14:textId="02E316B8" w:rsidR="00BE2FA8" w:rsidRPr="004026FB" w:rsidRDefault="004E2E10" w:rsidP="00B178B3">
      <w:pPr>
        <w:pStyle w:val="BodyText"/>
      </w:pPr>
      <w:r w:rsidRPr="004026FB">
        <w:t>The impact discussions in the following sections include the outcomes from both the initial and further modelling.</w:t>
      </w:r>
      <w:r w:rsidR="003A7BBB">
        <w:t xml:space="preserve"> </w:t>
      </w:r>
    </w:p>
    <w:p w14:paraId="4088D180" w14:textId="2AF834FD" w:rsidR="00AB4956" w:rsidRPr="004026FB" w:rsidRDefault="00AB4956" w:rsidP="00AB4956">
      <w:pPr>
        <w:pStyle w:val="Heading3"/>
      </w:pPr>
      <w:bookmarkStart w:id="67" w:name="_Ref534025700"/>
      <w:bookmarkStart w:id="68" w:name="_Toc3641372"/>
      <w:bookmarkStart w:id="69" w:name="_Toc19489074"/>
      <w:r w:rsidRPr="004026FB">
        <w:lastRenderedPageBreak/>
        <w:t>Dewatering techniques and impacts</w:t>
      </w:r>
      <w:bookmarkEnd w:id="67"/>
      <w:bookmarkEnd w:id="68"/>
      <w:bookmarkEnd w:id="69"/>
      <w:r w:rsidRPr="004026FB">
        <w:t xml:space="preserve"> </w:t>
      </w:r>
    </w:p>
    <w:p w14:paraId="5BD9DFFC" w14:textId="5420EF02" w:rsidR="00AB4956" w:rsidRPr="004026FB" w:rsidRDefault="00AB4956" w:rsidP="00237873">
      <w:pPr>
        <w:pStyle w:val="BodyText"/>
        <w:keepNext/>
      </w:pPr>
      <w:r w:rsidRPr="004026FB">
        <w:t xml:space="preserve">In accordance with items (b), (f) and (g) in Section 2.5.2.1 of the PER Guidelines, this subsection provides the results of </w:t>
      </w:r>
      <w:r w:rsidR="00C4122F" w:rsidRPr="004026FB">
        <w:t xml:space="preserve">the </w:t>
      </w:r>
      <w:r w:rsidR="004E2E10" w:rsidRPr="004026FB">
        <w:t>initial</w:t>
      </w:r>
      <w:r w:rsidR="00C4122F" w:rsidRPr="004026FB">
        <w:t xml:space="preserve"> </w:t>
      </w:r>
      <w:r w:rsidR="004E2E10" w:rsidRPr="004026FB">
        <w:t xml:space="preserve">and further </w:t>
      </w:r>
      <w:r w:rsidRPr="004026FB">
        <w:t>groundwater modelling, and details of proposed dewatering techniques and the impacts of dewatering.</w:t>
      </w:r>
    </w:p>
    <w:p w14:paraId="5072A122" w14:textId="742A573E" w:rsidR="00AB4956" w:rsidRPr="004026FB" w:rsidRDefault="00AB4956" w:rsidP="00AB4956">
      <w:pPr>
        <w:pStyle w:val="BodyText"/>
      </w:pPr>
      <w:r w:rsidRPr="004026FB">
        <w:t>Maps of the predicted changes to groundwater level are included in this section. Due to how the modelling is generated, the maps provided here cannot show the most likely upper limits of both drawdown and mounding together on a single map. Accordingly, likely drawdown is displayed on one map, with likely mounding shown on a separate map.</w:t>
      </w:r>
    </w:p>
    <w:p w14:paraId="589C8658" w14:textId="77777777" w:rsidR="00AB4956" w:rsidRPr="004026FB" w:rsidRDefault="00AB4956" w:rsidP="00AB4956">
      <w:pPr>
        <w:pStyle w:val="Heading4"/>
      </w:pPr>
      <w:r w:rsidRPr="004026FB">
        <w:t xml:space="preserve">Impacts and mitigation </w:t>
      </w:r>
    </w:p>
    <w:p w14:paraId="07DAB484" w14:textId="5ABAF91B" w:rsidR="00AB4956" w:rsidRPr="004026FB" w:rsidRDefault="00AB4956" w:rsidP="00AB4956">
      <w:pPr>
        <w:pStyle w:val="BodyText"/>
      </w:pPr>
      <w:r w:rsidRPr="004026FB">
        <w:t>Dewatering (lowering the groundwater to allow construction/operation of North East Link) would only</w:t>
      </w:r>
      <w:r w:rsidR="00237873" w:rsidRPr="004026FB">
        <w:t> </w:t>
      </w:r>
      <w:r w:rsidRPr="004026FB">
        <w:t>be required where the action intersects with groundwater. Groundwater drawdown is a likely effect of the dewatering required, and management of any groundwater captured would need to be</w:t>
      </w:r>
      <w:r w:rsidR="00237873" w:rsidRPr="004026FB">
        <w:t> </w:t>
      </w:r>
      <w:r w:rsidRPr="004026FB">
        <w:t>considered.</w:t>
      </w:r>
    </w:p>
    <w:p w14:paraId="6C4BD78F" w14:textId="65ECEFD8" w:rsidR="00AB4956" w:rsidRPr="004026FB" w:rsidRDefault="00AB4956" w:rsidP="00AB4956">
      <w:pPr>
        <w:pStyle w:val="BodyText"/>
      </w:pPr>
      <w:r w:rsidRPr="004026FB">
        <w:t>Large areas of North East Link, particularly interchange and upgrade works associated with the M80</w:t>
      </w:r>
      <w:r w:rsidR="00237873" w:rsidRPr="004026FB">
        <w:t> </w:t>
      </w:r>
      <w:r w:rsidRPr="004026FB">
        <w:t>Ring Road and the Eastern Freeway, would include works undertaken either at or above ground level, and so lowering of the groundwater table would not be required. Groundwater intersection, and</w:t>
      </w:r>
      <w:r w:rsidR="00237873" w:rsidRPr="004026FB">
        <w:t> </w:t>
      </w:r>
      <w:r w:rsidRPr="004026FB">
        <w:t>therefore dewatering, is predicted to occur from between Watsonia railway station (north) to near Koonung Creek (south). The greatest drawdowns and therefore the most dewatering would occur nearest the excavation faces, with the drawdown decreasing with distance from the tunnel or</w:t>
      </w:r>
      <w:r w:rsidR="00237873" w:rsidRPr="004026FB">
        <w:t> </w:t>
      </w:r>
      <w:r w:rsidRPr="004026FB">
        <w:t>excavation.</w:t>
      </w:r>
    </w:p>
    <w:p w14:paraId="34997E37" w14:textId="77777777" w:rsidR="00AB4956" w:rsidRPr="004026FB" w:rsidRDefault="00AB4956" w:rsidP="00AB4956">
      <w:pPr>
        <w:pStyle w:val="BodyText"/>
      </w:pPr>
      <w:r w:rsidRPr="004026FB">
        <w:t xml:space="preserve">North East Link would involve construction works below the water table, specifically: </w:t>
      </w:r>
    </w:p>
    <w:p w14:paraId="7F8BC1CB" w14:textId="77777777" w:rsidR="00AB4956" w:rsidRPr="004026FB" w:rsidRDefault="00AB4956" w:rsidP="00AB4956">
      <w:pPr>
        <w:pStyle w:val="BodyBullet1"/>
      </w:pPr>
      <w:r w:rsidRPr="004026FB">
        <w:rPr>
          <w:rStyle w:val="Bold"/>
        </w:rPr>
        <w:t>Tunnels (both via tunnel boring machine (TBM) and mined through conventional methods).</w:t>
      </w:r>
      <w:r w:rsidRPr="004026FB">
        <w:t xml:space="preserve"> TBM tunnelling is proposed between Lower Plenty Road and Manningham Road. Mined tunnelling would occur for a short section south of Manningham Road.</w:t>
      </w:r>
    </w:p>
    <w:p w14:paraId="2F968355" w14:textId="77777777" w:rsidR="00AB4956" w:rsidRPr="004026FB" w:rsidRDefault="00AB4956" w:rsidP="00AB4956">
      <w:pPr>
        <w:pStyle w:val="BodyBullet1"/>
      </w:pPr>
      <w:r w:rsidRPr="004026FB">
        <w:rPr>
          <w:rStyle w:val="Bold"/>
        </w:rPr>
        <w:t>TBM launch and retrieval portals.</w:t>
      </w:r>
      <w:r w:rsidRPr="004026FB">
        <w:t xml:space="preserve"> Portals at Lower Plenty Road and Manningham Road would involve cut and cover tunnelling. Potential construction methods to support excavation faces may include secant piles, soldier piles and diaphragm walls. Water inflow into these excavations could be limited by the selection of the ground support method. Grouting can be used as an additional control measure. </w:t>
      </w:r>
    </w:p>
    <w:p w14:paraId="3C390DA6" w14:textId="77777777" w:rsidR="00AB4956" w:rsidRPr="004026FB" w:rsidRDefault="00AB4956" w:rsidP="00AB4956">
      <w:pPr>
        <w:pStyle w:val="BodyBullet1"/>
      </w:pPr>
      <w:r w:rsidRPr="004026FB">
        <w:rPr>
          <w:rStyle w:val="Bold"/>
        </w:rPr>
        <w:t>Cut and cover tunnelling.</w:t>
      </w:r>
      <w:r w:rsidRPr="004026FB">
        <w:t xml:space="preserve"> Cut and cover tunnelling is proposed between Blamey Road and the Lower Plenty Road TBM portal, and the mined tunnel and the Eastern Freeway. The design indicates these sections would be drained during the construction of North East Link (allowing groundwater seepage) but tanked (watertight) upon its completion. Various ground control methods could be applied similar to those at the portals, such as grouting. </w:t>
      </w:r>
    </w:p>
    <w:p w14:paraId="73CD74DD" w14:textId="4A350777" w:rsidR="00AB4956" w:rsidRPr="004026FB" w:rsidRDefault="00AB4956" w:rsidP="00AB4956">
      <w:pPr>
        <w:pStyle w:val="BodyText"/>
      </w:pPr>
      <w:r w:rsidRPr="004026FB">
        <w:lastRenderedPageBreak/>
        <w:t xml:space="preserve">Disturbance to groundwater levels is expected to be greatest during the construction of North East Link when dewatering would generally be at its greatest. The greatest magnitude of dewatering would occur at the northern portal (near the Lower Plenty Road intersection) where the structure would be at its deepest below the water table. </w:t>
      </w:r>
      <w:r w:rsidRPr="004026FB">
        <w:fldChar w:fldCharType="begin"/>
      </w:r>
      <w:r w:rsidRPr="004026FB">
        <w:instrText xml:space="preserve"> REF _Ref3728378 \h  \* MERGEFORMAT </w:instrText>
      </w:r>
      <w:r w:rsidRPr="004026FB">
        <w:fldChar w:fldCharType="separate"/>
      </w:r>
      <w:r w:rsidR="007530D3" w:rsidRPr="007530D3">
        <w:t>Figure 8</w:t>
      </w:r>
      <w:r w:rsidR="007530D3" w:rsidRPr="007530D3">
        <w:noBreakHyphen/>
        <w:t>5</w:t>
      </w:r>
      <w:r w:rsidRPr="004026FB">
        <w:fldChar w:fldCharType="end"/>
      </w:r>
      <w:r w:rsidRPr="004026FB">
        <w:t xml:space="preserve"> shows the predicted decrease in groundwater levels for the northern and southern portals during construction, with </w:t>
      </w:r>
      <w:r w:rsidRPr="004026FB">
        <w:fldChar w:fldCharType="begin"/>
      </w:r>
      <w:r w:rsidRPr="004026FB">
        <w:instrText xml:space="preserve"> REF _Ref3049379 \h  \* MERGEFORMAT </w:instrText>
      </w:r>
      <w:r w:rsidRPr="004026FB">
        <w:fldChar w:fldCharType="separate"/>
      </w:r>
      <w:r w:rsidR="007530D3" w:rsidRPr="007530D3">
        <w:t>Figure 8</w:t>
      </w:r>
      <w:r w:rsidR="007530D3" w:rsidRPr="007530D3">
        <w:noBreakHyphen/>
        <w:t>6</w:t>
      </w:r>
      <w:r w:rsidRPr="004026FB">
        <w:fldChar w:fldCharType="end"/>
      </w:r>
      <w:r w:rsidRPr="004026FB">
        <w:t xml:space="preserve"> showing the predicted mounding</w:t>
      </w:r>
      <w:r w:rsidR="001656FF" w:rsidRPr="004026FB">
        <w:t xml:space="preserve"> (both using initial modelling)</w:t>
      </w:r>
      <w:r w:rsidRPr="004026FB">
        <w:t>.</w:t>
      </w:r>
      <w:r w:rsidR="001656FF" w:rsidRPr="004026FB">
        <w:t xml:space="preserve"> </w:t>
      </w:r>
      <w:r w:rsidR="001A3A9D" w:rsidRPr="001A3A9D">
        <w:rPr>
          <w:color w:val="000000" w:themeColor="text1"/>
        </w:rPr>
        <w:fldChar w:fldCharType="begin"/>
      </w:r>
      <w:r w:rsidR="001A3A9D" w:rsidRPr="001A3A9D">
        <w:rPr>
          <w:color w:val="000000" w:themeColor="text1"/>
        </w:rPr>
        <w:instrText xml:space="preserve"> REF  _Ref17443912 \h  \* MERGEFORMAT </w:instrText>
      </w:r>
      <w:r w:rsidR="001A3A9D" w:rsidRPr="001A3A9D">
        <w:rPr>
          <w:color w:val="000000" w:themeColor="text1"/>
        </w:rPr>
      </w:r>
      <w:r w:rsidR="001A3A9D" w:rsidRPr="001A3A9D">
        <w:rPr>
          <w:color w:val="000000" w:themeColor="text1"/>
        </w:rPr>
        <w:fldChar w:fldCharType="separate"/>
      </w:r>
      <w:r w:rsidR="007530D3" w:rsidRPr="007530D3">
        <w:rPr>
          <w:rStyle w:val="CharacterStyle-BrightColour"/>
          <w:color w:val="000000" w:themeColor="text1"/>
        </w:rPr>
        <w:t>Figure 8</w:t>
      </w:r>
      <w:r w:rsidR="007530D3" w:rsidRPr="007530D3">
        <w:rPr>
          <w:rStyle w:val="CharacterStyle-BrightColour"/>
          <w:color w:val="000000" w:themeColor="text1"/>
        </w:rPr>
        <w:noBreakHyphen/>
        <w:t>7</w:t>
      </w:r>
      <w:r w:rsidR="001A3A9D" w:rsidRPr="001A3A9D">
        <w:rPr>
          <w:color w:val="000000" w:themeColor="text1"/>
        </w:rPr>
        <w:fldChar w:fldCharType="end"/>
      </w:r>
      <w:r w:rsidR="001656FF" w:rsidRPr="004026FB">
        <w:t xml:space="preserve"> shows the groundwater level changes based on the further modelling. </w:t>
      </w:r>
    </w:p>
    <w:p w14:paraId="2C094124" w14:textId="272A68A2" w:rsidR="00AB4956" w:rsidRPr="004026FB" w:rsidRDefault="00AB4956" w:rsidP="00AB4956">
      <w:pPr>
        <w:pStyle w:val="BodyText"/>
      </w:pPr>
      <w:r w:rsidRPr="004026FB">
        <w:t>The potential effects of dewatering depend on the relevant receptors in the drawdown and mounding</w:t>
      </w:r>
      <w:r w:rsidR="00237873" w:rsidRPr="004026FB">
        <w:t> </w:t>
      </w:r>
      <w:r w:rsidRPr="004026FB">
        <w:t>areas (such as ecological, abstractive, waterways). Indirect impacts to ecological receptors due to the changes in groundwater level are discussed in Chapter 7 Impacts on listed threatened species and ecological communities, and on migratory species, and PER Technical Appendix A – Flora</w:t>
      </w:r>
      <w:r w:rsidR="00237873" w:rsidRPr="004026FB">
        <w:t> </w:t>
      </w:r>
      <w:r w:rsidRPr="004026FB">
        <w:t>and fauna</w:t>
      </w:r>
      <w:r w:rsidR="00237873" w:rsidRPr="004026FB">
        <w:t xml:space="preserve"> </w:t>
      </w:r>
      <w:r w:rsidRPr="004026FB">
        <w:t xml:space="preserve">technical report. Potential decreases to the baseflow of waterways are discussed in Section </w:t>
      </w:r>
      <w:r w:rsidRPr="004026FB">
        <w:fldChar w:fldCharType="begin"/>
      </w:r>
      <w:r w:rsidRPr="004026FB">
        <w:instrText xml:space="preserve"> REF _Ref1081834 \r \h  \* MERGEFORMAT </w:instrText>
      </w:r>
      <w:r w:rsidRPr="004026FB">
        <w:fldChar w:fldCharType="separate"/>
      </w:r>
      <w:r w:rsidR="007530D3">
        <w:t>8.3.3</w:t>
      </w:r>
      <w:r w:rsidRPr="004026FB">
        <w:fldChar w:fldCharType="end"/>
      </w:r>
      <w:r w:rsidRPr="004026FB">
        <w:t xml:space="preserve"> below. </w:t>
      </w:r>
    </w:p>
    <w:p w14:paraId="7A14C97B" w14:textId="1FCE331D" w:rsidR="00AB4956" w:rsidRPr="004026FB" w:rsidRDefault="00AB4956" w:rsidP="00AB4956">
      <w:pPr>
        <w:pStyle w:val="BodyText"/>
      </w:pPr>
      <w:r w:rsidRPr="004026FB">
        <w:t xml:space="preserve">As discussed in Section </w:t>
      </w:r>
      <w:r w:rsidR="00FE5EAB">
        <w:fldChar w:fldCharType="begin"/>
      </w:r>
      <w:r w:rsidR="00FE5EAB">
        <w:instrText xml:space="preserve"> REF _Ref535250358 \r  \* MERGEFORMAT </w:instrText>
      </w:r>
      <w:r w:rsidR="00FE5EAB">
        <w:fldChar w:fldCharType="separate"/>
      </w:r>
      <w:r w:rsidR="007530D3">
        <w:t>8.2.6</w:t>
      </w:r>
      <w:r w:rsidR="00FE5EAB">
        <w:fldChar w:fldCharType="end"/>
      </w:r>
      <w:r w:rsidRPr="004026FB">
        <w:t xml:space="preserve">, the majority of bores within one kilometre of the reference project are not for abstractive groundwater use, but for monitoring purposes. As alternative water supply options are available (such as reticulated supply) these bores would likely have a low sensitivity to impact. The likely drawdown on the two bores identified as existing within the drawdown area during construction (on Simpson Barracks) is 0.5 to </w:t>
      </w:r>
      <w:r w:rsidR="00306EF7" w:rsidRPr="004026FB">
        <w:t xml:space="preserve">one </w:t>
      </w:r>
      <w:r w:rsidRPr="004026FB">
        <w:t>metre</w:t>
      </w:r>
      <w:r w:rsidR="00306EF7" w:rsidRPr="004026FB">
        <w:t xml:space="preserve"> for the </w:t>
      </w:r>
      <w:r w:rsidR="004F283A" w:rsidRPr="004026FB">
        <w:t xml:space="preserve">initial modelling, and 0.1 to 0.5 metres for </w:t>
      </w:r>
      <w:r w:rsidR="004E2E10" w:rsidRPr="004026FB">
        <w:t xml:space="preserve">the </w:t>
      </w:r>
      <w:r w:rsidR="004F283A" w:rsidRPr="004026FB">
        <w:t>further modelling undertaken</w:t>
      </w:r>
      <w:r w:rsidRPr="004026FB">
        <w:t>. As seasonal changes in groundwater level of 0.5 to one metre could be reasonably expected, and these bores are most likely only used for monitoring purposes, the decrease in groundwater level at these bores is not expected to be</w:t>
      </w:r>
      <w:r w:rsidR="00237873" w:rsidRPr="004026FB">
        <w:t> </w:t>
      </w:r>
      <w:r w:rsidRPr="004026FB">
        <w:t xml:space="preserve">significant. </w:t>
      </w:r>
    </w:p>
    <w:p w14:paraId="0A8277DC" w14:textId="1224B784" w:rsidR="00AB4956" w:rsidRPr="004026FB" w:rsidRDefault="00AB4956" w:rsidP="00AB4956">
      <w:pPr>
        <w:pStyle w:val="BodyText"/>
      </w:pPr>
      <w:r w:rsidRPr="004026FB">
        <w:t xml:space="preserve">During construction, mounding is predicted to occur mostly on the eastern side of the Manningham Road interchange, with the groundwater level increasing by around five metres </w:t>
      </w:r>
      <w:r w:rsidR="00852095" w:rsidRPr="004026FB">
        <w:t xml:space="preserve">(as per initial modelling) </w:t>
      </w:r>
      <w:r w:rsidRPr="004026FB">
        <w:t>or more. However,</w:t>
      </w:r>
      <w:r w:rsidR="00237873" w:rsidRPr="004026FB">
        <w:t> </w:t>
      </w:r>
      <w:r w:rsidRPr="004026FB">
        <w:t xml:space="preserve">even with this groundwater level increase, the water table would still be greater than five metres below the surface. As groundwater levels are not predicted to rise to within two metres of the surface, there is no elevated risk of salinity or water logging. </w:t>
      </w:r>
    </w:p>
    <w:p w14:paraId="4A3CF648" w14:textId="3EACB10C" w:rsidR="00AB4956" w:rsidRPr="004026FB" w:rsidRDefault="00AB4956" w:rsidP="00AB4956">
      <w:pPr>
        <w:pStyle w:val="BodyText"/>
      </w:pPr>
      <w:r w:rsidRPr="004026FB">
        <w:t>The main mitigation for dewatering is design philosophy, such as designing structures that are tanked, which would minimise groundwater changes by reducing the amount of groundwater inflow</w:t>
      </w:r>
      <w:r w:rsidR="00237873" w:rsidRPr="004026FB">
        <w:t> </w:t>
      </w:r>
      <w:r w:rsidRPr="004026FB">
        <w:t xml:space="preserve">into the structures to almost nil. Tanking a structure allows the groundwater to migrate around it, allowing the flow of groundwater to continue, instead of being interrupted and cut off as discussed in Section </w:t>
      </w:r>
      <w:r w:rsidRPr="004026FB">
        <w:fldChar w:fldCharType="begin"/>
      </w:r>
      <w:r w:rsidRPr="004026FB">
        <w:instrText xml:space="preserve"> REF _Ref3051836 \r \h  \* MERGEFORMAT </w:instrText>
      </w:r>
      <w:r w:rsidRPr="004026FB">
        <w:fldChar w:fldCharType="separate"/>
      </w:r>
      <w:r w:rsidR="007530D3">
        <w:t>8.3.1</w:t>
      </w:r>
      <w:r w:rsidRPr="004026FB">
        <w:fldChar w:fldCharType="end"/>
      </w:r>
      <w:r w:rsidRPr="004026FB">
        <w:t>. While mounding and drawdown still occur around tanked structures, the magnitude</w:t>
      </w:r>
      <w:r w:rsidR="00237873" w:rsidRPr="004026FB">
        <w:t> </w:t>
      </w:r>
      <w:r w:rsidRPr="004026FB">
        <w:t xml:space="preserve">of the resulting groundwater change is significantly reduced when compared to a drained (permeable) structure. </w:t>
      </w:r>
    </w:p>
    <w:p w14:paraId="1FC10D50" w14:textId="331E5DF1" w:rsidR="00AB4956" w:rsidRPr="004026FB" w:rsidRDefault="00AB4956" w:rsidP="00AB4956">
      <w:pPr>
        <w:pStyle w:val="BodyText"/>
      </w:pPr>
      <w:r w:rsidRPr="004026FB">
        <w:t>The reference project includes a number of structures designed to be tanked which would limit the volumes of groundwater that need to be managed</w:t>
      </w:r>
      <w:r w:rsidR="00CA5972" w:rsidRPr="004026FB">
        <w:t xml:space="preserve"> over the longer term</w:t>
      </w:r>
      <w:r w:rsidRPr="004026FB">
        <w:t xml:space="preserve">. </w:t>
      </w:r>
    </w:p>
    <w:p w14:paraId="4C2871C8" w14:textId="7493A5D2" w:rsidR="00AB4956" w:rsidRPr="004026FB" w:rsidRDefault="00AB4956" w:rsidP="00AB4956">
      <w:pPr>
        <w:pStyle w:val="BodyText"/>
      </w:pPr>
      <w:r w:rsidRPr="004026FB">
        <w:lastRenderedPageBreak/>
        <w:t xml:space="preserve">During the operation of North East Link, </w:t>
      </w:r>
      <w:r w:rsidR="00C77D6A" w:rsidRPr="004026FB">
        <w:t xml:space="preserve">as per the initial modelling, </w:t>
      </w:r>
      <w:r w:rsidRPr="004026FB">
        <w:t>these tanked structures may still be subject to minor seepage inflows, but at magnitudes expected to be significantly less than during the construction phase.</w:t>
      </w:r>
      <w:r w:rsidR="00C77D6A" w:rsidRPr="004026FB">
        <w:t xml:space="preserve"> While the further modelling predicts greater inflow rates for the northern portion of the alignment, the operation inflow is still magnitudes less than during construction. </w:t>
      </w:r>
      <w:r w:rsidRPr="004026FB">
        <w:fldChar w:fldCharType="begin"/>
      </w:r>
      <w:r w:rsidRPr="004026FB">
        <w:instrText xml:space="preserve"> REF _Ref534029055 \h  \* MERGEFORMAT </w:instrText>
      </w:r>
      <w:r w:rsidRPr="004026FB">
        <w:fldChar w:fldCharType="separate"/>
      </w:r>
      <w:r w:rsidR="007530D3" w:rsidRPr="007530D3">
        <w:t>Figure 8</w:t>
      </w:r>
      <w:r w:rsidR="007530D3" w:rsidRPr="007530D3">
        <w:noBreakHyphen/>
        <w:t>8</w:t>
      </w:r>
      <w:r w:rsidRPr="004026FB">
        <w:fldChar w:fldCharType="end"/>
      </w:r>
      <w:r w:rsidRPr="004026FB">
        <w:t xml:space="preserve"> shows the predicted groundwater drawdown for the northern and southern portals during the operation of North East Link, with </w:t>
      </w:r>
      <w:r w:rsidRPr="004026FB">
        <w:fldChar w:fldCharType="begin"/>
      </w:r>
      <w:r w:rsidRPr="004026FB">
        <w:instrText xml:space="preserve"> REF _Ref3049899 \h  \* MERGEFORMAT </w:instrText>
      </w:r>
      <w:r w:rsidRPr="004026FB">
        <w:fldChar w:fldCharType="separate"/>
      </w:r>
      <w:r w:rsidR="007530D3" w:rsidRPr="007530D3">
        <w:t>Figure 8</w:t>
      </w:r>
      <w:r w:rsidR="007530D3" w:rsidRPr="007530D3">
        <w:noBreakHyphen/>
        <w:t>9</w:t>
      </w:r>
      <w:r w:rsidRPr="004026FB">
        <w:fldChar w:fldCharType="end"/>
      </w:r>
      <w:r w:rsidRPr="004026FB">
        <w:t xml:space="preserve"> showing the predicted mounding</w:t>
      </w:r>
      <w:r w:rsidR="00D262F0" w:rsidRPr="004026FB">
        <w:t xml:space="preserve"> (both using the initial modelling)</w:t>
      </w:r>
      <w:r w:rsidRPr="004026FB">
        <w:t>.</w:t>
      </w:r>
      <w:r w:rsidR="00D262F0" w:rsidRPr="004026FB">
        <w:t xml:space="preserve"> </w:t>
      </w:r>
      <w:r w:rsidR="001A3A9D" w:rsidRPr="001A3A9D">
        <w:rPr>
          <w:color w:val="000000" w:themeColor="text1"/>
        </w:rPr>
        <w:fldChar w:fldCharType="begin"/>
      </w:r>
      <w:r w:rsidR="001A3A9D" w:rsidRPr="001A3A9D">
        <w:rPr>
          <w:color w:val="000000" w:themeColor="text1"/>
        </w:rPr>
        <w:instrText xml:space="preserve"> REF  _Ref17444267 \h  \* MERGEFORMAT </w:instrText>
      </w:r>
      <w:r w:rsidR="001A3A9D" w:rsidRPr="001A3A9D">
        <w:rPr>
          <w:color w:val="000000" w:themeColor="text1"/>
        </w:rPr>
      </w:r>
      <w:r w:rsidR="001A3A9D" w:rsidRPr="001A3A9D">
        <w:rPr>
          <w:color w:val="000000" w:themeColor="text1"/>
        </w:rPr>
        <w:fldChar w:fldCharType="separate"/>
      </w:r>
      <w:r w:rsidR="007530D3" w:rsidRPr="007530D3">
        <w:rPr>
          <w:rStyle w:val="CharacterStyle-BrightColour"/>
          <w:bCs/>
          <w:color w:val="000000" w:themeColor="text1"/>
        </w:rPr>
        <w:t>Figure 8</w:t>
      </w:r>
      <w:r w:rsidR="007530D3" w:rsidRPr="007530D3">
        <w:rPr>
          <w:rStyle w:val="CharacterStyle-BrightColour"/>
          <w:bCs/>
          <w:color w:val="000000" w:themeColor="text1"/>
        </w:rPr>
        <w:noBreakHyphen/>
        <w:t>10</w:t>
      </w:r>
      <w:r w:rsidR="001A3A9D" w:rsidRPr="001A3A9D">
        <w:rPr>
          <w:color w:val="000000" w:themeColor="text1"/>
        </w:rPr>
        <w:fldChar w:fldCharType="end"/>
      </w:r>
      <w:r w:rsidRPr="001A3A9D">
        <w:rPr>
          <w:color w:val="000000" w:themeColor="text1"/>
        </w:rPr>
        <w:t xml:space="preserve"> </w:t>
      </w:r>
      <w:r w:rsidR="00D262F0" w:rsidRPr="004026FB">
        <w:t xml:space="preserve">shows the groundwater level changes based on the further modelling. </w:t>
      </w:r>
    </w:p>
    <w:p w14:paraId="46A1D694" w14:textId="26CFBE39" w:rsidR="00AB4956" w:rsidRPr="004026FB" w:rsidRDefault="00AB4956" w:rsidP="00AB4956">
      <w:pPr>
        <w:pStyle w:val="BodyText"/>
      </w:pPr>
      <w:r w:rsidRPr="004026FB">
        <w:t>A Groundwater Management Plan would also be required and would include requirements, construction methods and contingencies to maintain and protect groundwater quality. The</w:t>
      </w:r>
      <w:r w:rsidR="00237873" w:rsidRPr="004026FB">
        <w:t> </w:t>
      </w:r>
      <w:r w:rsidRPr="004026FB">
        <w:t>Groundwater Management Plan would include requirements and methods for:</w:t>
      </w:r>
    </w:p>
    <w:p w14:paraId="49B1CC33" w14:textId="77777777" w:rsidR="00AB4956" w:rsidRPr="004026FB" w:rsidRDefault="00AB4956" w:rsidP="00C77935">
      <w:pPr>
        <w:pStyle w:val="BodyBullet1"/>
      </w:pPr>
      <w:r w:rsidRPr="004026FB">
        <w:t>Identification, treatment, disposal and handling of contaminated seepage water and slurries including vapours in accordance with relevant legislation and guidelines</w:t>
      </w:r>
    </w:p>
    <w:p w14:paraId="44F3919A" w14:textId="77777777" w:rsidR="00AB4956" w:rsidRPr="004026FB" w:rsidRDefault="00AB4956" w:rsidP="00AB4956">
      <w:pPr>
        <w:pStyle w:val="BodyBullet1"/>
      </w:pPr>
      <w:r w:rsidRPr="004026FB">
        <w:t>Assessment of barrier and damming effects</w:t>
      </w:r>
    </w:p>
    <w:p w14:paraId="4F2588F3" w14:textId="77777777" w:rsidR="00AB4956" w:rsidRPr="004026FB" w:rsidRDefault="00AB4956" w:rsidP="00AB4956">
      <w:pPr>
        <w:pStyle w:val="BodyBullet1"/>
      </w:pPr>
      <w:r w:rsidRPr="004026FB">
        <w:t>Subsidence management</w:t>
      </w:r>
    </w:p>
    <w:p w14:paraId="6E03C178" w14:textId="77777777" w:rsidR="00AB4956" w:rsidRPr="004026FB" w:rsidRDefault="00AB4956" w:rsidP="00AB4956">
      <w:pPr>
        <w:pStyle w:val="BodyBullet1"/>
      </w:pPr>
      <w:r w:rsidRPr="004026FB">
        <w:t>Monitoring of dewatering and potential impacts on acid sulfate soils, including unconsolidated sediments and lithified sedimentary rock</w:t>
      </w:r>
    </w:p>
    <w:p w14:paraId="212207B7" w14:textId="2D43807F" w:rsidR="00AB4956" w:rsidRPr="004026FB" w:rsidRDefault="00AB4956" w:rsidP="00AB4956">
      <w:pPr>
        <w:pStyle w:val="BodyBullet1"/>
      </w:pPr>
      <w:r w:rsidRPr="004026FB">
        <w:t>Protection of waterways and potential GDEs</w:t>
      </w:r>
    </w:p>
    <w:p w14:paraId="11A55FCE" w14:textId="39306431" w:rsidR="00F63EC4" w:rsidRPr="004026FB" w:rsidRDefault="00F63EC4" w:rsidP="00AB4956">
      <w:pPr>
        <w:pStyle w:val="BodyBullet1"/>
      </w:pPr>
      <w:r w:rsidRPr="004026FB">
        <w:t xml:space="preserve">Management of unexpected contaminated groundwater </w:t>
      </w:r>
      <w:r w:rsidR="003A7BBB">
        <w:t>eg</w:t>
      </w:r>
      <w:r w:rsidRPr="004026FB">
        <w:t xml:space="preserve"> using treatments, </w:t>
      </w:r>
      <w:r w:rsidR="00CA5972" w:rsidRPr="004026FB">
        <w:t xml:space="preserve">source removals, </w:t>
      </w:r>
      <w:r w:rsidRPr="004026FB">
        <w:t>hydraulic controls, grouting and exclusion methods</w:t>
      </w:r>
    </w:p>
    <w:p w14:paraId="4ACF3D13" w14:textId="13FA2472" w:rsidR="00F63EC4" w:rsidRPr="004026FB" w:rsidRDefault="00F63EC4" w:rsidP="00AB4956">
      <w:pPr>
        <w:pStyle w:val="BodyBullet1"/>
      </w:pPr>
      <w:r w:rsidRPr="004026FB">
        <w:t xml:space="preserve">Management of possible impact to groundwater monitoring and management </w:t>
      </w:r>
      <w:r w:rsidR="00D82F25" w:rsidRPr="004026FB">
        <w:t>by third parties of existing contamination plumes</w:t>
      </w:r>
    </w:p>
    <w:p w14:paraId="318EB958" w14:textId="77777777" w:rsidR="00AB4956" w:rsidRPr="004026FB" w:rsidRDefault="00AB4956" w:rsidP="00AB4956">
      <w:pPr>
        <w:pStyle w:val="BodyBullet1"/>
      </w:pPr>
      <w:r w:rsidRPr="004026FB">
        <w:t>Contingency actions when interventions are required.</w:t>
      </w:r>
    </w:p>
    <w:p w14:paraId="4B6931D8" w14:textId="77777777" w:rsidR="00AB4956" w:rsidRPr="004026FB" w:rsidRDefault="00AB4956" w:rsidP="00AB4956">
      <w:pPr>
        <w:pStyle w:val="BodyText"/>
      </w:pPr>
      <w:r w:rsidRPr="004026FB">
        <w:t>A Groundwater Management Plan would not be limited to addressing the items above. A contractor would tailor the Groundwater Management Plan to the specific requirements of the project, consult with EPA Victoria in preparing the plan and develop the plan and requirements to a level that satisfies the independent environmental auditor.</w:t>
      </w:r>
    </w:p>
    <w:p w14:paraId="1DAA133F" w14:textId="77777777" w:rsidR="00AB4956" w:rsidRPr="004026FB" w:rsidRDefault="00AB4956" w:rsidP="00AB4956">
      <w:pPr>
        <w:pStyle w:val="BodyText"/>
      </w:pPr>
      <w:r w:rsidRPr="004026FB">
        <w:t xml:space="preserve">Overall, the loss of groundwater from the bedrock aquifer system is not considered significant in terms of the overall resource. The bedrock aquifer is regionally extensive in size and the annual volumes of water take for North East Link would be small compared with the overall recharge. </w:t>
      </w:r>
    </w:p>
    <w:p w14:paraId="4CD9580A" w14:textId="312554D5" w:rsidR="00F4595E" w:rsidRPr="004026FB" w:rsidRDefault="00AB4956" w:rsidP="00D8151A">
      <w:pPr>
        <w:pStyle w:val="BodyText"/>
      </w:pPr>
      <w:r w:rsidRPr="004026FB">
        <w:t>Mounding would continue to occur on the east side North East Link during operation, especially near Manningham Road interchange. However, while mounding would increase in extent during operation, it would not increase in magnitude. Therefore the water table is predicted to remain over two metres below the ground surface, with no elevated risk of water logging or salinity impacts.</w:t>
      </w:r>
    </w:p>
    <w:p w14:paraId="023AD4D8" w14:textId="77777777" w:rsidR="00D171F1" w:rsidRPr="004026FB" w:rsidRDefault="00D171F1" w:rsidP="00D8151A">
      <w:pPr>
        <w:sectPr w:rsidR="00D171F1" w:rsidRPr="004026FB" w:rsidSect="00832F82">
          <w:headerReference w:type="even" r:id="rId27"/>
          <w:headerReference w:type="default" r:id="rId28"/>
          <w:pgSz w:w="11906" w:h="16838" w:code="9"/>
          <w:pgMar w:top="1134" w:right="1134" w:bottom="1134" w:left="1134" w:header="567" w:footer="567" w:gutter="567"/>
          <w:pgNumType w:chapStyle="1" w:chapSep="enDash"/>
          <w:cols w:space="708"/>
          <w:docGrid w:linePitch="360"/>
        </w:sectPr>
      </w:pPr>
    </w:p>
    <w:p w14:paraId="580F1317" w14:textId="51762BB5" w:rsidR="00D171F1" w:rsidRPr="00A5235D" w:rsidRDefault="00D84383" w:rsidP="00711022">
      <w:pPr>
        <w:pStyle w:val="Object"/>
      </w:pPr>
      <w:r w:rsidRPr="00A5235D">
        <w:rPr>
          <w:noProof/>
          <w:lang w:eastAsia="en-AU"/>
        </w:rPr>
        <w:lastRenderedPageBreak/>
        <w:drawing>
          <wp:inline distT="0" distB="0" distL="0" distR="0" wp14:anchorId="3D77B18B" wp14:editId="58C18215">
            <wp:extent cx="6948000" cy="4859124"/>
            <wp:effectExtent l="0" t="0" r="5715" b="0"/>
            <wp:docPr id="12" name="Picture 12" descr="This figure shows the predicted drawdown of groundwater levels around the northern portal and southern alignment during the construc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135006_8_5_Predicted_Drawdown_Construction_A4Half_Rev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948000" cy="4859124"/>
                    </a:xfrm>
                    <a:prstGeom prst="rect">
                      <a:avLst/>
                    </a:prstGeom>
                  </pic:spPr>
                </pic:pic>
              </a:graphicData>
            </a:graphic>
          </wp:inline>
        </w:drawing>
      </w:r>
    </w:p>
    <w:p w14:paraId="555C3FC8" w14:textId="408C5FC8" w:rsidR="00D171F1" w:rsidRPr="004026FB" w:rsidRDefault="00D171F1" w:rsidP="00A5235D">
      <w:pPr>
        <w:pStyle w:val="CaptionFigure"/>
      </w:pPr>
      <w:bookmarkStart w:id="70" w:name="_Ref3728378"/>
      <w:bookmarkStart w:id="71" w:name="_Toc3641418"/>
      <w:bookmarkStart w:id="72" w:name="_Toc19489096"/>
      <w:r w:rsidRPr="004026FB">
        <w:rPr>
          <w:rStyle w:val="CharacterStyle-BrightColour"/>
        </w:rPr>
        <w:t>Figure</w:t>
      </w:r>
      <w:r w:rsidR="00B2156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5</w:t>
      </w:r>
      <w:r w:rsidR="00E175A2" w:rsidRPr="004026FB">
        <w:rPr>
          <w:rStyle w:val="CharacterStyle-BrightColour"/>
        </w:rPr>
        <w:fldChar w:fldCharType="end"/>
      </w:r>
      <w:bookmarkEnd w:id="70"/>
      <w:r w:rsidRPr="004026FB">
        <w:tab/>
        <w:t xml:space="preserve">Predicted </w:t>
      </w:r>
      <w:r w:rsidRPr="00A5235D">
        <w:t>drawdown</w:t>
      </w:r>
      <w:r w:rsidRPr="004026FB">
        <w:t xml:space="preserve"> (positive values) around the northern and southern portals during construction</w:t>
      </w:r>
      <w:bookmarkEnd w:id="71"/>
      <w:r w:rsidR="001656FF" w:rsidRPr="004026FB">
        <w:t>,</w:t>
      </w:r>
      <w:r w:rsidRPr="004026FB">
        <w:t xml:space="preserve"> </w:t>
      </w:r>
      <w:r w:rsidR="001656FF" w:rsidRPr="004026FB">
        <w:t>initial modelling</w:t>
      </w:r>
      <w:bookmarkEnd w:id="72"/>
    </w:p>
    <w:p w14:paraId="4F07C11C" w14:textId="107D02C3" w:rsidR="00D171F1" w:rsidRPr="004026FB" w:rsidRDefault="00D84383" w:rsidP="00711022">
      <w:pPr>
        <w:pStyle w:val="Object"/>
      </w:pPr>
      <w:r w:rsidRPr="004026FB">
        <w:rPr>
          <w:noProof/>
          <w:lang w:eastAsia="en-AU"/>
        </w:rPr>
        <w:lastRenderedPageBreak/>
        <w:drawing>
          <wp:inline distT="0" distB="0" distL="0" distR="0" wp14:anchorId="26DFBD9F" wp14:editId="03703EC0">
            <wp:extent cx="6948000" cy="4859124"/>
            <wp:effectExtent l="0" t="0" r="5715" b="0"/>
            <wp:docPr id="25" name="Picture 25" descr="This figure shows the predicted mounding of groundwater levels around the northern portal and southern alignment during the construc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35006_8_6_Predicted_Mounding_Construction_A4Half_Re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48000" cy="4859124"/>
                    </a:xfrm>
                    <a:prstGeom prst="rect">
                      <a:avLst/>
                    </a:prstGeom>
                  </pic:spPr>
                </pic:pic>
              </a:graphicData>
            </a:graphic>
          </wp:inline>
        </w:drawing>
      </w:r>
    </w:p>
    <w:p w14:paraId="778826C3" w14:textId="088712BA" w:rsidR="00D171F1" w:rsidRPr="004026FB" w:rsidRDefault="00D171F1" w:rsidP="00D56A15">
      <w:pPr>
        <w:pStyle w:val="CaptionFigure"/>
        <w:spacing w:before="120" w:after="0" w:line="240" w:lineRule="auto"/>
      </w:pPr>
      <w:bookmarkStart w:id="73" w:name="_Ref3049379"/>
      <w:bookmarkStart w:id="74" w:name="_Toc3641419"/>
      <w:bookmarkStart w:id="75" w:name="_Toc19489097"/>
      <w:r w:rsidRPr="004026FB">
        <w:rPr>
          <w:rStyle w:val="CharacterStyle-BrightColour"/>
        </w:rPr>
        <w:t>Figure</w:t>
      </w:r>
      <w:r w:rsidR="00B2156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6</w:t>
      </w:r>
      <w:r w:rsidR="00E175A2" w:rsidRPr="004026FB">
        <w:rPr>
          <w:rStyle w:val="CharacterStyle-BrightColour"/>
        </w:rPr>
        <w:fldChar w:fldCharType="end"/>
      </w:r>
      <w:bookmarkEnd w:id="73"/>
      <w:r w:rsidRPr="004026FB">
        <w:tab/>
        <w:t>Predicted mounding (negative values) around the northern and southern portals during construction</w:t>
      </w:r>
      <w:bookmarkEnd w:id="74"/>
      <w:r w:rsidR="001656FF" w:rsidRPr="004026FB">
        <w:t>, initial modelling</w:t>
      </w:r>
      <w:bookmarkEnd w:id="75"/>
    </w:p>
    <w:p w14:paraId="38E173FF" w14:textId="166853F0" w:rsidR="0041259D" w:rsidRPr="004026FB" w:rsidRDefault="00FD385D" w:rsidP="00711022">
      <w:pPr>
        <w:pStyle w:val="Object"/>
      </w:pPr>
      <w:r>
        <w:rPr>
          <w:noProof/>
          <w:lang w:eastAsia="en-AU"/>
        </w:rPr>
        <w:lastRenderedPageBreak/>
        <w:drawing>
          <wp:inline distT="0" distB="0" distL="0" distR="0" wp14:anchorId="71B14B89" wp14:editId="74C120C9">
            <wp:extent cx="6851169" cy="4791075"/>
            <wp:effectExtent l="0" t="0" r="6985" b="0"/>
            <wp:docPr id="5" name="Picture 5" descr="This figure shows the predicted drawdown of groundwater levels around the northern portal and southern alignment during the opera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8-7 latest fixed metres.jpg"/>
                    <pic:cNvPicPr/>
                  </pic:nvPicPr>
                  <pic:blipFill>
                    <a:blip r:embed="rId31">
                      <a:extLst>
                        <a:ext uri="{28A0092B-C50C-407E-A947-70E740481C1C}">
                          <a14:useLocalDpi xmlns:a14="http://schemas.microsoft.com/office/drawing/2010/main" val="0"/>
                        </a:ext>
                      </a:extLst>
                    </a:blip>
                    <a:stretch>
                      <a:fillRect/>
                    </a:stretch>
                  </pic:blipFill>
                  <pic:spPr>
                    <a:xfrm>
                      <a:off x="0" y="0"/>
                      <a:ext cx="6855483" cy="4794092"/>
                    </a:xfrm>
                    <a:prstGeom prst="rect">
                      <a:avLst/>
                    </a:prstGeom>
                  </pic:spPr>
                </pic:pic>
              </a:graphicData>
            </a:graphic>
          </wp:inline>
        </w:drawing>
      </w:r>
    </w:p>
    <w:p w14:paraId="4E6A890D" w14:textId="2F368580" w:rsidR="001656FF" w:rsidRPr="004026FB" w:rsidRDefault="001656FF" w:rsidP="00711022">
      <w:pPr>
        <w:pStyle w:val="CaptionFigure"/>
      </w:pPr>
      <w:bookmarkStart w:id="76" w:name="_Ref17443912"/>
      <w:bookmarkStart w:id="77" w:name="_Toc19489098"/>
      <w:r w:rsidRPr="004026FB">
        <w:rPr>
          <w:rStyle w:val="CharacterStyle-BrightColour"/>
        </w:rPr>
        <w:t>Figure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Figure \* ARABIC \s 1 </w:instrText>
      </w:r>
      <w:r w:rsidRPr="004026FB">
        <w:rPr>
          <w:rStyle w:val="CharacterStyle-BrightColour"/>
        </w:rPr>
        <w:fldChar w:fldCharType="separate"/>
      </w:r>
      <w:r w:rsidR="007530D3">
        <w:rPr>
          <w:rStyle w:val="CharacterStyle-BrightColour"/>
          <w:noProof/>
        </w:rPr>
        <w:t>7</w:t>
      </w:r>
      <w:r w:rsidRPr="004026FB">
        <w:rPr>
          <w:rStyle w:val="CharacterStyle-BrightColour"/>
        </w:rPr>
        <w:fldChar w:fldCharType="end"/>
      </w:r>
      <w:bookmarkEnd w:id="76"/>
      <w:r w:rsidR="0041259D" w:rsidRPr="004026FB">
        <w:rPr>
          <w:rStyle w:val="CharacterStyle-BrightColour"/>
        </w:rPr>
        <w:tab/>
      </w:r>
      <w:r w:rsidRPr="004026FB">
        <w:t>Predicted groundwater level changes during construction, further modelling</w:t>
      </w:r>
      <w:bookmarkEnd w:id="77"/>
    </w:p>
    <w:p w14:paraId="3D43EDA4" w14:textId="0ECEC061" w:rsidR="00D171F1" w:rsidRPr="004026FB" w:rsidRDefault="00D84383" w:rsidP="00711022">
      <w:pPr>
        <w:pStyle w:val="Object"/>
      </w:pPr>
      <w:r w:rsidRPr="004026FB">
        <w:rPr>
          <w:noProof/>
          <w:lang w:eastAsia="en-AU"/>
        </w:rPr>
        <w:lastRenderedPageBreak/>
        <w:drawing>
          <wp:inline distT="0" distB="0" distL="0" distR="0" wp14:anchorId="2CB70302" wp14:editId="0FBD4F8E">
            <wp:extent cx="6948000" cy="4859124"/>
            <wp:effectExtent l="0" t="0" r="5715" b="0"/>
            <wp:docPr id="27" name="Picture 27" descr="This figure shows the predicted mounding of groundwater levels around the northern portal and southern alignment during the opera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35006_8_7_Predicted_Drawdown_Operational_A4Half_Rev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48000" cy="4859124"/>
                    </a:xfrm>
                    <a:prstGeom prst="rect">
                      <a:avLst/>
                    </a:prstGeom>
                  </pic:spPr>
                </pic:pic>
              </a:graphicData>
            </a:graphic>
          </wp:inline>
        </w:drawing>
      </w:r>
    </w:p>
    <w:p w14:paraId="72008E82" w14:textId="647ED12C" w:rsidR="00D171F1" w:rsidRPr="004026FB" w:rsidRDefault="00D171F1" w:rsidP="005560B6">
      <w:pPr>
        <w:pStyle w:val="CaptionFigure"/>
        <w:keepLines w:val="0"/>
        <w:spacing w:before="120" w:after="0" w:line="240" w:lineRule="auto"/>
        <w:ind w:left="1138" w:hanging="1138"/>
      </w:pPr>
      <w:bookmarkStart w:id="78" w:name="_Ref534029055"/>
      <w:bookmarkStart w:id="79" w:name="_Toc3641420"/>
      <w:bookmarkStart w:id="80" w:name="_Toc19489099"/>
      <w:r w:rsidRPr="004026FB">
        <w:rPr>
          <w:rStyle w:val="CharacterStyle-BrightColour"/>
        </w:rPr>
        <w:t>Figure</w:t>
      </w:r>
      <w:r w:rsidR="00B2156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bookmarkEnd w:id="78"/>
      <w:r w:rsidRPr="004026FB">
        <w:tab/>
        <w:t>Predicted drawdown (positive values) around the northern and southern portals during operation</w:t>
      </w:r>
      <w:bookmarkEnd w:id="79"/>
      <w:r w:rsidR="001656FF" w:rsidRPr="004026FB">
        <w:t>,</w:t>
      </w:r>
      <w:r w:rsidRPr="004026FB">
        <w:t xml:space="preserve"> </w:t>
      </w:r>
      <w:r w:rsidR="001656FF" w:rsidRPr="004026FB">
        <w:t>initial modelling</w:t>
      </w:r>
      <w:bookmarkEnd w:id="80"/>
    </w:p>
    <w:p w14:paraId="1A67FA94" w14:textId="11BF94DD" w:rsidR="00D171F1" w:rsidRPr="004026FB" w:rsidRDefault="00D84383" w:rsidP="00711022">
      <w:pPr>
        <w:pStyle w:val="Object"/>
      </w:pPr>
      <w:r w:rsidRPr="004026FB">
        <w:rPr>
          <w:noProof/>
          <w:lang w:eastAsia="en-AU"/>
        </w:rPr>
        <w:lastRenderedPageBreak/>
        <w:drawing>
          <wp:inline distT="0" distB="0" distL="0" distR="0" wp14:anchorId="7DBE9515" wp14:editId="70C3DF47">
            <wp:extent cx="6948000" cy="4859124"/>
            <wp:effectExtent l="0" t="0" r="5715" b="0"/>
            <wp:docPr id="28" name="Picture 28" descr="This figure shows the predicted mounding of groundwater levels around the northern portal and southern alignment during the opera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135006_8_8_Predicted_Mounding_Operational_A4Half_Rev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8000" cy="4859124"/>
                    </a:xfrm>
                    <a:prstGeom prst="rect">
                      <a:avLst/>
                    </a:prstGeom>
                  </pic:spPr>
                </pic:pic>
              </a:graphicData>
            </a:graphic>
          </wp:inline>
        </w:drawing>
      </w:r>
    </w:p>
    <w:p w14:paraId="2204C23B" w14:textId="36CCE418" w:rsidR="00D171F1" w:rsidRPr="004026FB" w:rsidRDefault="00D171F1" w:rsidP="00D56A15">
      <w:pPr>
        <w:pStyle w:val="CaptionFigure"/>
        <w:spacing w:before="120" w:after="0" w:line="240" w:lineRule="auto"/>
      </w:pPr>
      <w:bookmarkStart w:id="81" w:name="_Ref3049899"/>
      <w:bookmarkStart w:id="82" w:name="_Toc3641421"/>
      <w:bookmarkStart w:id="83" w:name="_Toc19489100"/>
      <w:r w:rsidRPr="004026FB">
        <w:rPr>
          <w:rStyle w:val="CharacterStyle-BrightColour"/>
        </w:rPr>
        <w:t>Figure</w:t>
      </w:r>
      <w:r w:rsidR="00B21569" w:rsidRPr="004026FB">
        <w:rPr>
          <w:rStyle w:val="CharacterStyle-BrightColour"/>
        </w:rPr>
        <w:t> </w:t>
      </w:r>
      <w:r w:rsidR="00E175A2" w:rsidRPr="004026FB">
        <w:rPr>
          <w:rStyle w:val="CharacterStyle-BrightColour"/>
        </w:rPr>
        <w:fldChar w:fldCharType="begin"/>
      </w:r>
      <w:r w:rsidR="00E175A2" w:rsidRPr="004026FB">
        <w:rPr>
          <w:rStyle w:val="CharacterStyle-BrightColour"/>
        </w:rPr>
        <w:instrText xml:space="preserve"> STYLEREF 1 \s </w:instrText>
      </w:r>
      <w:r w:rsidR="00E175A2" w:rsidRPr="004026FB">
        <w:rPr>
          <w:rStyle w:val="CharacterStyle-BrightColour"/>
        </w:rPr>
        <w:fldChar w:fldCharType="separate"/>
      </w:r>
      <w:r w:rsidR="007530D3">
        <w:rPr>
          <w:rStyle w:val="CharacterStyle-BrightColour"/>
          <w:noProof/>
        </w:rPr>
        <w:t>8</w:t>
      </w:r>
      <w:r w:rsidR="00E175A2" w:rsidRPr="004026FB">
        <w:rPr>
          <w:rStyle w:val="CharacterStyle-BrightColour"/>
        </w:rPr>
        <w:fldChar w:fldCharType="end"/>
      </w:r>
      <w:r w:rsidRPr="004026FB">
        <w:rPr>
          <w:rStyle w:val="CharacterStyle-BrightColour"/>
        </w:rPr>
        <w:noBreakHyphen/>
      </w:r>
      <w:r w:rsidR="00E175A2" w:rsidRPr="004026FB">
        <w:rPr>
          <w:rStyle w:val="CharacterStyle-BrightColour"/>
        </w:rPr>
        <w:fldChar w:fldCharType="begin"/>
      </w:r>
      <w:r w:rsidR="00E175A2" w:rsidRPr="004026FB">
        <w:rPr>
          <w:rStyle w:val="CharacterStyle-BrightColour"/>
        </w:rPr>
        <w:instrText xml:space="preserve"> SEQ Figure \* ARABIC \s 1 </w:instrText>
      </w:r>
      <w:r w:rsidR="00E175A2" w:rsidRPr="004026FB">
        <w:rPr>
          <w:rStyle w:val="CharacterStyle-BrightColour"/>
        </w:rPr>
        <w:fldChar w:fldCharType="separate"/>
      </w:r>
      <w:r w:rsidR="007530D3">
        <w:rPr>
          <w:rStyle w:val="CharacterStyle-BrightColour"/>
          <w:noProof/>
        </w:rPr>
        <w:t>9</w:t>
      </w:r>
      <w:r w:rsidR="00E175A2" w:rsidRPr="004026FB">
        <w:rPr>
          <w:rStyle w:val="CharacterStyle-BrightColour"/>
        </w:rPr>
        <w:fldChar w:fldCharType="end"/>
      </w:r>
      <w:bookmarkEnd w:id="81"/>
      <w:r w:rsidRPr="004026FB">
        <w:tab/>
        <w:t>Predicted mounding (negative values) around the northern and southern portals during operation</w:t>
      </w:r>
      <w:bookmarkEnd w:id="82"/>
      <w:r w:rsidR="001656FF" w:rsidRPr="004026FB">
        <w:t>, initial modelling</w:t>
      </w:r>
      <w:bookmarkEnd w:id="83"/>
    </w:p>
    <w:p w14:paraId="364AD740" w14:textId="64671399" w:rsidR="001656FF" w:rsidRPr="004026FB" w:rsidRDefault="00BA76CF" w:rsidP="00711022">
      <w:pPr>
        <w:pStyle w:val="Object"/>
      </w:pPr>
      <w:r>
        <w:rPr>
          <w:noProof/>
          <w:lang w:eastAsia="en-AU"/>
        </w:rPr>
        <w:lastRenderedPageBreak/>
        <w:drawing>
          <wp:inline distT="0" distB="0" distL="0" distR="0" wp14:anchorId="3271E60B" wp14:editId="2D3DCCBB">
            <wp:extent cx="6905625" cy="4829157"/>
            <wp:effectExtent l="0" t="0" r="0" b="0"/>
            <wp:docPr id="6" name="Picture 6" descr="This figure shows the predicted changes of groundwater levels during the opera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8-10 latest fixed metres.jpg"/>
                    <pic:cNvPicPr/>
                  </pic:nvPicPr>
                  <pic:blipFill>
                    <a:blip r:embed="rId34">
                      <a:extLst>
                        <a:ext uri="{28A0092B-C50C-407E-A947-70E740481C1C}">
                          <a14:useLocalDpi xmlns:a14="http://schemas.microsoft.com/office/drawing/2010/main" val="0"/>
                        </a:ext>
                      </a:extLst>
                    </a:blip>
                    <a:stretch>
                      <a:fillRect/>
                    </a:stretch>
                  </pic:blipFill>
                  <pic:spPr>
                    <a:xfrm>
                      <a:off x="0" y="0"/>
                      <a:ext cx="6905625" cy="4829157"/>
                    </a:xfrm>
                    <a:prstGeom prst="rect">
                      <a:avLst/>
                    </a:prstGeom>
                  </pic:spPr>
                </pic:pic>
              </a:graphicData>
            </a:graphic>
          </wp:inline>
        </w:drawing>
      </w:r>
    </w:p>
    <w:p w14:paraId="42AC2E02" w14:textId="44C3FB9B" w:rsidR="001656FF" w:rsidRPr="004026FB" w:rsidRDefault="001656FF" w:rsidP="00711022">
      <w:pPr>
        <w:pStyle w:val="CaptionFigure"/>
      </w:pPr>
      <w:bookmarkStart w:id="84" w:name="_Ref17444267"/>
      <w:bookmarkStart w:id="85" w:name="_Toc19489101"/>
      <w:r w:rsidRPr="004026FB">
        <w:rPr>
          <w:rStyle w:val="CharacterStyle-BrightColour"/>
          <w:bCs w:val="0"/>
        </w:rPr>
        <w:t>Figure </w:t>
      </w:r>
      <w:r w:rsidRPr="004026FB">
        <w:rPr>
          <w:rStyle w:val="CharacterStyle-BrightColour"/>
          <w:bCs w:val="0"/>
        </w:rPr>
        <w:fldChar w:fldCharType="begin"/>
      </w:r>
      <w:r w:rsidRPr="004026FB">
        <w:rPr>
          <w:rStyle w:val="CharacterStyle-BrightColour"/>
          <w:bCs w:val="0"/>
        </w:rPr>
        <w:instrText xml:space="preserve"> STYLEREF 1 \s </w:instrText>
      </w:r>
      <w:r w:rsidRPr="004026FB">
        <w:rPr>
          <w:rStyle w:val="CharacterStyle-BrightColour"/>
          <w:bCs w:val="0"/>
        </w:rPr>
        <w:fldChar w:fldCharType="separate"/>
      </w:r>
      <w:r w:rsidR="007530D3">
        <w:rPr>
          <w:rStyle w:val="CharacterStyle-BrightColour"/>
          <w:bCs w:val="0"/>
          <w:noProof/>
        </w:rPr>
        <w:t>8</w:t>
      </w:r>
      <w:r w:rsidRPr="004026FB">
        <w:rPr>
          <w:rStyle w:val="CharacterStyle-BrightColour"/>
          <w:bCs w:val="0"/>
        </w:rPr>
        <w:fldChar w:fldCharType="end"/>
      </w:r>
      <w:r w:rsidRPr="004026FB">
        <w:rPr>
          <w:rStyle w:val="CharacterStyle-BrightColour"/>
          <w:bCs w:val="0"/>
        </w:rPr>
        <w:noBreakHyphen/>
      </w:r>
      <w:r w:rsidRPr="004026FB">
        <w:rPr>
          <w:rStyle w:val="CharacterStyle-BrightColour"/>
          <w:bCs w:val="0"/>
        </w:rPr>
        <w:fldChar w:fldCharType="begin"/>
      </w:r>
      <w:r w:rsidRPr="004026FB">
        <w:rPr>
          <w:rStyle w:val="CharacterStyle-BrightColour"/>
          <w:bCs w:val="0"/>
        </w:rPr>
        <w:instrText xml:space="preserve"> SEQ Figure \* ARABIC \s 1 </w:instrText>
      </w:r>
      <w:r w:rsidRPr="004026FB">
        <w:rPr>
          <w:rStyle w:val="CharacterStyle-BrightColour"/>
          <w:bCs w:val="0"/>
        </w:rPr>
        <w:fldChar w:fldCharType="separate"/>
      </w:r>
      <w:r w:rsidR="007530D3">
        <w:rPr>
          <w:rStyle w:val="CharacterStyle-BrightColour"/>
          <w:bCs w:val="0"/>
          <w:noProof/>
        </w:rPr>
        <w:t>10</w:t>
      </w:r>
      <w:r w:rsidRPr="004026FB">
        <w:rPr>
          <w:rStyle w:val="CharacterStyle-BrightColour"/>
          <w:bCs w:val="0"/>
        </w:rPr>
        <w:fldChar w:fldCharType="end"/>
      </w:r>
      <w:bookmarkEnd w:id="84"/>
      <w:r w:rsidR="0041259D" w:rsidRPr="004026FB">
        <w:rPr>
          <w:rStyle w:val="CharacterStyle-BrightColour"/>
        </w:rPr>
        <w:tab/>
      </w:r>
      <w:r w:rsidRPr="004026FB">
        <w:t>Predicted groundwater level changes during operation, further modelling</w:t>
      </w:r>
      <w:bookmarkEnd w:id="85"/>
    </w:p>
    <w:p w14:paraId="02A8BAAD" w14:textId="77777777" w:rsidR="00D171F1" w:rsidRPr="004026FB" w:rsidRDefault="00D171F1" w:rsidP="00D56A15">
      <w:pPr>
        <w:pStyle w:val="BodyText"/>
        <w:spacing w:before="120" w:after="0" w:line="240" w:lineRule="auto"/>
        <w:sectPr w:rsidR="00D171F1" w:rsidRPr="004026FB" w:rsidSect="00D171F1">
          <w:headerReference w:type="even" r:id="rId35"/>
          <w:headerReference w:type="default" r:id="rId36"/>
          <w:pgSz w:w="16838" w:h="11906" w:orient="landscape" w:code="9"/>
          <w:pgMar w:top="1134" w:right="1134" w:bottom="1134" w:left="1134" w:header="567" w:footer="567" w:gutter="567"/>
          <w:pgNumType w:chapStyle="1" w:chapSep="enDash"/>
          <w:cols w:space="708"/>
          <w:docGrid w:linePitch="360"/>
        </w:sectPr>
      </w:pPr>
    </w:p>
    <w:p w14:paraId="5FEF50A0" w14:textId="77777777" w:rsidR="00016936" w:rsidRPr="004026FB" w:rsidRDefault="00016936" w:rsidP="00D56A15">
      <w:pPr>
        <w:pStyle w:val="Heading4"/>
        <w:spacing w:before="0"/>
      </w:pPr>
      <w:bookmarkStart w:id="86" w:name="_Ref534021692"/>
      <w:r w:rsidRPr="004026FB">
        <w:lastRenderedPageBreak/>
        <w:t xml:space="preserve">Groundwater management </w:t>
      </w:r>
    </w:p>
    <w:p w14:paraId="7AF50634" w14:textId="77777777" w:rsidR="00016936" w:rsidRPr="004026FB" w:rsidRDefault="00016936" w:rsidP="00016936">
      <w:pPr>
        <w:pStyle w:val="BodyText"/>
      </w:pPr>
      <w:r w:rsidRPr="004026FB">
        <w:t>At locations where dewatering would be required, techniques to control groundwater flow during the construction and operation of North East could include:</w:t>
      </w:r>
    </w:p>
    <w:p w14:paraId="24FBF14D" w14:textId="4CBB7703" w:rsidR="00016936" w:rsidRPr="004026FB" w:rsidRDefault="00016936" w:rsidP="00016936">
      <w:pPr>
        <w:pStyle w:val="BodyBullet1"/>
      </w:pPr>
      <w:r w:rsidRPr="004026FB">
        <w:rPr>
          <w:b/>
        </w:rPr>
        <w:t>Pumping</w:t>
      </w:r>
      <w:r w:rsidRPr="004026FB">
        <w:t xml:space="preserve"> – lowering water levels or pressures through the pumping of groundwater, or controlled seepage into excavations</w:t>
      </w:r>
    </w:p>
    <w:p w14:paraId="7064ECEA" w14:textId="45580AE0" w:rsidR="00016936" w:rsidRPr="004026FB" w:rsidRDefault="00016936" w:rsidP="00016936">
      <w:pPr>
        <w:pStyle w:val="BodyBullet1"/>
      </w:pPr>
      <w:r w:rsidRPr="004026FB">
        <w:rPr>
          <w:b/>
        </w:rPr>
        <w:t>Exclusion</w:t>
      </w:r>
      <w:r w:rsidRPr="004026FB">
        <w:t xml:space="preserve"> – grouting to prevent inflows, freezing, cut-offs (vertical barriers), slurries and shields. In</w:t>
      </w:r>
      <w:r w:rsidR="00237873" w:rsidRPr="004026FB">
        <w:t> </w:t>
      </w:r>
      <w:r w:rsidRPr="004026FB">
        <w:t>some cases the water proof lining system would be installed during construction of North East</w:t>
      </w:r>
      <w:r w:rsidR="00237873" w:rsidRPr="004026FB">
        <w:t> </w:t>
      </w:r>
      <w:r w:rsidRPr="004026FB">
        <w:t xml:space="preserve">Link. </w:t>
      </w:r>
    </w:p>
    <w:p w14:paraId="6AE1B3F5" w14:textId="5EC52B8F" w:rsidR="00016936" w:rsidRPr="004026FB" w:rsidRDefault="00016936" w:rsidP="00016936">
      <w:pPr>
        <w:pStyle w:val="BodyText"/>
      </w:pPr>
      <w:r w:rsidRPr="004026FB">
        <w:t>The management of any captured groundwater would depend on the water quality and the site water</w:t>
      </w:r>
      <w:r w:rsidR="00237873" w:rsidRPr="004026FB">
        <w:t> </w:t>
      </w:r>
      <w:r w:rsidRPr="004026FB">
        <w:t xml:space="preserve">requirements: </w:t>
      </w:r>
    </w:p>
    <w:p w14:paraId="6FC1AE05" w14:textId="77777777" w:rsidR="00016936" w:rsidRPr="004026FB" w:rsidRDefault="00016936" w:rsidP="00016936">
      <w:pPr>
        <w:pStyle w:val="BodyBullet1"/>
      </w:pPr>
      <w:r w:rsidRPr="004026FB">
        <w:t>Groundwater may undergo treatment such as settling and subsequently be reused for construction activities, including for dust suppression or to make up water for slurries.</w:t>
      </w:r>
    </w:p>
    <w:p w14:paraId="743DE4EF" w14:textId="77777777" w:rsidR="00016936" w:rsidRPr="004026FB" w:rsidRDefault="00016936" w:rsidP="00016936">
      <w:pPr>
        <w:pStyle w:val="BodyBullet1"/>
      </w:pPr>
      <w:r w:rsidRPr="004026FB">
        <w:t>Groundwater could also be reinjected into aquifers to provide hydraulic control on drawdowns. Disposal to groundwater must meet regulatory requirements such as State Environment Protection Policy 2018 (SEPP) (Waters) and Southern Rural Water licensing requirements. Treatment of the water before disposal may also be required to facilitate reinjection, such as to prevent mechanical, chemical or biological clogging.</w:t>
      </w:r>
    </w:p>
    <w:p w14:paraId="05848D0E" w14:textId="77777777" w:rsidR="00016936" w:rsidRPr="004026FB" w:rsidRDefault="00016936" w:rsidP="00016936">
      <w:pPr>
        <w:pStyle w:val="BodyBullet1"/>
      </w:pPr>
      <w:r w:rsidRPr="004026FB">
        <w:t>Groundwater could also be discharged to sewer, or to surface waterways. Disposal to sewer would require wastewater to meet trade waste acceptability guidelines of Yarra Valley Water. Disposal to waterways must meet regulatory requirements, such as SEPP (Waters) in terms of water quality (physical and chemical). Treatment may be required to achieve regulatory requirements and monitoring may be required to achieve compliance.</w:t>
      </w:r>
    </w:p>
    <w:p w14:paraId="4923F8AC" w14:textId="16841DE5" w:rsidR="00016936" w:rsidRPr="004026FB" w:rsidRDefault="00016936" w:rsidP="00016936">
      <w:pPr>
        <w:pStyle w:val="BodyText"/>
      </w:pPr>
      <w:r w:rsidRPr="004026FB">
        <w:t>A key consideration with how the groundwater would be managed would be its salinity. The average salinity of the Palaeozoic bedrock aquifer is 5,</w:t>
      </w:r>
      <w:r w:rsidR="00CA5972" w:rsidRPr="004026FB">
        <w:t>600 </w:t>
      </w:r>
      <w:r w:rsidRPr="004026FB">
        <w:t>mg/L</w:t>
      </w:r>
      <w:r w:rsidR="00CA5972" w:rsidRPr="004026FB">
        <w:t xml:space="preserve"> (refer </w:t>
      </w:r>
      <w:r w:rsidR="00711022" w:rsidRPr="004026FB">
        <w:rPr>
          <w:color w:val="000000" w:themeColor="text1"/>
        </w:rPr>
        <w:fldChar w:fldCharType="begin"/>
      </w:r>
      <w:r w:rsidR="00711022" w:rsidRPr="004026FB">
        <w:rPr>
          <w:color w:val="000000" w:themeColor="text1"/>
        </w:rPr>
        <w:instrText xml:space="preserve"> REF  _Ref17440476 \h  \* MERGEFORMAT </w:instrText>
      </w:r>
      <w:r w:rsidR="00711022" w:rsidRPr="004026FB">
        <w:rPr>
          <w:color w:val="000000" w:themeColor="text1"/>
        </w:rPr>
      </w:r>
      <w:r w:rsidR="00711022" w:rsidRPr="004026FB">
        <w:rPr>
          <w:color w:val="000000" w:themeColor="text1"/>
        </w:rPr>
        <w:fldChar w:fldCharType="separate"/>
      </w:r>
      <w:r w:rsidR="007530D3" w:rsidRPr="007530D3">
        <w:rPr>
          <w:rStyle w:val="CharacterStyle-BrightColour"/>
          <w:color w:val="000000" w:themeColor="text1"/>
        </w:rPr>
        <w:t>Table 8</w:t>
      </w:r>
      <w:r w:rsidR="007530D3" w:rsidRPr="007530D3">
        <w:rPr>
          <w:rStyle w:val="CharacterStyle-BrightColour"/>
          <w:color w:val="000000" w:themeColor="text1"/>
        </w:rPr>
        <w:noBreakHyphen/>
        <w:t>5</w:t>
      </w:r>
      <w:r w:rsidR="00711022" w:rsidRPr="004026FB">
        <w:rPr>
          <w:color w:val="000000" w:themeColor="text1"/>
        </w:rPr>
        <w:fldChar w:fldCharType="end"/>
      </w:r>
      <w:r w:rsidR="00CA5972" w:rsidRPr="004026FB">
        <w:t>)</w:t>
      </w:r>
      <w:r w:rsidRPr="004026FB">
        <w:t>. Structures located in, or adjacent the alluvial floodplain (such as in the southern cut and cover sections) may receive lower salinity inflows. Ultimately, the salt load would be determined from a blend of waters entering North East Link structures, and disposal to sewer would need to meet agreed waste acceptance criteria.</w:t>
      </w:r>
      <w:r w:rsidR="004C5A88" w:rsidRPr="004026FB">
        <w:t xml:space="preserve"> </w:t>
      </w:r>
    </w:p>
    <w:p w14:paraId="0407CD3B" w14:textId="77777777" w:rsidR="00016936" w:rsidRPr="004026FB" w:rsidRDefault="00016936" w:rsidP="00016936">
      <w:pPr>
        <w:pStyle w:val="Heading4"/>
      </w:pPr>
      <w:r w:rsidRPr="004026FB">
        <w:t xml:space="preserve">Residual impacts </w:t>
      </w:r>
    </w:p>
    <w:p w14:paraId="3A5915BE" w14:textId="77777777" w:rsidR="00016936" w:rsidRPr="004026FB" w:rsidRDefault="00016936" w:rsidP="00016936">
      <w:pPr>
        <w:pStyle w:val="BodyText"/>
      </w:pPr>
      <w:r w:rsidRPr="004026FB">
        <w:t>Once the construction of North East Link is completed, groundwater levels would gradually be restored toward a new equilibrium.</w:t>
      </w:r>
    </w:p>
    <w:p w14:paraId="06A3F48A" w14:textId="77777777" w:rsidR="00016936" w:rsidRPr="004026FB" w:rsidRDefault="00016936" w:rsidP="00016936">
      <w:pPr>
        <w:pStyle w:val="Heading3"/>
      </w:pPr>
      <w:bookmarkStart w:id="87" w:name="_Ref1081834"/>
      <w:bookmarkStart w:id="88" w:name="_Toc3641373"/>
      <w:bookmarkStart w:id="89" w:name="_Toc19489075"/>
      <w:bookmarkEnd w:id="86"/>
      <w:r w:rsidRPr="004026FB">
        <w:lastRenderedPageBreak/>
        <w:t>Potential changes to baseflow to the Yarra River and other waterways</w:t>
      </w:r>
      <w:bookmarkEnd w:id="87"/>
      <w:bookmarkEnd w:id="88"/>
      <w:bookmarkEnd w:id="89"/>
      <w:r w:rsidRPr="004026FB">
        <w:t xml:space="preserve"> </w:t>
      </w:r>
    </w:p>
    <w:p w14:paraId="5AE915CB" w14:textId="77777777" w:rsidR="00016936" w:rsidRPr="004026FB" w:rsidRDefault="00016936" w:rsidP="00237873">
      <w:pPr>
        <w:pStyle w:val="BodyText"/>
        <w:keepNext/>
      </w:pPr>
      <w:r w:rsidRPr="004026FB">
        <w:t>In accordance with item (d) in Section 2.5.2.1 of the PER Guidelines, this subsection provides an assessment of the potential changes to groundwater baseflow contributions.</w:t>
      </w:r>
    </w:p>
    <w:p w14:paraId="3AF5E769" w14:textId="77777777" w:rsidR="00016936" w:rsidRPr="004026FB" w:rsidRDefault="00016936" w:rsidP="00016936">
      <w:pPr>
        <w:pStyle w:val="Heading4"/>
      </w:pPr>
      <w:r w:rsidRPr="004026FB">
        <w:t xml:space="preserve">Impacts and mitigation </w:t>
      </w:r>
    </w:p>
    <w:p w14:paraId="06BB78BF" w14:textId="24D8325C" w:rsidR="00016936" w:rsidRPr="004026FB" w:rsidRDefault="00016936" w:rsidP="00016936">
      <w:pPr>
        <w:pStyle w:val="BodyText"/>
      </w:pPr>
      <w:r w:rsidRPr="004026FB">
        <w:t>While there is generally a limited understanding of connectivity between surface and groundwater throughout the study area, waterways and groundwater are known to interact in a number of ways. The key waterways within the project boundary and their interaction with groundwater are discussed</w:t>
      </w:r>
      <w:r w:rsidR="00237873" w:rsidRPr="004026FB">
        <w:t> </w:t>
      </w:r>
      <w:r w:rsidRPr="004026FB">
        <w:t xml:space="preserve">below. </w:t>
      </w:r>
    </w:p>
    <w:p w14:paraId="6113E371" w14:textId="77777777" w:rsidR="00016936" w:rsidRPr="004026FB" w:rsidRDefault="00016936" w:rsidP="00016936">
      <w:pPr>
        <w:pStyle w:val="Heading5"/>
        <w:rPr>
          <w:i/>
        </w:rPr>
      </w:pPr>
      <w:r w:rsidRPr="004026FB">
        <w:rPr>
          <w:i/>
        </w:rPr>
        <w:t>Yarra River</w:t>
      </w:r>
    </w:p>
    <w:p w14:paraId="53095EC2" w14:textId="58A143BC" w:rsidR="00016936" w:rsidRPr="004026FB" w:rsidRDefault="00016936" w:rsidP="00016936">
      <w:pPr>
        <w:pStyle w:val="BodyText"/>
      </w:pPr>
      <w:r w:rsidRPr="004026FB">
        <w:t>Previous studies of the Yarra River suggest that gaining/losing flow conditions in the Yarra River are neutral between Heidelberg and the Chandler Highway across the year. This is largely a result of low to flat hydraulic gradients, and lower recharge rates occurring in the urbanised area. Regional groundwater mapping indicates groundwater flow is predominantly towards the Yarra River. A</w:t>
      </w:r>
      <w:r w:rsidR="00237873" w:rsidRPr="004026FB">
        <w:t> </w:t>
      </w:r>
      <w:r w:rsidRPr="004026FB">
        <w:t>monitoring bore located at the former Bulleen Drive-in indicates that groundwater levels show a correlation with Yarra River flows.</w:t>
      </w:r>
    </w:p>
    <w:p w14:paraId="29852A38" w14:textId="77777777" w:rsidR="00016936" w:rsidRPr="004026FB" w:rsidRDefault="00016936" w:rsidP="00016936">
      <w:pPr>
        <w:pStyle w:val="BodyText"/>
      </w:pPr>
      <w:r w:rsidRPr="004026FB">
        <w:t>The TBM tunnels would pass approximately 25 metres below the Yarra River. Tunnelling beneath any waterway results in a risk of altering the groundwater flow between the tunnel and the overlying water. The flow between groundwater and the Yarra River is influenced by the make-up of the bedrock, including faulting and geological structures. North East Link would utilise TBM tunnelling methods that typically adopt low face pressures, which would decrease the risk of altering the hydraulic connection between the groundwater and Yarra River.</w:t>
      </w:r>
    </w:p>
    <w:p w14:paraId="74B175D7" w14:textId="7DBC9BF2" w:rsidR="00016936" w:rsidRPr="004026FB" w:rsidRDefault="00016936" w:rsidP="00016936">
      <w:pPr>
        <w:pStyle w:val="BodyText"/>
        <w:rPr>
          <w:highlight w:val="yellow"/>
        </w:rPr>
      </w:pPr>
      <w:r w:rsidRPr="004026FB">
        <w:t>Groundwater level drawdowns are predicted to extend beyond the Yarra River</w:t>
      </w:r>
      <w:r w:rsidR="006852A5" w:rsidRPr="004026FB">
        <w:t xml:space="preserve"> for the initial modelling</w:t>
      </w:r>
      <w:r w:rsidRPr="004026FB">
        <w:t>, albeit at a low magnitude (0.1</w:t>
      </w:r>
      <w:r w:rsidR="006852A5" w:rsidRPr="004026FB">
        <w:t xml:space="preserve"> to 0.5</w:t>
      </w:r>
      <w:r w:rsidRPr="004026FB">
        <w:t xml:space="preserve"> metres). The volume of flow depleted from the Yarra River, as </w:t>
      </w:r>
      <w:r w:rsidR="00806010" w:rsidRPr="004026FB">
        <w:t xml:space="preserve">reduced seepage from groundwater to the </w:t>
      </w:r>
      <w:r w:rsidRPr="004026FB">
        <w:t xml:space="preserve">streambed is expected to be several orders of magnitude less than the daily flow of the Yarra River: daily river flow of five cubic metres per second; with construction leakage of 0.003 and operational leakage of 0.0006 cubic metres per second. This would be a minor or negligible reduction of the Yarra River’s streamflow. </w:t>
      </w:r>
      <w:r w:rsidR="0041259D" w:rsidRPr="004026FB">
        <w:t>The further modelling predicts a less than one per cent reduction in Yarra River baseflow due to the structures, which is smaller than the 5.5 per cent reduction predicted above by the initial modelling.</w:t>
      </w:r>
    </w:p>
    <w:p w14:paraId="5702AE98" w14:textId="47B77D50" w:rsidR="00016936" w:rsidRPr="004026FB" w:rsidRDefault="00016936" w:rsidP="00016936">
      <w:pPr>
        <w:pStyle w:val="BodyText"/>
      </w:pPr>
      <w:r w:rsidRPr="004026FB">
        <w:t>Due to the proximity of construction at the proposed Manningham Road TBM launch portal,</w:t>
      </w:r>
      <w:r w:rsidR="00806010" w:rsidRPr="004026FB">
        <w:t xml:space="preserve"> and risks of connection between the Yarra River and excavations via coarse grained beds within the alluvium (or fracture sets within the bedrock)</w:t>
      </w:r>
      <w:r w:rsidRPr="004026FB">
        <w:t xml:space="preserve"> appropriate construction methods would need to be implemented to minimise inflows during construction </w:t>
      </w:r>
      <w:r w:rsidR="00806010" w:rsidRPr="004026FB">
        <w:t>to enable safe and stable working conditions and minimise</w:t>
      </w:r>
      <w:r w:rsidRPr="004026FB">
        <w:t xml:space="preserve"> adverse effects on the river flow.</w:t>
      </w:r>
    </w:p>
    <w:p w14:paraId="1CF0CFDE" w14:textId="77777777" w:rsidR="00016936" w:rsidRPr="004026FB" w:rsidRDefault="00016936" w:rsidP="00016936">
      <w:pPr>
        <w:pStyle w:val="Heading5"/>
        <w:rPr>
          <w:i/>
        </w:rPr>
      </w:pPr>
      <w:r w:rsidRPr="004026FB">
        <w:rPr>
          <w:i/>
        </w:rPr>
        <w:lastRenderedPageBreak/>
        <w:t xml:space="preserve">Banyule Creek </w:t>
      </w:r>
    </w:p>
    <w:p w14:paraId="5D633889" w14:textId="77777777" w:rsidR="00016936" w:rsidRPr="004026FB" w:rsidRDefault="00016936" w:rsidP="00016936">
      <w:pPr>
        <w:pStyle w:val="BodyText"/>
      </w:pPr>
      <w:r w:rsidRPr="004026FB">
        <w:t xml:space="preserve">Banyule Creek is a small freshwater waterway with its origin located at Simpson Barracks. It is considered to be an ephemeral stream with no permanent baseflow and is located upon the bedrock aquifer system. When the creek enters the Yarra River floodplain (in the lower parts of its catchment) it flows across alluvial sediments. It is known that groundwater in the bedrock aquifer is saline, and while groundwater contributions to the flow of Banyule Creek are possible, it is most likely only a minor contribution, based on the lack of salinity in the creek. </w:t>
      </w:r>
    </w:p>
    <w:p w14:paraId="427CC526" w14:textId="2D8808FC" w:rsidR="00016936" w:rsidRPr="004026FB" w:rsidRDefault="00016936" w:rsidP="00016936">
      <w:pPr>
        <w:pStyle w:val="BodyText"/>
      </w:pPr>
      <w:r w:rsidRPr="004026FB">
        <w:t xml:space="preserve">Long-term drawdowns in this region are expected to be around 0.1 </w:t>
      </w:r>
      <w:r w:rsidR="0041259D" w:rsidRPr="004026FB">
        <w:t xml:space="preserve">to 0.5 </w:t>
      </w:r>
      <w:r w:rsidRPr="004026FB">
        <w:t>metres</w:t>
      </w:r>
      <w:r w:rsidR="00704277" w:rsidRPr="004026FB">
        <w:t xml:space="preserve"> for both initial and further modelling</w:t>
      </w:r>
      <w:r w:rsidRPr="004026FB">
        <w:t xml:space="preserve">, which is within the range of seasonal fluctuation, and would be a negligible decrease on any contribution to streamflow. </w:t>
      </w:r>
    </w:p>
    <w:p w14:paraId="47A4136D" w14:textId="77777777" w:rsidR="00016936" w:rsidRPr="004026FB" w:rsidRDefault="00016936" w:rsidP="00016936">
      <w:pPr>
        <w:pStyle w:val="Heading5"/>
        <w:rPr>
          <w:i/>
        </w:rPr>
      </w:pPr>
      <w:r w:rsidRPr="004026FB">
        <w:rPr>
          <w:i/>
        </w:rPr>
        <w:t xml:space="preserve">Banyule Swamp and Banyule Billabong </w:t>
      </w:r>
    </w:p>
    <w:p w14:paraId="7C8A2784" w14:textId="77777777" w:rsidR="00016936" w:rsidRPr="004026FB" w:rsidRDefault="00016936" w:rsidP="00016936">
      <w:pPr>
        <w:pStyle w:val="BodyText"/>
      </w:pPr>
      <w:r w:rsidRPr="004026FB">
        <w:t xml:space="preserve">Banyule Swamp is a wetland located on the margins of the Yarra River floodplain near Banyule Creek. Banyule Billabong is located marginally south of the swamp and is a freshwater marsh of less than two metres in depth and can dry out every four to five years. While annual flooding would have historically topped up the billabong and swamp, water extraction from the Yarra River has reduced flooding events. Overflow from the Yarra River and other water from local catchment run-off are the primary sources of water for the Banyule Swamp and Banyule Billabong. The groundwater dependence of the swamp and billabong is unknown. </w:t>
      </w:r>
    </w:p>
    <w:p w14:paraId="5B1AFADF" w14:textId="77777777" w:rsidR="00016936" w:rsidRPr="004026FB" w:rsidRDefault="00016936" w:rsidP="00016936">
      <w:pPr>
        <w:pStyle w:val="BodyText"/>
      </w:pPr>
      <w:r w:rsidRPr="004026FB">
        <w:t>As the construction of North East Link through this area would be related to the TBM, which tanks the tunnel as it goes, disturbance to groundwater would likely be minimal and is considered to be of low risk because:</w:t>
      </w:r>
    </w:p>
    <w:p w14:paraId="35172A09" w14:textId="77777777" w:rsidR="00016936" w:rsidRPr="004026FB" w:rsidRDefault="00016936" w:rsidP="00016936">
      <w:pPr>
        <w:pStyle w:val="BodyBullet1"/>
      </w:pPr>
      <w:r w:rsidRPr="004026FB">
        <w:t>Tunnelling would be within the bedrock aquifer and would not ‘cut-off’ regional groundwater flow paths in this aquifer—groundwater would be able to migrate above and below the TBM tunnels.</w:t>
      </w:r>
    </w:p>
    <w:p w14:paraId="54B459C2" w14:textId="654F3D34" w:rsidR="00016936" w:rsidRPr="004026FB" w:rsidRDefault="00016936" w:rsidP="00016936">
      <w:pPr>
        <w:pStyle w:val="BodyBullet1"/>
      </w:pPr>
      <w:r w:rsidRPr="004026FB">
        <w:t>Alluvial floodplains have higher permeability</w:t>
      </w:r>
      <w:r w:rsidR="0036631A" w:rsidRPr="004026FB">
        <w:t>, recharge rates,</w:t>
      </w:r>
      <w:r w:rsidRPr="004026FB">
        <w:t xml:space="preserve"> </w:t>
      </w:r>
      <w:r w:rsidR="0036631A" w:rsidRPr="004026FB">
        <w:t xml:space="preserve">and storage relative to </w:t>
      </w:r>
      <w:r w:rsidRPr="004026FB">
        <w:t>th</w:t>
      </w:r>
      <w:r w:rsidR="0036631A" w:rsidRPr="004026FB">
        <w:t>e</w:t>
      </w:r>
      <w:r w:rsidRPr="004026FB">
        <w:t xml:space="preserve"> bedrock aquifer, and thus a higher capacity to replace lost groundwater. Drawdowns in the alluvial floodplain would therefore likely be negligible</w:t>
      </w:r>
      <w:r w:rsidR="00237873" w:rsidRPr="004026FB">
        <w:t> </w:t>
      </w:r>
      <w:r w:rsidRPr="004026FB">
        <w:t>as leakage from the alluvial sediments would prop up water levels in the underlying bedrock aquifer.</w:t>
      </w:r>
    </w:p>
    <w:p w14:paraId="25E4540D" w14:textId="77777777" w:rsidR="00016936" w:rsidRPr="004026FB" w:rsidRDefault="00016936" w:rsidP="00016936">
      <w:pPr>
        <w:pStyle w:val="BodyBullet1"/>
      </w:pPr>
      <w:r w:rsidRPr="004026FB">
        <w:t xml:space="preserve">Decrease in contribution to streamflow would be negligible. </w:t>
      </w:r>
    </w:p>
    <w:p w14:paraId="437931C4" w14:textId="5EB5CBC9" w:rsidR="00016936" w:rsidRPr="004026FB" w:rsidRDefault="004C5A88" w:rsidP="00016936">
      <w:pPr>
        <w:pStyle w:val="Heading5"/>
        <w:rPr>
          <w:i/>
        </w:rPr>
      </w:pPr>
      <w:r w:rsidRPr="004026FB">
        <w:rPr>
          <w:i/>
        </w:rPr>
        <w:t>Bolin Bolin</w:t>
      </w:r>
      <w:r w:rsidR="00016936" w:rsidRPr="004026FB">
        <w:rPr>
          <w:i/>
        </w:rPr>
        <w:t xml:space="preserve"> Billabong </w:t>
      </w:r>
    </w:p>
    <w:p w14:paraId="1B770B24" w14:textId="100E4EDC" w:rsidR="00016936" w:rsidRPr="004026FB" w:rsidRDefault="004C5A88" w:rsidP="00016936">
      <w:pPr>
        <w:pStyle w:val="BodyText"/>
      </w:pPr>
      <w:r w:rsidRPr="004026FB">
        <w:t>Bolin Bolin</w:t>
      </w:r>
      <w:r w:rsidR="00016936" w:rsidRPr="004026FB">
        <w:t xml:space="preserve"> Billabong is located in Bulleen and is considered to have significant cultural and ecological value. The billabong has been conceptualised as having three zones:</w:t>
      </w:r>
    </w:p>
    <w:p w14:paraId="40F31CE0" w14:textId="77777777" w:rsidR="00016936" w:rsidRPr="004026FB" w:rsidRDefault="00016936" w:rsidP="00016936">
      <w:pPr>
        <w:pStyle w:val="BodyBullet1"/>
      </w:pPr>
      <w:r w:rsidRPr="004026FB">
        <w:t xml:space="preserve">A deep pool, typically inundated with up to two metres of water </w:t>
      </w:r>
    </w:p>
    <w:p w14:paraId="49A78B13" w14:textId="77777777" w:rsidR="00016936" w:rsidRPr="004026FB" w:rsidRDefault="00016936" w:rsidP="00016936">
      <w:pPr>
        <w:pStyle w:val="BodyBullet1"/>
      </w:pPr>
      <w:r w:rsidRPr="004026FB">
        <w:t>Wet-dry arms, which are elevated higher than the deep pool and intermittently inundated to 0.5 metres of water</w:t>
      </w:r>
    </w:p>
    <w:p w14:paraId="3B8F3F9B" w14:textId="77777777" w:rsidR="00016936" w:rsidRPr="004026FB" w:rsidRDefault="00016936" w:rsidP="00016936">
      <w:pPr>
        <w:pStyle w:val="BodyBullet1"/>
      </w:pPr>
      <w:r w:rsidRPr="004026FB">
        <w:lastRenderedPageBreak/>
        <w:t xml:space="preserve">Floodplain, elevated above the wet-dry zone and inundated to 0.1-metre depth at a frequency less than the wet-dry arms. </w:t>
      </w:r>
    </w:p>
    <w:p w14:paraId="1428F438" w14:textId="59B58666" w:rsidR="0041259D" w:rsidRPr="004026FB" w:rsidRDefault="00016936" w:rsidP="00016936">
      <w:pPr>
        <w:pStyle w:val="BodyText"/>
      </w:pPr>
      <w:r w:rsidRPr="004026FB">
        <w:t>Drawdowns during the construction of North East Link are predicted to extend to the billabong. Some</w:t>
      </w:r>
      <w:r w:rsidR="00237873" w:rsidRPr="004026FB">
        <w:t> </w:t>
      </w:r>
      <w:r w:rsidRPr="004026FB">
        <w:t xml:space="preserve">recovery of water levels is expected following construction, but owing to the damming effect on regional groundwater flow lines, drawdown would occur down-gradient of the structure and extend to the billabong, as shown </w:t>
      </w:r>
      <w:r w:rsidR="0041259D" w:rsidRPr="004026FB">
        <w:t xml:space="preserve">for the initial modelling </w:t>
      </w:r>
      <w:r w:rsidRPr="004026FB">
        <w:t xml:space="preserve">in </w:t>
      </w:r>
      <w:r w:rsidRPr="004026FB">
        <w:fldChar w:fldCharType="begin"/>
      </w:r>
      <w:r w:rsidRPr="004026FB">
        <w:instrText xml:space="preserve"> REF _Ref534029055 \h  \* MERGEFORMAT </w:instrText>
      </w:r>
      <w:r w:rsidRPr="004026FB">
        <w:fldChar w:fldCharType="separate"/>
      </w:r>
      <w:r w:rsidR="007530D3" w:rsidRPr="007530D3">
        <w:t>Figure 8</w:t>
      </w:r>
      <w:r w:rsidR="007530D3" w:rsidRPr="007530D3">
        <w:noBreakHyphen/>
        <w:t>8</w:t>
      </w:r>
      <w:r w:rsidRPr="004026FB">
        <w:fldChar w:fldCharType="end"/>
      </w:r>
      <w:r w:rsidRPr="004026FB">
        <w:t xml:space="preserve">. </w:t>
      </w:r>
    </w:p>
    <w:p w14:paraId="10C86F23" w14:textId="505A3A95" w:rsidR="0041259D" w:rsidRPr="004026FB" w:rsidRDefault="0041259D" w:rsidP="00016936">
      <w:pPr>
        <w:pStyle w:val="BodyText"/>
      </w:pPr>
      <w:r w:rsidRPr="004026FB">
        <w:t>The further modelling predicts a marginally larger reduction in groundwater at the Bolin Bolin Billabong partly due to greater drawdown predicted over the mined tunnels to the northeast, (although drawdowns are still very small). The extent of the 0.1 to 0.5 metre drawdown is localised at the deep pool and indicates a reduction in groundwater levels at the deep pool to be towards the lower end of this range over the long term (</w:t>
      </w:r>
      <w:r w:rsidRPr="004026FB">
        <w:rPr>
          <w:szCs w:val="20"/>
        </w:rPr>
        <w:t>see</w:t>
      </w:r>
      <w:r w:rsidR="00CA3446" w:rsidRPr="004026FB">
        <w:rPr>
          <w:szCs w:val="20"/>
        </w:rPr>
        <w:t xml:space="preserve"> </w:t>
      </w:r>
      <w:r w:rsidR="00CA3446" w:rsidRPr="004026FB">
        <w:rPr>
          <w:color w:val="000000" w:themeColor="text1"/>
          <w:szCs w:val="20"/>
        </w:rPr>
        <w:fldChar w:fldCharType="begin"/>
      </w:r>
      <w:r w:rsidR="00CA3446" w:rsidRPr="004026FB">
        <w:rPr>
          <w:color w:val="000000" w:themeColor="text1"/>
          <w:szCs w:val="20"/>
        </w:rPr>
        <w:instrText xml:space="preserve"> REF _Ref17444267 \h  \* MERGEFORMAT </w:instrText>
      </w:r>
      <w:r w:rsidR="00CA3446" w:rsidRPr="004026FB">
        <w:rPr>
          <w:color w:val="000000" w:themeColor="text1"/>
          <w:szCs w:val="20"/>
        </w:rPr>
      </w:r>
      <w:r w:rsidR="00CA3446" w:rsidRPr="004026FB">
        <w:rPr>
          <w:color w:val="000000" w:themeColor="text1"/>
          <w:szCs w:val="20"/>
        </w:rPr>
        <w:fldChar w:fldCharType="separate"/>
      </w:r>
      <w:r w:rsidR="007530D3" w:rsidRPr="007530D3">
        <w:rPr>
          <w:rStyle w:val="CharacterStyle-BrightColour"/>
          <w:bCs/>
          <w:color w:val="000000" w:themeColor="text1"/>
          <w:szCs w:val="20"/>
        </w:rPr>
        <w:t>Figure 8</w:t>
      </w:r>
      <w:r w:rsidR="007530D3" w:rsidRPr="007530D3">
        <w:rPr>
          <w:rStyle w:val="CharacterStyle-BrightColour"/>
          <w:bCs/>
          <w:color w:val="000000" w:themeColor="text1"/>
          <w:szCs w:val="20"/>
        </w:rPr>
        <w:noBreakHyphen/>
        <w:t>10</w:t>
      </w:r>
      <w:r w:rsidR="00CA3446" w:rsidRPr="004026FB">
        <w:rPr>
          <w:color w:val="000000" w:themeColor="text1"/>
          <w:szCs w:val="20"/>
        </w:rPr>
        <w:fldChar w:fldCharType="end"/>
      </w:r>
      <w:r w:rsidRPr="004026FB">
        <w:rPr>
          <w:szCs w:val="20"/>
        </w:rPr>
        <w:t>).</w:t>
      </w:r>
    </w:p>
    <w:p w14:paraId="0187DFC6" w14:textId="29C0F9B9" w:rsidR="00016936" w:rsidRPr="004026FB" w:rsidRDefault="00016936" w:rsidP="00016936">
      <w:pPr>
        <w:pStyle w:val="BodyText"/>
      </w:pPr>
      <w:r w:rsidRPr="004026FB">
        <w:t xml:space="preserve">See Section </w:t>
      </w:r>
      <w:r w:rsidRPr="004026FB">
        <w:fldChar w:fldCharType="begin"/>
      </w:r>
      <w:r w:rsidRPr="004026FB">
        <w:instrText xml:space="preserve"> REF _Ref1084315 \r \h  \* MERGEFORMAT </w:instrText>
      </w:r>
      <w:r w:rsidRPr="004026FB">
        <w:fldChar w:fldCharType="separate"/>
      </w:r>
      <w:r w:rsidR="007530D3">
        <w:t>8.5.1</w:t>
      </w:r>
      <w:r w:rsidRPr="004026FB">
        <w:fldChar w:fldCharType="end"/>
      </w:r>
      <w:r w:rsidRPr="004026FB">
        <w:t xml:space="preserve"> below for further discussion about the potential adverse effects on </w:t>
      </w:r>
      <w:r w:rsidR="004C5A88" w:rsidRPr="004026FB">
        <w:t>Bolin Bolin</w:t>
      </w:r>
      <w:r w:rsidRPr="004026FB">
        <w:t xml:space="preserve"> Billabong. </w:t>
      </w:r>
    </w:p>
    <w:p w14:paraId="54A066D3" w14:textId="77777777" w:rsidR="00016936" w:rsidRPr="004026FB" w:rsidRDefault="00016936" w:rsidP="00016936">
      <w:pPr>
        <w:pStyle w:val="Heading5"/>
        <w:rPr>
          <w:i/>
        </w:rPr>
      </w:pPr>
      <w:r w:rsidRPr="004026FB">
        <w:rPr>
          <w:i/>
        </w:rPr>
        <w:t xml:space="preserve">Koonung Creek </w:t>
      </w:r>
    </w:p>
    <w:p w14:paraId="289599D3" w14:textId="79FD878E" w:rsidR="00016936" w:rsidRPr="004026FB" w:rsidRDefault="00016936" w:rsidP="00016936">
      <w:pPr>
        <w:pStyle w:val="BodyText"/>
      </w:pPr>
      <w:r w:rsidRPr="004026FB">
        <w:t xml:space="preserve">Koonung Creek is a heavily modified creek which runs generally parallel to the Eastern Freeway from Springvale Road to its outfall into the Yarra River. The creek was realigned or placed within concrete channels in some places as part of the Eastern Freeway’s construction. The creek flows through a thin sequence of Quaternary age alluvial sediments, which are laterally restricted to the present day course of the creek. Palaeozoic bedrock underlies these sediments, but also outcrops on the margins of the floodplains. In some areas, flow is directly upon a Palaeozoic bedrock streambed. </w:t>
      </w:r>
    </w:p>
    <w:p w14:paraId="0E3B0B8C" w14:textId="77777777" w:rsidR="00016936" w:rsidRPr="004026FB" w:rsidRDefault="00016936" w:rsidP="00016936">
      <w:pPr>
        <w:pStyle w:val="BodyText"/>
      </w:pPr>
      <w:r w:rsidRPr="004026FB">
        <w:t xml:space="preserve">The location of Koonung Creek is removed from any dewatering activities associated with large structures proposed for North East Link. Some diversion or minor coffer dam works may be required for construction but these are expected to be of short duration and any changes to the groundwater environment are considered to be of low impact to the creek’s overall volume. </w:t>
      </w:r>
    </w:p>
    <w:p w14:paraId="0A36AFD0" w14:textId="77777777" w:rsidR="00016936" w:rsidRPr="004026FB" w:rsidRDefault="00016936" w:rsidP="00016936">
      <w:pPr>
        <w:pStyle w:val="Heading5"/>
        <w:rPr>
          <w:i/>
        </w:rPr>
      </w:pPr>
      <w:r w:rsidRPr="004026FB">
        <w:rPr>
          <w:i/>
        </w:rPr>
        <w:t xml:space="preserve">Mitigation </w:t>
      </w:r>
    </w:p>
    <w:p w14:paraId="6F0369A5" w14:textId="04CE735B" w:rsidR="00016936" w:rsidRPr="004026FB" w:rsidRDefault="00016936" w:rsidP="00016936">
      <w:pPr>
        <w:pStyle w:val="BodyText"/>
      </w:pPr>
      <w:r w:rsidRPr="004026FB">
        <w:t xml:space="preserve">The primary mitigations for drawdown (the cause of the impacts discussed above) are discussed in the previous Section </w:t>
      </w:r>
      <w:r w:rsidRPr="004026FB">
        <w:fldChar w:fldCharType="begin"/>
      </w:r>
      <w:r w:rsidRPr="004026FB">
        <w:instrText xml:space="preserve"> REF _Ref534025700 \r \h  \* MERGEFORMAT </w:instrText>
      </w:r>
      <w:r w:rsidRPr="004026FB">
        <w:fldChar w:fldCharType="separate"/>
      </w:r>
      <w:r w:rsidR="007530D3">
        <w:t>8.3.2</w:t>
      </w:r>
      <w:r w:rsidRPr="004026FB">
        <w:fldChar w:fldCharType="end"/>
      </w:r>
      <w:r w:rsidRPr="004026FB">
        <w:t xml:space="preserve">. However, the </w:t>
      </w:r>
      <w:r w:rsidR="00CA3446" w:rsidRPr="004026FB">
        <w:t xml:space="preserve">initial </w:t>
      </w:r>
      <w:r w:rsidRPr="004026FB">
        <w:t xml:space="preserve">predictive numerical groundwater modelling has identified that operation drawdown resulting from the tanked structure is an impediment to regional flow and a cause of potential drawdowns at </w:t>
      </w:r>
      <w:r w:rsidR="004C5A88" w:rsidRPr="004026FB">
        <w:t>Bolin Bolin</w:t>
      </w:r>
      <w:r w:rsidRPr="004026FB">
        <w:t xml:space="preserve"> Billabong</w:t>
      </w:r>
      <w:r w:rsidR="00CA3446" w:rsidRPr="004026FB">
        <w:t xml:space="preserve"> (also predicted in the further modelling)</w:t>
      </w:r>
      <w:r w:rsidRPr="004026FB">
        <w:t>. Mitigation of this drawdown to the billabong may include monitoring of the water levels during construction, and periodical topping up with water. Melbourne Water are actively</w:t>
      </w:r>
      <w:r w:rsidR="0000415F" w:rsidRPr="004026FB">
        <w:t xml:space="preserve"> investigating watering improvements and</w:t>
      </w:r>
      <w:r w:rsidRPr="004026FB">
        <w:t xml:space="preserve"> managing the hydrological regime of the billabong.</w:t>
      </w:r>
    </w:p>
    <w:p w14:paraId="70F8C9C9" w14:textId="77777777" w:rsidR="00016936" w:rsidRPr="004026FB" w:rsidRDefault="00016936" w:rsidP="00016936">
      <w:pPr>
        <w:pStyle w:val="Heading4"/>
      </w:pPr>
      <w:r w:rsidRPr="004026FB">
        <w:t xml:space="preserve">Residual impacts </w:t>
      </w:r>
    </w:p>
    <w:p w14:paraId="13622520" w14:textId="77777777" w:rsidR="00016936" w:rsidRPr="004026FB" w:rsidRDefault="00016936" w:rsidP="00016936">
      <w:pPr>
        <w:pStyle w:val="BodyText"/>
      </w:pPr>
      <w:r w:rsidRPr="004026FB">
        <w:t xml:space="preserve">Overall, residual impacts to streamflows are expected to be negligible. </w:t>
      </w:r>
    </w:p>
    <w:p w14:paraId="3736EEE7" w14:textId="77777777" w:rsidR="00016936" w:rsidRPr="004026FB" w:rsidRDefault="00016936" w:rsidP="00016936">
      <w:pPr>
        <w:pStyle w:val="Heading3"/>
      </w:pPr>
      <w:bookmarkStart w:id="90" w:name="_Ref534025712"/>
      <w:bookmarkStart w:id="91" w:name="_Toc3641374"/>
      <w:bookmarkStart w:id="92" w:name="_Toc19489076"/>
      <w:r w:rsidRPr="004026FB">
        <w:lastRenderedPageBreak/>
        <w:t>Impacts on groundwater dependent ecosystems</w:t>
      </w:r>
      <w:bookmarkEnd w:id="90"/>
      <w:bookmarkEnd w:id="91"/>
      <w:bookmarkEnd w:id="92"/>
    </w:p>
    <w:p w14:paraId="5177E930" w14:textId="5AC65ED2" w:rsidR="00016936" w:rsidRPr="004026FB" w:rsidRDefault="00016936" w:rsidP="00237873">
      <w:pPr>
        <w:pStyle w:val="BodyText"/>
        <w:keepNext/>
      </w:pPr>
      <w:r w:rsidRPr="004026FB">
        <w:t xml:space="preserve">In accordance with item (h) in Section 2.5.2.1 of the PER Guidelines, this subsection provides an assessment of the effects of groundwater extraction on GDEs (described in Section </w:t>
      </w:r>
      <w:r w:rsidR="00FE5EAB">
        <w:fldChar w:fldCharType="begin"/>
      </w:r>
      <w:r w:rsidR="00FE5EAB">
        <w:instrText xml:space="preserve"> REF _Ref534202036 \n  \* MERGEFORMAT </w:instrText>
      </w:r>
      <w:r w:rsidR="00FE5EAB">
        <w:fldChar w:fldCharType="separate"/>
      </w:r>
      <w:r w:rsidR="007530D3">
        <w:t>8.2</w:t>
      </w:r>
      <w:r w:rsidR="00FE5EAB">
        <w:fldChar w:fldCharType="end"/>
      </w:r>
      <w:r w:rsidRPr="004026FB">
        <w:t xml:space="preserve"> above). </w:t>
      </w:r>
    </w:p>
    <w:p w14:paraId="0039A50B" w14:textId="0987E229" w:rsidR="00016936" w:rsidRPr="004026FB" w:rsidRDefault="00016936" w:rsidP="00016936">
      <w:pPr>
        <w:pStyle w:val="BodyText"/>
      </w:pPr>
      <w:r w:rsidRPr="004026FB">
        <w:t xml:space="preserve">To assess levels of groundwater dependency, and therefore potential groundwater impacts to GDEs, a specific model was developed. This model included information on current groundwater depth, known GDEs and native vegetation (including large trees), known rooting depth of native trees, and modelled groundwater drawdown for both construction and operation. Specifically, trees were assessed for their height, which then helped determine their root lengths, which was then used to determine if drawdown of groundwater would adversely affect their health. Further information on GDEs and how they were assessed for impacts is provided in PER Technical Appendix </w:t>
      </w:r>
      <w:proofErr w:type="gramStart"/>
      <w:r w:rsidRPr="004026FB">
        <w:t>A</w:t>
      </w:r>
      <w:proofErr w:type="gramEnd"/>
      <w:r w:rsidRPr="004026FB">
        <w:t xml:space="preserve"> – Flora and fauna technical report.</w:t>
      </w:r>
      <w:r w:rsidR="00B70DD1" w:rsidRPr="004026FB">
        <w:t xml:space="preserve"> Groundwater salinity was not factored into assessment.</w:t>
      </w:r>
    </w:p>
    <w:p w14:paraId="1AD3E297" w14:textId="3CFBF47C" w:rsidR="00C859B4" w:rsidRPr="004026FB" w:rsidRDefault="00CA3446" w:rsidP="00C859B4">
      <w:pPr>
        <w:pStyle w:val="BodyText"/>
      </w:pPr>
      <w:r w:rsidRPr="004026FB">
        <w:t>As noted previously, f</w:t>
      </w:r>
      <w:r w:rsidR="00C859B4" w:rsidRPr="004026FB">
        <w:t xml:space="preserve">urther numerical groundwater modelling has also been undertaken for the project following the </w:t>
      </w:r>
      <w:r w:rsidRPr="004026FB">
        <w:t xml:space="preserve">exhibition </w:t>
      </w:r>
      <w:r w:rsidR="00C859B4" w:rsidRPr="004026FB">
        <w:t xml:space="preserve">of the draft PER. The purpose of further modelling was to incorporate additional </w:t>
      </w:r>
      <w:r w:rsidR="00B70DD1" w:rsidRPr="004026FB">
        <w:t xml:space="preserve">geological and </w:t>
      </w:r>
      <w:r w:rsidR="00C859B4" w:rsidRPr="004026FB">
        <w:t xml:space="preserve">groundwater data collected over a period of approximately 12 months to enable transient calibration to seasonal variations in groundwater levels and to assess whether or not the additional calibration efforts result in changes to the assessment of project-induced groundwater impacts. </w:t>
      </w:r>
    </w:p>
    <w:p w14:paraId="52EAF58C" w14:textId="4998D15A" w:rsidR="00C859B4" w:rsidRPr="004026FB" w:rsidRDefault="00C859B4" w:rsidP="00C859B4">
      <w:pPr>
        <w:pStyle w:val="BodyText"/>
      </w:pPr>
      <w:r w:rsidRPr="004026FB">
        <w:t>Impacts to GDEs have been reassessed based on the further groundwater modelling. The impacts to GDEs from both the initial and further groundwater modelling are presented in the discussion below.</w:t>
      </w:r>
    </w:p>
    <w:p w14:paraId="3E7D38DD" w14:textId="77777777" w:rsidR="00016936" w:rsidRPr="004026FB" w:rsidRDefault="00016936" w:rsidP="00016936">
      <w:pPr>
        <w:pStyle w:val="Heading4"/>
      </w:pPr>
      <w:r w:rsidRPr="004026FB">
        <w:t xml:space="preserve">Impacts and mitigation </w:t>
      </w:r>
    </w:p>
    <w:p w14:paraId="64FB5405" w14:textId="77777777" w:rsidR="00016936" w:rsidRPr="004026FB" w:rsidRDefault="00016936" w:rsidP="00016936">
      <w:pPr>
        <w:pStyle w:val="Heading5"/>
        <w:rPr>
          <w:i/>
        </w:rPr>
      </w:pPr>
      <w:r w:rsidRPr="004026FB">
        <w:rPr>
          <w:i/>
        </w:rPr>
        <w:t>Banyule Creek and surrounds (Simpson Barracks) – subsurface GDE</w:t>
      </w:r>
    </w:p>
    <w:p w14:paraId="18D334F6" w14:textId="2CFCBD89" w:rsidR="00016936" w:rsidRPr="004026FB" w:rsidRDefault="00C4122F" w:rsidP="00016936">
      <w:pPr>
        <w:pStyle w:val="BodyText"/>
      </w:pPr>
      <w:r w:rsidRPr="004026FB">
        <w:t xml:space="preserve">Based on the </w:t>
      </w:r>
      <w:r w:rsidR="00CA3446" w:rsidRPr="004026FB">
        <w:t xml:space="preserve">initial </w:t>
      </w:r>
      <w:r w:rsidRPr="004026FB">
        <w:t>modell</w:t>
      </w:r>
      <w:r w:rsidR="00CA3446" w:rsidRPr="004026FB">
        <w:t>ing,</w:t>
      </w:r>
      <w:r w:rsidRPr="004026FB">
        <w:t xml:space="preserve"> </w:t>
      </w:r>
      <w:r w:rsidR="00016936" w:rsidRPr="004026FB">
        <w:t xml:space="preserve">drawdown for this area is estimated to be in the order of 0.5 metres (short-term) to three metres (long-term). </w:t>
      </w:r>
      <w:r w:rsidR="00840AE2" w:rsidRPr="004026FB">
        <w:t xml:space="preserve">For the further modelling, the drawdown across the GDE at Simpson Barracks </w:t>
      </w:r>
      <w:r w:rsidR="00FE4C36" w:rsidRPr="004026FB">
        <w:t xml:space="preserve">is in the range of </w:t>
      </w:r>
      <w:r w:rsidR="00840AE2" w:rsidRPr="004026FB">
        <w:t xml:space="preserve">approximately 0.1 to </w:t>
      </w:r>
      <w:r w:rsidR="00FE4C36" w:rsidRPr="004026FB">
        <w:t>three</w:t>
      </w:r>
      <w:r w:rsidR="00840AE2" w:rsidRPr="004026FB">
        <w:t xml:space="preserve"> metres in the short-term, but for the long-term, this drawdown decreases to </w:t>
      </w:r>
      <w:r w:rsidR="00FE4C36" w:rsidRPr="004026FB">
        <w:t xml:space="preserve">approximately </w:t>
      </w:r>
      <w:r w:rsidR="00840AE2" w:rsidRPr="004026FB">
        <w:t xml:space="preserve">0.1 to </w:t>
      </w:r>
      <w:r w:rsidR="00FE4C36" w:rsidRPr="004026FB">
        <w:t>two</w:t>
      </w:r>
      <w:r w:rsidR="00840AE2" w:rsidRPr="004026FB">
        <w:t xml:space="preserve"> metre</w:t>
      </w:r>
      <w:r w:rsidR="00FE4C36" w:rsidRPr="004026FB">
        <w:t>s across a much smaller extent</w:t>
      </w:r>
      <w:r w:rsidR="00840AE2" w:rsidRPr="004026FB">
        <w:t xml:space="preserve">. </w:t>
      </w:r>
    </w:p>
    <w:p w14:paraId="79A37F7B" w14:textId="77777777" w:rsidR="00016936" w:rsidRPr="004026FB" w:rsidRDefault="00016936" w:rsidP="00016936">
      <w:pPr>
        <w:pStyle w:val="BodyText"/>
      </w:pPr>
      <w:r w:rsidRPr="004026FB">
        <w:t>As the depth to groundwater on the upper slopes of Simpson Barracks is greater than 20 metres, it is assumed that vegetation in this area does not access subsurface groundwater. Trees in this zone would therefore be unlikely to be harmed by any potential groundwater drawdown.</w:t>
      </w:r>
    </w:p>
    <w:p w14:paraId="105E81C8" w14:textId="76FFFFD1" w:rsidR="00016936" w:rsidRPr="004026FB" w:rsidRDefault="00016936" w:rsidP="00016936">
      <w:pPr>
        <w:pStyle w:val="BodyText"/>
      </w:pPr>
      <w:r w:rsidRPr="004026FB">
        <w:t>Vegetation on the lower slopes of Simpson Barracks are expected to access groundwater for at least part of the year (during summer) or during drought conditions. Groundwater drawdown in these areas is unlikely to negatively affect tree health or cause premature tree death, as the 0.</w:t>
      </w:r>
      <w:r w:rsidR="00FE4C36" w:rsidRPr="004026FB">
        <w:t>1</w:t>
      </w:r>
      <w:r w:rsidRPr="004026FB">
        <w:t xml:space="preserve"> to three metres modelled drawdown </w:t>
      </w:r>
      <w:r w:rsidR="00FE4C36" w:rsidRPr="004026FB">
        <w:t xml:space="preserve">(for both models) </w:t>
      </w:r>
      <w:r w:rsidRPr="004026FB">
        <w:t>would be unlikely to decrease the water table to a level below which River Red Gum and Studley Park Gum roots could access (based on their surveyed height). Consequently, the tree health impacts in this zone are anticipated to be negligible.</w:t>
      </w:r>
    </w:p>
    <w:p w14:paraId="4218B807" w14:textId="77777777" w:rsidR="003E6522" w:rsidRPr="004026FB" w:rsidRDefault="00016936" w:rsidP="00016936">
      <w:pPr>
        <w:pStyle w:val="BodyText"/>
      </w:pPr>
      <w:r w:rsidRPr="004026FB">
        <w:lastRenderedPageBreak/>
        <w:t xml:space="preserve">Vegetation on the lower to mid slopes with a groundwater depth zone of 10 to 20 metres has a moderate to high likelihood of being harmed by groundwater drawdown. </w:t>
      </w:r>
    </w:p>
    <w:p w14:paraId="168E4D66" w14:textId="2D520EE3" w:rsidR="003E6522" w:rsidRPr="004026FB" w:rsidRDefault="003E6522" w:rsidP="003E6522">
      <w:pPr>
        <w:pStyle w:val="BodyText"/>
      </w:pPr>
      <w:r w:rsidRPr="004026FB">
        <w:t xml:space="preserve">Using the </w:t>
      </w:r>
      <w:r w:rsidR="004F283A" w:rsidRPr="004026FB">
        <w:t>initial</w:t>
      </w:r>
      <w:r w:rsidRPr="004026FB">
        <w:t xml:space="preserve"> groundwater model</w:t>
      </w:r>
      <w:r w:rsidR="004F283A" w:rsidRPr="004026FB">
        <w:t>ling</w:t>
      </w:r>
      <w:r w:rsidRPr="004026FB">
        <w:t>, it was found that</w:t>
      </w:r>
      <w:r w:rsidR="002D22A6" w:rsidRPr="004026FB">
        <w:t xml:space="preserve">, in the long-term, </w:t>
      </w:r>
      <w:r w:rsidRPr="004026FB">
        <w:t xml:space="preserve">approximately </w:t>
      </w:r>
      <w:r w:rsidR="00FE4C36" w:rsidRPr="004026FB">
        <w:t>19</w:t>
      </w:r>
      <w:r w:rsidRPr="004026FB">
        <w:t xml:space="preserve"> large trees were assessed as having a moderate to high likelihood of suffering a decline in health and/or premature death. A further </w:t>
      </w:r>
      <w:r w:rsidR="00FE4C36" w:rsidRPr="004026FB">
        <w:t>13</w:t>
      </w:r>
      <w:r w:rsidRPr="004026FB">
        <w:t xml:space="preserve"> large trees would likely be impacted outside Simpson Barracks by drawdown associated with construction of the northern tunnel portal. </w:t>
      </w:r>
    </w:p>
    <w:p w14:paraId="3DA9FF26" w14:textId="3CFBE3FC" w:rsidR="003E6522" w:rsidRPr="004026FB" w:rsidRDefault="003E6522" w:rsidP="003E6522">
      <w:pPr>
        <w:pStyle w:val="BodyText"/>
      </w:pPr>
      <w:r w:rsidRPr="004026FB">
        <w:t xml:space="preserve">With the </w:t>
      </w:r>
      <w:r w:rsidR="004F283A" w:rsidRPr="004026FB">
        <w:t>further modelling undertaken</w:t>
      </w:r>
      <w:r w:rsidRPr="004026FB">
        <w:t xml:space="preserve">, the revised potential impacts to large trees and this GDE </w:t>
      </w:r>
      <w:r w:rsidR="00492B8B" w:rsidRPr="004026FB">
        <w:t>in</w:t>
      </w:r>
      <w:r w:rsidR="002D22A6" w:rsidRPr="004026FB">
        <w:t xml:space="preserve"> the long-term </w:t>
      </w:r>
      <w:r w:rsidRPr="004026FB">
        <w:t xml:space="preserve">was reassessed. </w:t>
      </w:r>
      <w:r w:rsidR="003851FB" w:rsidRPr="004026FB">
        <w:t>The further modelling</w:t>
      </w:r>
      <w:r w:rsidRPr="004026FB">
        <w:t xml:space="preserve"> showed approximately </w:t>
      </w:r>
      <w:r w:rsidR="00FE4C36" w:rsidRPr="004026FB">
        <w:t>eight</w:t>
      </w:r>
      <w:r w:rsidRPr="004026FB">
        <w:t xml:space="preserve"> large trees within Simpson Barracks being assessed as having a moderate to high likelihood of being negatively impacted by groundwat</w:t>
      </w:r>
      <w:r w:rsidR="003F7727" w:rsidRPr="004026FB">
        <w:t>er drawdown during construction</w:t>
      </w:r>
      <w:r w:rsidRPr="004026FB">
        <w:t xml:space="preserve">. A further </w:t>
      </w:r>
      <w:r w:rsidR="002D22A6" w:rsidRPr="004026FB">
        <w:t xml:space="preserve">three </w:t>
      </w:r>
      <w:r w:rsidRPr="004026FB">
        <w:t xml:space="preserve">large trees would likely be impacted outside Simpson Barracks by drawdown associated with construction of the northern tunnel portal. </w:t>
      </w:r>
    </w:p>
    <w:p w14:paraId="2C03C09D" w14:textId="28611C0F" w:rsidR="00016936" w:rsidRPr="004026FB" w:rsidRDefault="002D22A6" w:rsidP="00016936">
      <w:pPr>
        <w:pStyle w:val="BodyText"/>
        <w:rPr>
          <w:highlight w:val="yellow"/>
        </w:rPr>
      </w:pPr>
      <w:r w:rsidRPr="004026FB">
        <w:t xml:space="preserve">Areas outside this groundwater depth zone would unlikely be negatively impacted by groundwater changes. </w:t>
      </w:r>
      <w:r w:rsidR="00016936" w:rsidRPr="004026FB">
        <w:t>Given the aquatic ecosystems in and around Simpson Barracks are not groundwater dependent, the impacts of groundwater modification are not expected to affect aquatic ecosystems in this area.</w:t>
      </w:r>
    </w:p>
    <w:p w14:paraId="0D0EABAB" w14:textId="77777777" w:rsidR="003851FB" w:rsidRPr="004026FB" w:rsidRDefault="00016936" w:rsidP="003851FB">
      <w:pPr>
        <w:pStyle w:val="BodyText"/>
      </w:pPr>
      <w:r w:rsidRPr="004026FB">
        <w:t xml:space="preserve">Mitigation measures </w:t>
      </w:r>
      <w:r w:rsidR="00840AE2" w:rsidRPr="004026FB">
        <w:t xml:space="preserve">potentially </w:t>
      </w:r>
      <w:r w:rsidRPr="004026FB">
        <w:t xml:space="preserve">include watering of the vegetation through the periods of greatest water stress, particularly in the short-term during construction. As watering is not a feasible or realistic long-term mitigation option, these trees would be regarded as a loss, and offsets would be sought for those large trees with a moderate to high likelihood of suffering premature mortality. </w:t>
      </w:r>
    </w:p>
    <w:p w14:paraId="6F06DDAF" w14:textId="651FB925" w:rsidR="00016936" w:rsidRPr="004026FB" w:rsidRDefault="00016936" w:rsidP="003851FB">
      <w:pPr>
        <w:pStyle w:val="Heading5"/>
      </w:pPr>
      <w:r w:rsidRPr="004026FB">
        <w:t>Banyule Flats – surface/subsurface GDE</w:t>
      </w:r>
    </w:p>
    <w:p w14:paraId="75738745" w14:textId="2038A7E5" w:rsidR="00016936" w:rsidRPr="004026FB" w:rsidRDefault="00016936" w:rsidP="00016936">
      <w:pPr>
        <w:pStyle w:val="BodyText"/>
      </w:pPr>
      <w:r w:rsidRPr="004026FB">
        <w:t>Short-term and long-term groundwater drawdown due to the construction of North East Link is modelled to be less than 0.1 metres throughout the main tunnelled section which includes ecological</w:t>
      </w:r>
      <w:r w:rsidR="00237873" w:rsidRPr="004026FB">
        <w:t> </w:t>
      </w:r>
      <w:r w:rsidRPr="004026FB">
        <w:t>values such as the Banyule Flats. The potential for harm to this GDE is considered negligible in this area.</w:t>
      </w:r>
    </w:p>
    <w:p w14:paraId="6C195647" w14:textId="779371A5" w:rsidR="00016936" w:rsidRPr="004026FB" w:rsidRDefault="00016936" w:rsidP="00016936">
      <w:pPr>
        <w:pStyle w:val="Heading5"/>
        <w:rPr>
          <w:i/>
        </w:rPr>
      </w:pPr>
      <w:r w:rsidRPr="004026FB">
        <w:rPr>
          <w:i/>
        </w:rPr>
        <w:t xml:space="preserve">Yarra Flats – surface/subsurface GDE (including Yarra floodplain, ephemeral Yarra billabongs, and </w:t>
      </w:r>
      <w:r w:rsidR="004C5A88" w:rsidRPr="004026FB">
        <w:rPr>
          <w:i/>
        </w:rPr>
        <w:t>Bolin Bolin</w:t>
      </w:r>
      <w:r w:rsidRPr="004026FB">
        <w:rPr>
          <w:i/>
        </w:rPr>
        <w:t xml:space="preserve"> Billabong)</w:t>
      </w:r>
    </w:p>
    <w:p w14:paraId="486F9726" w14:textId="3DDD74AD" w:rsidR="00CE051B" w:rsidRPr="004026FB" w:rsidRDefault="00CE051B" w:rsidP="00016936">
      <w:pPr>
        <w:pStyle w:val="BodyText"/>
      </w:pPr>
      <w:r w:rsidRPr="004026FB">
        <w:t>The initial m</w:t>
      </w:r>
      <w:r w:rsidR="00016936" w:rsidRPr="004026FB">
        <w:t xml:space="preserve">odelled drawdown for the Yarra floodplain and other billabongs is expected to be between 0.1 metre (short-term) and one metre (long-term). </w:t>
      </w:r>
      <w:r w:rsidRPr="004026FB">
        <w:t xml:space="preserve">The drawdown extent </w:t>
      </w:r>
      <w:r w:rsidR="00DF3777" w:rsidRPr="004026FB">
        <w:t xml:space="preserve">is predicted to </w:t>
      </w:r>
      <w:r w:rsidRPr="004026FB">
        <w:t>decrease</w:t>
      </w:r>
      <w:r w:rsidR="00DF3777" w:rsidRPr="004026FB">
        <w:t xml:space="preserve"> based on </w:t>
      </w:r>
      <w:r w:rsidRPr="004026FB">
        <w:t xml:space="preserve">the </w:t>
      </w:r>
      <w:r w:rsidR="008E506E" w:rsidRPr="004026FB">
        <w:t xml:space="preserve">further modelling, covering less of the Yarra Flats, </w:t>
      </w:r>
      <w:r w:rsidR="00135C7F" w:rsidRPr="004026FB">
        <w:t>while the predicted drawdown would remain between 0.1 and one metre</w:t>
      </w:r>
      <w:r w:rsidR="008E506E" w:rsidRPr="004026FB">
        <w:t>.</w:t>
      </w:r>
      <w:r w:rsidR="003A7BBB">
        <w:t xml:space="preserve"> </w:t>
      </w:r>
    </w:p>
    <w:p w14:paraId="230FD782" w14:textId="5B5900FC" w:rsidR="00016936" w:rsidRPr="004026FB" w:rsidRDefault="00016936" w:rsidP="00016936">
      <w:pPr>
        <w:pStyle w:val="BodyText"/>
      </w:pPr>
      <w:r w:rsidRPr="004026FB">
        <w:t xml:space="preserve">For </w:t>
      </w:r>
      <w:r w:rsidR="004C5A88" w:rsidRPr="004026FB">
        <w:t>Bolin Bolin</w:t>
      </w:r>
      <w:r w:rsidRPr="004026FB">
        <w:t xml:space="preserve"> Billabong, the projected drawdown is </w:t>
      </w:r>
      <w:r w:rsidR="00DF3777" w:rsidRPr="004026FB">
        <w:t xml:space="preserve">between </w:t>
      </w:r>
      <w:r w:rsidRPr="004026FB">
        <w:t>0.1 metre and 0.5 metres</w:t>
      </w:r>
      <w:r w:rsidR="00DF3777" w:rsidRPr="004026FB">
        <w:t>.</w:t>
      </w:r>
    </w:p>
    <w:p w14:paraId="31CB577E" w14:textId="77777777" w:rsidR="00016936" w:rsidRPr="004026FB" w:rsidRDefault="00016936" w:rsidP="00016936">
      <w:pPr>
        <w:pStyle w:val="BodyText"/>
      </w:pPr>
      <w:r w:rsidRPr="004026FB">
        <w:t xml:space="preserve">Modelled drawdown within the Yarra floodplain shows the water table would be unlikely to decrease to a level below that which River Red Gum roots could access, and so would unlikely affect their health or cause premature death. </w:t>
      </w:r>
    </w:p>
    <w:p w14:paraId="60E83844" w14:textId="2E5BDA3F" w:rsidR="00016936" w:rsidRPr="004026FB" w:rsidRDefault="00016936" w:rsidP="00016936">
      <w:pPr>
        <w:pStyle w:val="BodyText"/>
      </w:pPr>
      <w:r w:rsidRPr="004026FB">
        <w:lastRenderedPageBreak/>
        <w:t>Drawdown in other billabong areas would unlikely affect the condition of the billabongs as they are ephemeral systems in a constant state of flux, depending on flooding of the Yarra River and seasonal</w:t>
      </w:r>
      <w:r w:rsidR="00237873" w:rsidRPr="004026FB">
        <w:t> </w:t>
      </w:r>
      <w:r w:rsidRPr="004026FB">
        <w:t>rainfall.</w:t>
      </w:r>
    </w:p>
    <w:p w14:paraId="47C36B15" w14:textId="7FAFBF9E" w:rsidR="00016936" w:rsidRPr="004026FB" w:rsidRDefault="00016936" w:rsidP="00016936">
      <w:pPr>
        <w:pStyle w:val="BodyText"/>
      </w:pPr>
      <w:r w:rsidRPr="004026FB">
        <w:t xml:space="preserve">Without mitigation controls, groundwater drawdown during the construction of North East Link is expected to cause some lowering of water levels in the deep pool of </w:t>
      </w:r>
      <w:r w:rsidR="004C5A88" w:rsidRPr="004026FB">
        <w:t>Bolin Bolin</w:t>
      </w:r>
      <w:r w:rsidRPr="004026FB">
        <w:t xml:space="preserve"> Billabong. This</w:t>
      </w:r>
      <w:r w:rsidR="00237873" w:rsidRPr="004026FB">
        <w:t> </w:t>
      </w:r>
      <w:r w:rsidRPr="004026FB">
        <w:t>aquatic habitat is highly changeable, and largely influenced by hydrological cycles of flood and drier spells. There is no evidence the deep pool of the billabong provides refuge habitat for any threatened aquatic species. Therefore, the ecological significance of the lowered water levels is considered negligible. However, the billabong likely provides water for native terrestrial fauna. Managed water levels in this wetland may be required to maintain the ecological condition of the billabong. Melbourne Water are currently actively</w:t>
      </w:r>
      <w:r w:rsidR="00135C7F" w:rsidRPr="004026FB">
        <w:t xml:space="preserve"> investigating watering improvements and</w:t>
      </w:r>
      <w:r w:rsidRPr="004026FB">
        <w:t xml:space="preserve"> managing the hydrological regime of the billabong.</w:t>
      </w:r>
    </w:p>
    <w:p w14:paraId="2EEFF16D" w14:textId="77777777" w:rsidR="00016936" w:rsidRPr="004026FB" w:rsidRDefault="00016936" w:rsidP="00016936">
      <w:pPr>
        <w:pStyle w:val="Heading4"/>
      </w:pPr>
      <w:r w:rsidRPr="004026FB">
        <w:t xml:space="preserve">Residual impacts </w:t>
      </w:r>
    </w:p>
    <w:p w14:paraId="460DB28C" w14:textId="77777777" w:rsidR="00016936" w:rsidRPr="004026FB" w:rsidRDefault="00016936" w:rsidP="00016936">
      <w:pPr>
        <w:pStyle w:val="BodyText"/>
      </w:pPr>
      <w:r w:rsidRPr="004026FB">
        <w:t xml:space="preserve">With the implementation of mitigation measures, the overall residual impact would be moderate at Banyule Creek and negligible at Banyule Flats and Yarra Flats. </w:t>
      </w:r>
    </w:p>
    <w:p w14:paraId="1687776F" w14:textId="77777777" w:rsidR="00016936" w:rsidRPr="004026FB" w:rsidRDefault="00016936" w:rsidP="00016936">
      <w:pPr>
        <w:pStyle w:val="BodyText"/>
      </w:pPr>
      <w:r w:rsidRPr="004026FB">
        <w:t xml:space="preserve">For more discussion on the ecological impacts on GDEs, refer to PER Technical Appendix </w:t>
      </w:r>
      <w:proofErr w:type="gramStart"/>
      <w:r w:rsidRPr="004026FB">
        <w:t>A</w:t>
      </w:r>
      <w:proofErr w:type="gramEnd"/>
      <w:r w:rsidRPr="004026FB">
        <w:t xml:space="preserve"> – Flora and fauna technical report. </w:t>
      </w:r>
    </w:p>
    <w:p w14:paraId="65FD973E" w14:textId="77777777" w:rsidR="00016936" w:rsidRPr="004026FB" w:rsidRDefault="00016936" w:rsidP="00016936">
      <w:pPr>
        <w:pStyle w:val="Heading3"/>
      </w:pPr>
      <w:bookmarkStart w:id="93" w:name="_Toc3641375"/>
      <w:bookmarkStart w:id="94" w:name="_Toc19489077"/>
      <w:r w:rsidRPr="004026FB">
        <w:t>Impacts on groundwater users</w:t>
      </w:r>
      <w:bookmarkEnd w:id="93"/>
      <w:bookmarkEnd w:id="94"/>
    </w:p>
    <w:p w14:paraId="4CA00F06" w14:textId="69665CB1" w:rsidR="00016936" w:rsidRPr="004026FB" w:rsidRDefault="00016936" w:rsidP="00016936">
      <w:pPr>
        <w:pStyle w:val="BodyText"/>
      </w:pPr>
      <w:r w:rsidRPr="004026FB">
        <w:t>In accordance with item (i) in Section 2.5.2.1 of the PER Guidelines, this subsection provides an</w:t>
      </w:r>
      <w:r w:rsidR="00237873" w:rsidRPr="004026FB">
        <w:t> </w:t>
      </w:r>
      <w:r w:rsidRPr="004026FB">
        <w:t xml:space="preserve">assessment of the impacts of North East Link on groundwater users, which are described in Section </w:t>
      </w:r>
      <w:r w:rsidR="00FE5EAB">
        <w:fldChar w:fldCharType="begin"/>
      </w:r>
      <w:r w:rsidR="00FE5EAB">
        <w:instrText xml:space="preserve"> REF _Ref535250410 \r  \* MERGEFORMAT </w:instrText>
      </w:r>
      <w:r w:rsidR="00FE5EAB">
        <w:fldChar w:fldCharType="separate"/>
      </w:r>
      <w:r w:rsidR="007530D3">
        <w:t>8.2.6</w:t>
      </w:r>
      <w:r w:rsidR="00FE5EAB">
        <w:fldChar w:fldCharType="end"/>
      </w:r>
      <w:r w:rsidRPr="004026FB">
        <w:t xml:space="preserve"> above.</w:t>
      </w:r>
    </w:p>
    <w:p w14:paraId="597F4032" w14:textId="4CC9DA9F" w:rsidR="00177AA5" w:rsidRPr="004026FB" w:rsidRDefault="00016936" w:rsidP="00016936">
      <w:pPr>
        <w:pStyle w:val="BodyText"/>
      </w:pPr>
      <w:r w:rsidRPr="004026FB">
        <w:t xml:space="preserve">As discussed in Section </w:t>
      </w:r>
      <w:r w:rsidR="00FE5EAB">
        <w:fldChar w:fldCharType="begin"/>
      </w:r>
      <w:r w:rsidR="00FE5EAB">
        <w:instrText xml:space="preserve"> REF _Ref535250410 \r  \* MERGEFORMAT </w:instrText>
      </w:r>
      <w:r w:rsidR="00FE5EAB">
        <w:fldChar w:fldCharType="separate"/>
      </w:r>
      <w:r w:rsidR="007530D3">
        <w:t>8.2.6</w:t>
      </w:r>
      <w:r w:rsidR="00FE5EAB">
        <w:fldChar w:fldCharType="end"/>
      </w:r>
      <w:r w:rsidRPr="004026FB">
        <w:t xml:space="preserve">, the majority of bores within one kilometre of the reference project are not for abstractive groundwater use, but for monitoring purposes. As alternative water supply options are available (such as reticulated supply) these bores would likely have a low sensitivity to impact. The likely drawdown on the two bores identified as existing within the drawdown area (at Simpson Barracks) is 0.5 to </w:t>
      </w:r>
      <w:r w:rsidR="00177AA5" w:rsidRPr="004026FB">
        <w:t>one</w:t>
      </w:r>
      <w:r w:rsidRPr="004026FB">
        <w:t xml:space="preserve"> metre</w:t>
      </w:r>
      <w:r w:rsidR="00177AA5" w:rsidRPr="004026FB">
        <w:t xml:space="preserve"> based on the initial model</w:t>
      </w:r>
      <w:r w:rsidRPr="004026FB">
        <w:t>.</w:t>
      </w:r>
      <w:r w:rsidR="00177AA5" w:rsidRPr="004026FB">
        <w:t xml:space="preserve"> Further modelling shows a drawdown at these bores of 0.1 to 0.5 metres</w:t>
      </w:r>
      <w:r w:rsidRPr="004026FB">
        <w:t xml:space="preserve"> </w:t>
      </w:r>
    </w:p>
    <w:p w14:paraId="75992CDB" w14:textId="4DA301DA" w:rsidR="004F283A" w:rsidRPr="004026FB" w:rsidRDefault="00016936" w:rsidP="004F283A">
      <w:pPr>
        <w:pStyle w:val="BodyText"/>
      </w:pPr>
      <w:r w:rsidRPr="004026FB">
        <w:t>As seasonal changes in groundwater level of 0.5 to one metre could be reasonably expected, and these bores are most likely only used for monitoring purposes, the potential impact is not expected to be large.</w:t>
      </w:r>
    </w:p>
    <w:p w14:paraId="7DDB290A" w14:textId="08437106" w:rsidR="00016936" w:rsidRPr="004026FB" w:rsidRDefault="00016936" w:rsidP="00016936">
      <w:pPr>
        <w:pStyle w:val="Heading3"/>
      </w:pPr>
      <w:bookmarkStart w:id="95" w:name="_Toc3641376"/>
      <w:bookmarkStart w:id="96" w:name="_Toc19489078"/>
      <w:r w:rsidRPr="004026FB">
        <w:lastRenderedPageBreak/>
        <w:t>Local and regional cumulative impacts</w:t>
      </w:r>
      <w:bookmarkEnd w:id="95"/>
      <w:bookmarkEnd w:id="96"/>
      <w:r w:rsidRPr="004026FB">
        <w:t xml:space="preserve"> </w:t>
      </w:r>
    </w:p>
    <w:p w14:paraId="5BC25ACB" w14:textId="77777777" w:rsidR="00016936" w:rsidRPr="004026FB" w:rsidRDefault="00016936" w:rsidP="00D8151A">
      <w:pPr>
        <w:pStyle w:val="BodyText"/>
        <w:keepNext/>
      </w:pPr>
      <w:r w:rsidRPr="004026FB">
        <w:t>In accordance with item (i) in Section 2.5.2.1 of the PER Guidelines, this subsection provides details of the cumulative impacts from the removal and lowering of groundwater.</w:t>
      </w:r>
    </w:p>
    <w:p w14:paraId="4A2208D1" w14:textId="77777777" w:rsidR="00016936" w:rsidRPr="004026FB" w:rsidRDefault="00016936" w:rsidP="00016936">
      <w:pPr>
        <w:pStyle w:val="BodyText"/>
      </w:pPr>
      <w:r w:rsidRPr="004026FB">
        <w:t>Local consideration of changes to groundwater levels takes into account that dewatering may be undertaken in multiple areas simultaneously during construction. In predicting drawdowns, the groundwater assessment has assumed that construction dewatering may occur simultaneously for different parts of North East Link’s construction, as this is considered to be a worst case or conservative scenario.</w:t>
      </w:r>
    </w:p>
    <w:p w14:paraId="16B9296C" w14:textId="77777777" w:rsidR="00016936" w:rsidRPr="004026FB" w:rsidRDefault="00016936" w:rsidP="00016936">
      <w:pPr>
        <w:pStyle w:val="BodyText"/>
      </w:pPr>
      <w:r w:rsidRPr="004026FB">
        <w:t>It is recognised that North East Link could be constructed in a variety of sequences, although ultimately the timing of construction of the north and south portals needs to consider the launch and retrieval of the TBM. There is a commercial driver to minimise construction timeframes and thus the dewatering durations and volumes.</w:t>
      </w:r>
    </w:p>
    <w:p w14:paraId="5876D280" w14:textId="77777777" w:rsidR="00016936" w:rsidRPr="004026FB" w:rsidRDefault="00016936" w:rsidP="00016936">
      <w:pPr>
        <w:pStyle w:val="BodyText"/>
      </w:pPr>
      <w:r w:rsidRPr="004026FB">
        <w:t>Assessment of regional-scale changes can be problematic because an understanding of other human-made stresses on the groundwater environment is required. It is understood that a number of infrastructure projects would potentially be underway at the same time as the construction of North East Link. These include railway level crossing removals, which may include below grade or rail or road under options, and the Metro Tunnel, which includes a significant length of tunnelling and underground cavern excavation.</w:t>
      </w:r>
    </w:p>
    <w:p w14:paraId="6176502A" w14:textId="77777777" w:rsidR="00016936" w:rsidRPr="004026FB" w:rsidRDefault="00016936" w:rsidP="00016936">
      <w:pPr>
        <w:pStyle w:val="BodyText"/>
      </w:pPr>
      <w:r w:rsidRPr="004026FB">
        <w:t>Predicted drawdowns are not interpreted to extend to the influence of the Metro Tunnel and so cumulative impacts to the groundwater environment from that project and North East Link are not expected.</w:t>
      </w:r>
    </w:p>
    <w:p w14:paraId="12EE4908" w14:textId="61AF504D" w:rsidR="00016936" w:rsidRPr="004026FB" w:rsidRDefault="00016936" w:rsidP="00016936">
      <w:pPr>
        <w:pStyle w:val="BodyText"/>
      </w:pPr>
      <w:r w:rsidRPr="004026FB">
        <w:t xml:space="preserve">A potential consideration is the management of wastewater from North East Link, specifically inflows into drained and tanked structures. The native groundwater quality of the Palaeozoic bedrock is saline and so management options would need to consider salt loads associated with this wastewater (see Section </w:t>
      </w:r>
      <w:r w:rsidRPr="004026FB">
        <w:fldChar w:fldCharType="begin"/>
      </w:r>
      <w:r w:rsidRPr="004026FB">
        <w:instrText xml:space="preserve"> REF _Ref534025700 \r \h  \* MERGEFORMAT </w:instrText>
      </w:r>
      <w:r w:rsidRPr="004026FB">
        <w:fldChar w:fldCharType="separate"/>
      </w:r>
      <w:r w:rsidR="007530D3">
        <w:t>8.3.2</w:t>
      </w:r>
      <w:r w:rsidRPr="004026FB">
        <w:fldChar w:fldCharType="end"/>
      </w:r>
      <w:r w:rsidRPr="004026FB">
        <w:t xml:space="preserve"> above).</w:t>
      </w:r>
    </w:p>
    <w:p w14:paraId="5A746F5A" w14:textId="77777777" w:rsidR="00016936" w:rsidRPr="004026FB" w:rsidRDefault="00016936" w:rsidP="00016936">
      <w:pPr>
        <w:pStyle w:val="BodyText"/>
      </w:pPr>
      <w:r w:rsidRPr="004026FB">
        <w:t xml:space="preserve">While it has been assumed the TBM tunnel and associated tanked structures would be completed to an appropriate standard which renders the structures near impermeable, some seepage would still occur. Wastewater would also be captured by the tunnel from stormwater runoff and from vehicles spills. To manage this wastewater, a possible option could be disposal to sewer. Disposal of wastewater from North East Link to sewer represents a potential cumulative impact as wastewater would also be generated from the Metro Tunnel, which may also consider disposal to sewer to manage wastewater inflows. </w:t>
      </w:r>
    </w:p>
    <w:p w14:paraId="3FE0B96B" w14:textId="5939C34C" w:rsidR="00016936" w:rsidRPr="004026FB" w:rsidRDefault="00016936" w:rsidP="00016936">
      <w:pPr>
        <w:pStyle w:val="Heading2"/>
      </w:pPr>
      <w:bookmarkStart w:id="97" w:name="_Toc532392011"/>
      <w:bookmarkStart w:id="98" w:name="_Ref535250294"/>
      <w:bookmarkStart w:id="99" w:name="_Toc3641377"/>
      <w:bookmarkStart w:id="100" w:name="_Toc19489079"/>
      <w:r w:rsidRPr="004026FB">
        <w:lastRenderedPageBreak/>
        <w:t>Surface water – description</w:t>
      </w:r>
      <w:r w:rsidR="00237873" w:rsidRPr="004026FB">
        <w:t> </w:t>
      </w:r>
      <w:r w:rsidRPr="004026FB">
        <w:t>of</w:t>
      </w:r>
      <w:r w:rsidR="00237873" w:rsidRPr="004026FB">
        <w:t> </w:t>
      </w:r>
      <w:r w:rsidRPr="004026FB">
        <w:t>the</w:t>
      </w:r>
      <w:r w:rsidR="00237873" w:rsidRPr="004026FB">
        <w:t> </w:t>
      </w:r>
      <w:r w:rsidRPr="004026FB">
        <w:t>environment</w:t>
      </w:r>
      <w:bookmarkEnd w:id="97"/>
      <w:bookmarkEnd w:id="98"/>
      <w:bookmarkEnd w:id="99"/>
      <w:bookmarkEnd w:id="100"/>
      <w:r w:rsidRPr="004026FB">
        <w:t xml:space="preserve"> </w:t>
      </w:r>
    </w:p>
    <w:p w14:paraId="2B362307" w14:textId="77777777" w:rsidR="00016936" w:rsidRPr="004026FB" w:rsidRDefault="00016936" w:rsidP="00016936">
      <w:pPr>
        <w:pStyle w:val="BodyText"/>
      </w:pPr>
      <w:r w:rsidRPr="004026FB">
        <w:t xml:space="preserve">A description of the existing surface water environment is provided in Chapter 5 – Description of the environment. This section provides an overview of key aspects of the surface water environment as relevant to the items in Section 2.5.2.2 of the PER Guidelines. </w:t>
      </w:r>
    </w:p>
    <w:p w14:paraId="56EA7F42" w14:textId="77777777" w:rsidR="00016936" w:rsidRPr="004026FB" w:rsidRDefault="00016936" w:rsidP="00016936">
      <w:pPr>
        <w:pStyle w:val="Heading3"/>
      </w:pPr>
      <w:bookmarkStart w:id="101" w:name="_Toc3641378"/>
      <w:bookmarkStart w:id="102" w:name="_Toc19489080"/>
      <w:r w:rsidRPr="004026FB">
        <w:t>Surface water quality</w:t>
      </w:r>
      <w:bookmarkEnd w:id="101"/>
      <w:bookmarkEnd w:id="102"/>
    </w:p>
    <w:p w14:paraId="7D20FE42" w14:textId="77777777" w:rsidR="00016936" w:rsidRPr="004026FB" w:rsidRDefault="00016936" w:rsidP="00016936">
      <w:pPr>
        <w:pStyle w:val="BodyText"/>
      </w:pPr>
      <w:r w:rsidRPr="004026FB">
        <w:t>In accordance with item (a) in Section 2.5.2.2 of the PER Guidelines, this section provides monitoring data from nearby water quality monitoring sites.</w:t>
      </w:r>
    </w:p>
    <w:p w14:paraId="75C730C5" w14:textId="77777777" w:rsidR="00016936" w:rsidRPr="004026FB" w:rsidRDefault="00016936" w:rsidP="00016936">
      <w:pPr>
        <w:pStyle w:val="BodyText"/>
      </w:pPr>
      <w:r w:rsidRPr="004026FB">
        <w:t>Data was obtained from a number of water quality monitoring stations upstream and downstream from the project boundary:</w:t>
      </w:r>
    </w:p>
    <w:p w14:paraId="75A6ED13" w14:textId="0FCACA10" w:rsidR="00016936" w:rsidRPr="004026FB" w:rsidRDefault="00016936" w:rsidP="00016936">
      <w:pPr>
        <w:pStyle w:val="BodyBullet1"/>
      </w:pPr>
      <w:r w:rsidRPr="004026FB">
        <w:t xml:space="preserve">Banyule Creek </w:t>
      </w:r>
      <w:sdt>
        <w:sdtPr>
          <w:id w:val="-1098327635"/>
          <w:citation/>
        </w:sdtPr>
        <w:sdtEndPr/>
        <w:sdtContent>
          <w:r w:rsidRPr="004026FB">
            <w:fldChar w:fldCharType="begin"/>
          </w:r>
          <w:r w:rsidRPr="004026FB">
            <w:instrText xml:space="preserve"> CITATION Wat18 \l 5129 </w:instrText>
          </w:r>
          <w:r w:rsidRPr="004026FB">
            <w:fldChar w:fldCharType="separate"/>
          </w:r>
          <w:r w:rsidR="007530D3" w:rsidRPr="007530D3">
            <w:rPr>
              <w:noProof/>
            </w:rPr>
            <w:t>(Waterwatch, 2018)</w:t>
          </w:r>
          <w:r w:rsidRPr="004026FB">
            <w:fldChar w:fldCharType="end"/>
          </w:r>
        </w:sdtContent>
      </w:sdt>
      <w:r w:rsidRPr="004026FB">
        <w:t>:</w:t>
      </w:r>
    </w:p>
    <w:p w14:paraId="1FE1E751" w14:textId="77777777" w:rsidR="00016936" w:rsidRPr="004026FB" w:rsidRDefault="00016936" w:rsidP="00016936">
      <w:pPr>
        <w:pStyle w:val="BodyBullet2"/>
      </w:pPr>
      <w:r w:rsidRPr="004026FB">
        <w:t>Wetland one at Banyule Creek headwaters, Simpson Barracks, Watsonia (Site ID: ME_YBA006), 13 readings, recorded April 2007 to October 2008</w:t>
      </w:r>
    </w:p>
    <w:p w14:paraId="3873DA2E" w14:textId="77777777" w:rsidR="00016936" w:rsidRPr="004026FB" w:rsidRDefault="00016936" w:rsidP="00016936">
      <w:pPr>
        <w:pStyle w:val="BodyBullet2"/>
      </w:pPr>
      <w:r w:rsidRPr="004026FB">
        <w:t>Banyule Creek headwaters at Simpson Barracks, Watsonia (Site ID: ME_YBA005), 24 readings, recorded April 2007 to November 2008</w:t>
      </w:r>
    </w:p>
    <w:p w14:paraId="4F85E2B0" w14:textId="77777777" w:rsidR="00016936" w:rsidRPr="004026FB" w:rsidRDefault="00016936" w:rsidP="00016936">
      <w:pPr>
        <w:pStyle w:val="BodyBullet2"/>
      </w:pPr>
      <w:r w:rsidRPr="004026FB">
        <w:t>Banyule Creek at footbridge, Banyule Flats Reserve (Site ID: ME_YBA500), 44 readings, recorded June 2006 to July 2012.</w:t>
      </w:r>
    </w:p>
    <w:p w14:paraId="5E565AD1" w14:textId="016367B3" w:rsidR="00016936" w:rsidRPr="004026FB" w:rsidRDefault="00016936" w:rsidP="00016936">
      <w:pPr>
        <w:pStyle w:val="BodyBullet1"/>
      </w:pPr>
      <w:r w:rsidRPr="004026FB">
        <w:t xml:space="preserve">Yarra River </w:t>
      </w:r>
      <w:sdt>
        <w:sdtPr>
          <w:id w:val="-306477152"/>
          <w:citation/>
        </w:sdtPr>
        <w:sdtEndPr/>
        <w:sdtContent>
          <w:r w:rsidRPr="004026FB">
            <w:fldChar w:fldCharType="begin"/>
          </w:r>
          <w:r w:rsidRPr="004026FB">
            <w:instrText xml:space="preserve"> CITATION Mel15 \l 5129 </w:instrText>
          </w:r>
          <w:r w:rsidRPr="004026FB">
            <w:fldChar w:fldCharType="separate"/>
          </w:r>
          <w:r w:rsidR="007530D3" w:rsidRPr="007530D3">
            <w:rPr>
              <w:noProof/>
            </w:rPr>
            <w:t>(Melbourne Water, 2015)</w:t>
          </w:r>
          <w:r w:rsidRPr="004026FB">
            <w:fldChar w:fldCharType="end"/>
          </w:r>
        </w:sdtContent>
      </w:sdt>
      <w:r w:rsidRPr="004026FB">
        <w:t xml:space="preserve">: </w:t>
      </w:r>
    </w:p>
    <w:p w14:paraId="31E6FECF" w14:textId="77777777" w:rsidR="00016936" w:rsidRPr="004026FB" w:rsidRDefault="00016936" w:rsidP="00016936">
      <w:pPr>
        <w:pStyle w:val="BodyBullet2"/>
      </w:pPr>
      <w:r w:rsidRPr="004026FB">
        <w:t>Yarra River at Kangaroo Ground-Warrandyte Road, Warrandyte, six readings, recorded 2015</w:t>
      </w:r>
    </w:p>
    <w:p w14:paraId="05CA20D9" w14:textId="77777777" w:rsidR="00016936" w:rsidRPr="004026FB" w:rsidRDefault="00016936" w:rsidP="00016936">
      <w:pPr>
        <w:pStyle w:val="BodyBullet2"/>
      </w:pPr>
      <w:r w:rsidRPr="004026FB">
        <w:t>Yarra River at Chandler Highway, Kew, six readings, recorded 2015.</w:t>
      </w:r>
    </w:p>
    <w:p w14:paraId="365AC98C" w14:textId="322A49C6" w:rsidR="00016936" w:rsidRPr="004026FB" w:rsidRDefault="00016936" w:rsidP="00016936">
      <w:pPr>
        <w:pStyle w:val="BodyBullet1"/>
      </w:pPr>
      <w:r w:rsidRPr="004026FB">
        <w:t xml:space="preserve">Koonung Creek </w:t>
      </w:r>
      <w:sdt>
        <w:sdtPr>
          <w:id w:val="-1140342223"/>
          <w:citation/>
        </w:sdtPr>
        <w:sdtEndPr/>
        <w:sdtContent>
          <w:r w:rsidRPr="004026FB">
            <w:fldChar w:fldCharType="begin"/>
          </w:r>
          <w:r w:rsidRPr="004026FB">
            <w:instrText xml:space="preserve"> CITATION EPA18 \l 5129 </w:instrText>
          </w:r>
          <w:r w:rsidRPr="004026FB">
            <w:fldChar w:fldCharType="separate"/>
          </w:r>
          <w:r w:rsidR="007530D3" w:rsidRPr="007530D3">
            <w:rPr>
              <w:noProof/>
            </w:rPr>
            <w:t>(EPA Victoria, 2018)</w:t>
          </w:r>
          <w:r w:rsidRPr="004026FB">
            <w:fldChar w:fldCharType="end"/>
          </w:r>
        </w:sdtContent>
      </w:sdt>
      <w:r w:rsidRPr="004026FB">
        <w:t xml:space="preserve">; </w:t>
      </w:r>
      <w:sdt>
        <w:sdtPr>
          <w:id w:val="1288784328"/>
          <w:citation/>
        </w:sdtPr>
        <w:sdtEndPr/>
        <w:sdtContent>
          <w:r w:rsidRPr="004026FB">
            <w:fldChar w:fldCharType="begin"/>
          </w:r>
          <w:r w:rsidRPr="004026FB">
            <w:instrText xml:space="preserve"> CITATION Mel15 \l 5129 </w:instrText>
          </w:r>
          <w:r w:rsidRPr="004026FB">
            <w:fldChar w:fldCharType="separate"/>
          </w:r>
          <w:r w:rsidR="007530D3" w:rsidRPr="007530D3">
            <w:rPr>
              <w:noProof/>
            </w:rPr>
            <w:t>(Melbourne Water, 2015)</w:t>
          </w:r>
          <w:r w:rsidRPr="004026FB">
            <w:fldChar w:fldCharType="end"/>
          </w:r>
        </w:sdtContent>
      </w:sdt>
      <w:r w:rsidRPr="004026FB">
        <w:t>:</w:t>
      </w:r>
    </w:p>
    <w:p w14:paraId="53F2D9D9" w14:textId="77777777" w:rsidR="00016936" w:rsidRPr="004026FB" w:rsidRDefault="00016936" w:rsidP="00016936">
      <w:pPr>
        <w:pStyle w:val="BodyBullet2"/>
      </w:pPr>
      <w:r w:rsidRPr="004026FB">
        <w:t>Koonung Creek at Tunstall Street, Donvale (Site ID: 4402), 12 readings, recorded April 1998 to March 2008</w:t>
      </w:r>
    </w:p>
    <w:p w14:paraId="269C3971" w14:textId="77777777" w:rsidR="00016936" w:rsidRPr="004026FB" w:rsidRDefault="00016936" w:rsidP="00016936">
      <w:pPr>
        <w:pStyle w:val="BodyBullet2"/>
      </w:pPr>
      <w:r w:rsidRPr="004026FB">
        <w:t>Koonung Creek at Elizabeth Street, Box Hill North (Site ID: 4400), eight readings, recorded October 1994 to March 1995</w:t>
      </w:r>
    </w:p>
    <w:p w14:paraId="52547533" w14:textId="77777777" w:rsidR="00016936" w:rsidRPr="004026FB" w:rsidRDefault="00016936" w:rsidP="00016936">
      <w:pPr>
        <w:pStyle w:val="BodyBullet2"/>
      </w:pPr>
      <w:r w:rsidRPr="004026FB">
        <w:t>Koonung Creek at Bushy Creek, Doncaster (Site ID: 4450), 10 readings, recorded October 2000 to March 2008</w:t>
      </w:r>
    </w:p>
    <w:p w14:paraId="0D20F481" w14:textId="77777777" w:rsidR="00016936" w:rsidRPr="004026FB" w:rsidRDefault="00016936" w:rsidP="00016936">
      <w:pPr>
        <w:pStyle w:val="BodyBullet2"/>
      </w:pPr>
      <w:r w:rsidRPr="004026FB">
        <w:t>Koonung Creek at Bulleen Road, Bulleen, 12 readings, recorded 2015.</w:t>
      </w:r>
    </w:p>
    <w:p w14:paraId="4450BD93" w14:textId="3CA36226" w:rsidR="00016936" w:rsidRPr="004026FB" w:rsidRDefault="00016936" w:rsidP="00016936">
      <w:pPr>
        <w:pStyle w:val="BodyText"/>
      </w:pPr>
      <w:r w:rsidRPr="004026FB">
        <w:lastRenderedPageBreak/>
        <w:t>The water quality monitoring results are summarised in</w:t>
      </w:r>
      <w:r w:rsidR="005C097A" w:rsidRPr="004026FB">
        <w:t xml:space="preserve"> </w:t>
      </w:r>
      <w:r w:rsidR="005C097A" w:rsidRPr="004026FB">
        <w:fldChar w:fldCharType="begin"/>
      </w:r>
      <w:r w:rsidR="005C097A" w:rsidRPr="004026FB">
        <w:instrText xml:space="preserve"> REF _Ref4598891 \h  \* MERGEFORMAT </w:instrText>
      </w:r>
      <w:r w:rsidR="005C097A" w:rsidRPr="004026FB">
        <w:fldChar w:fldCharType="separate"/>
      </w:r>
      <w:r w:rsidR="007530D3" w:rsidRPr="007530D3">
        <w:t>Table 8</w:t>
      </w:r>
      <w:r w:rsidR="007530D3" w:rsidRPr="007530D3">
        <w:noBreakHyphen/>
        <w:t>7</w:t>
      </w:r>
      <w:r w:rsidR="005C097A" w:rsidRPr="004026FB">
        <w:fldChar w:fldCharType="end"/>
      </w:r>
      <w:r w:rsidRPr="004026FB">
        <w:t>. Water quality was assessed</w:t>
      </w:r>
      <w:r w:rsidR="00237873" w:rsidRPr="004026FB">
        <w:t> </w:t>
      </w:r>
      <w:r w:rsidRPr="004026FB">
        <w:t>against the State Environment Protection Policy 2018 (SEPP) (Waters)) objectives, which</w:t>
      </w:r>
      <w:r w:rsidR="00237873" w:rsidRPr="004026FB">
        <w:t> </w:t>
      </w:r>
      <w:r w:rsidRPr="004026FB">
        <w:t xml:space="preserve">seek to protect beneficial uses of waterways. Results in </w:t>
      </w:r>
      <w:r w:rsidRPr="004026FB">
        <w:rPr>
          <w:b/>
          <w:i/>
        </w:rPr>
        <w:t>bold italics</w:t>
      </w:r>
      <w:r w:rsidRPr="004026FB">
        <w:t xml:space="preserve"> </w:t>
      </w:r>
      <w:r w:rsidRPr="004026FB">
        <w:rPr>
          <w:u w:val="single"/>
        </w:rPr>
        <w:t>do not</w:t>
      </w:r>
      <w:r w:rsidRPr="004026FB">
        <w:t xml:space="preserve"> meet the SEPP (Waters) objectives.</w:t>
      </w:r>
    </w:p>
    <w:p w14:paraId="68857988" w14:textId="77777777" w:rsidR="00016936" w:rsidRPr="004026FB" w:rsidRDefault="00016936" w:rsidP="00110203">
      <w:pPr>
        <w:pStyle w:val="Heading2"/>
      </w:pPr>
      <w:bookmarkStart w:id="103" w:name="_Toc532392016"/>
      <w:bookmarkStart w:id="104" w:name="_Ref535227426"/>
      <w:bookmarkStart w:id="105" w:name="_Toc3641379"/>
      <w:bookmarkStart w:id="106" w:name="_Toc19489081"/>
      <w:r w:rsidRPr="004026FB">
        <w:t>Surface water – relevant impacts and mitigation measures</w:t>
      </w:r>
      <w:bookmarkEnd w:id="103"/>
      <w:bookmarkEnd w:id="104"/>
      <w:bookmarkEnd w:id="105"/>
      <w:bookmarkEnd w:id="106"/>
      <w:r w:rsidRPr="004026FB">
        <w:t xml:space="preserve"> </w:t>
      </w:r>
    </w:p>
    <w:p w14:paraId="63943B08" w14:textId="77777777" w:rsidR="00016936" w:rsidRPr="004026FB" w:rsidRDefault="00016936" w:rsidP="00016936">
      <w:pPr>
        <w:pStyle w:val="BodyText"/>
      </w:pPr>
      <w:r w:rsidRPr="004026FB">
        <w:t>Changes to water quality may occur during the construction and operation of North East Link. During construction, impacts may be from:</w:t>
      </w:r>
    </w:p>
    <w:p w14:paraId="48A99FEF" w14:textId="77777777" w:rsidR="00016936" w:rsidRPr="004026FB" w:rsidRDefault="00016936" w:rsidP="00110203">
      <w:pPr>
        <w:pStyle w:val="BodyBullet1"/>
      </w:pPr>
      <w:r w:rsidRPr="004026FB">
        <w:t>Construction activities on existing flow paths including piped flow, causing a change in flow to downstream water quality assets impacting on the performance of the asset</w:t>
      </w:r>
    </w:p>
    <w:p w14:paraId="2E698198" w14:textId="77777777" w:rsidR="00016936" w:rsidRPr="004026FB" w:rsidRDefault="00016936" w:rsidP="00110203">
      <w:pPr>
        <w:pStyle w:val="BodyBullet1"/>
      </w:pPr>
      <w:r w:rsidRPr="004026FB">
        <w:t xml:space="preserve">Hazardous materials being released into waterways </w:t>
      </w:r>
    </w:p>
    <w:p w14:paraId="209D8208" w14:textId="77777777" w:rsidR="00016936" w:rsidRPr="004026FB" w:rsidRDefault="00016936" w:rsidP="00110203">
      <w:pPr>
        <w:pStyle w:val="BodyBullet1"/>
      </w:pPr>
      <w:r w:rsidRPr="004026FB">
        <w:t xml:space="preserve">Construction activities that result in bed or bank erosion </w:t>
      </w:r>
    </w:p>
    <w:p w14:paraId="55923044" w14:textId="509F41D9" w:rsidR="00016936" w:rsidRPr="004026FB" w:rsidRDefault="00016936" w:rsidP="00110203">
      <w:pPr>
        <w:pStyle w:val="BodyBullet1"/>
      </w:pPr>
      <w:r w:rsidRPr="004026FB">
        <w:t>Construction activities that cause soil or contaminants already present to be released into</w:t>
      </w:r>
      <w:r w:rsidR="00237873" w:rsidRPr="004026FB">
        <w:t> </w:t>
      </w:r>
      <w:r w:rsidRPr="004026FB">
        <w:t>waterways.</w:t>
      </w:r>
    </w:p>
    <w:p w14:paraId="645285DB" w14:textId="77777777" w:rsidR="00016936" w:rsidRPr="004026FB" w:rsidRDefault="00016936" w:rsidP="00016936">
      <w:pPr>
        <w:pStyle w:val="BodyText"/>
      </w:pPr>
      <w:r w:rsidRPr="004026FB">
        <w:t>During the operation of North East Link, impacts to surface water quality may be from:</w:t>
      </w:r>
    </w:p>
    <w:p w14:paraId="4CE604A4" w14:textId="77777777" w:rsidR="00016936" w:rsidRPr="004026FB" w:rsidRDefault="00016936" w:rsidP="00110203">
      <w:pPr>
        <w:pStyle w:val="BodyBullet1"/>
      </w:pPr>
      <w:r w:rsidRPr="004026FB">
        <w:t>Project assets increasing the flood frequency or the flooding of the tunnels</w:t>
      </w:r>
    </w:p>
    <w:p w14:paraId="2F4CD881" w14:textId="77777777" w:rsidR="00016936" w:rsidRPr="004026FB" w:rsidRDefault="00016936" w:rsidP="00110203">
      <w:pPr>
        <w:pStyle w:val="BodyBullet1"/>
      </w:pPr>
      <w:r w:rsidRPr="004026FB">
        <w:t>Spills from traffic being released into waterways</w:t>
      </w:r>
    </w:p>
    <w:p w14:paraId="321A86EF" w14:textId="77777777" w:rsidR="00016936" w:rsidRPr="004026FB" w:rsidRDefault="00016936" w:rsidP="00110203">
      <w:pPr>
        <w:pStyle w:val="BodyBullet1"/>
      </w:pPr>
      <w:r w:rsidRPr="004026FB">
        <w:t xml:space="preserve">An increase in impervious area leading to more contaminants being released into waterways </w:t>
      </w:r>
    </w:p>
    <w:p w14:paraId="640C8825" w14:textId="70338D2D" w:rsidR="00AB4956" w:rsidRPr="004026FB" w:rsidRDefault="00016936" w:rsidP="00110203">
      <w:pPr>
        <w:pStyle w:val="BodyBullet1"/>
      </w:pPr>
      <w:r w:rsidRPr="004026FB">
        <w:t>A change in drainage alignment or discharge location concentrating flow and causing bed or bank</w:t>
      </w:r>
      <w:r w:rsidR="00237873" w:rsidRPr="004026FB">
        <w:t> </w:t>
      </w:r>
      <w:r w:rsidRPr="004026FB">
        <w:t>erosion.</w:t>
      </w:r>
    </w:p>
    <w:p w14:paraId="3734C40D" w14:textId="77777777" w:rsidR="00110203" w:rsidRPr="004026FB" w:rsidRDefault="00110203" w:rsidP="00110203">
      <w:pPr>
        <w:pStyle w:val="Caption"/>
        <w:rPr>
          <w:rStyle w:val="CharacterStyle-BrightColour"/>
        </w:rPr>
        <w:sectPr w:rsidR="00110203" w:rsidRPr="004026FB" w:rsidSect="00832F82">
          <w:headerReference w:type="even" r:id="rId37"/>
          <w:headerReference w:type="default" r:id="rId38"/>
          <w:pgSz w:w="11906" w:h="16838" w:code="9"/>
          <w:pgMar w:top="1134" w:right="1134" w:bottom="1134" w:left="1134" w:header="567" w:footer="567" w:gutter="567"/>
          <w:pgNumType w:chapStyle="1" w:chapSep="enDash"/>
          <w:cols w:space="708"/>
          <w:docGrid w:linePitch="360"/>
        </w:sectPr>
      </w:pPr>
    </w:p>
    <w:p w14:paraId="48A2A311" w14:textId="26E3DF37" w:rsidR="00110203" w:rsidRPr="004026FB" w:rsidRDefault="00110203" w:rsidP="00110203">
      <w:pPr>
        <w:pStyle w:val="Caption"/>
      </w:pPr>
      <w:bookmarkStart w:id="107" w:name="_Ref4598891"/>
      <w:bookmarkStart w:id="108" w:name="_Toc19489090"/>
      <w:r w:rsidRPr="004026FB">
        <w:rPr>
          <w:rStyle w:val="CharacterStyle-BrightColour"/>
        </w:rPr>
        <w:lastRenderedPageBreak/>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7</w:t>
      </w:r>
      <w:r w:rsidRPr="004026FB">
        <w:rPr>
          <w:rStyle w:val="CharacterStyle-BrightColour"/>
        </w:rPr>
        <w:fldChar w:fldCharType="end"/>
      </w:r>
      <w:bookmarkEnd w:id="107"/>
      <w:r w:rsidRPr="004026FB">
        <w:tab/>
        <w:t>Water quality monitoring results</w:t>
      </w:r>
      <w:bookmarkEnd w:id="108"/>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4395"/>
        <w:gridCol w:w="1307"/>
        <w:gridCol w:w="985"/>
        <w:gridCol w:w="985"/>
        <w:gridCol w:w="986"/>
        <w:gridCol w:w="985"/>
        <w:gridCol w:w="985"/>
        <w:gridCol w:w="986"/>
        <w:gridCol w:w="985"/>
        <w:gridCol w:w="985"/>
        <w:gridCol w:w="986"/>
      </w:tblGrid>
      <w:tr w:rsidR="007872EC" w:rsidRPr="004026FB" w14:paraId="7B8C28FF" w14:textId="77777777" w:rsidTr="001A7776">
        <w:trPr>
          <w:trHeight w:val="366"/>
        </w:trPr>
        <w:tc>
          <w:tcPr>
            <w:tcW w:w="4395" w:type="dxa"/>
            <w:vMerge w:val="restart"/>
            <w:shd w:val="clear" w:color="auto" w:fill="009A44" w:themeFill="accent2"/>
            <w:vAlign w:val="bottom"/>
          </w:tcPr>
          <w:p w14:paraId="22569094" w14:textId="1E244116" w:rsidR="007872EC" w:rsidRPr="004026FB" w:rsidRDefault="007872EC" w:rsidP="00D56A15">
            <w:pPr>
              <w:pStyle w:val="TableHeadingWhiteFont"/>
            </w:pPr>
            <w:r w:rsidRPr="004026FB">
              <w:t>Parameter</w:t>
            </w:r>
          </w:p>
        </w:tc>
        <w:tc>
          <w:tcPr>
            <w:tcW w:w="1307" w:type="dxa"/>
            <w:vMerge w:val="restart"/>
            <w:shd w:val="clear" w:color="auto" w:fill="009A44" w:themeFill="accent2"/>
            <w:vAlign w:val="bottom"/>
          </w:tcPr>
          <w:p w14:paraId="6DF54997" w14:textId="6FE1BB09" w:rsidR="007872EC" w:rsidRPr="004026FB" w:rsidRDefault="007872EC" w:rsidP="00D56A15">
            <w:pPr>
              <w:pStyle w:val="TableHeadingWhiteFont"/>
              <w:jc w:val="center"/>
            </w:pPr>
            <w:r w:rsidRPr="004026FB">
              <w:t>SEPP (Waters) objective</w:t>
            </w:r>
          </w:p>
        </w:tc>
        <w:tc>
          <w:tcPr>
            <w:tcW w:w="2956" w:type="dxa"/>
            <w:gridSpan w:val="3"/>
            <w:shd w:val="clear" w:color="auto" w:fill="009A44" w:themeFill="accent2"/>
            <w:vAlign w:val="bottom"/>
          </w:tcPr>
          <w:p w14:paraId="73101C6A" w14:textId="4EC3931E" w:rsidR="007872EC" w:rsidRPr="004026FB" w:rsidRDefault="007872EC" w:rsidP="00D56A15">
            <w:pPr>
              <w:pStyle w:val="TableHeadingWhiteFont"/>
              <w:jc w:val="center"/>
            </w:pPr>
            <w:r w:rsidRPr="004026FB">
              <w:t>Banyule Creek</w:t>
            </w:r>
          </w:p>
        </w:tc>
        <w:tc>
          <w:tcPr>
            <w:tcW w:w="2956" w:type="dxa"/>
            <w:gridSpan w:val="3"/>
            <w:shd w:val="clear" w:color="auto" w:fill="009A44" w:themeFill="accent2"/>
            <w:vAlign w:val="bottom"/>
          </w:tcPr>
          <w:p w14:paraId="46897BDD" w14:textId="3FEFC9EE" w:rsidR="007872EC" w:rsidRPr="004026FB" w:rsidRDefault="007872EC" w:rsidP="00D56A15">
            <w:pPr>
              <w:pStyle w:val="TableHeadingWhiteFont"/>
              <w:jc w:val="center"/>
            </w:pPr>
            <w:r w:rsidRPr="004026FB">
              <w:t>Yarra River</w:t>
            </w:r>
          </w:p>
        </w:tc>
        <w:tc>
          <w:tcPr>
            <w:tcW w:w="2956" w:type="dxa"/>
            <w:gridSpan w:val="3"/>
            <w:shd w:val="clear" w:color="auto" w:fill="009A44" w:themeFill="accent2"/>
            <w:vAlign w:val="bottom"/>
          </w:tcPr>
          <w:p w14:paraId="386E53A8" w14:textId="6D2275BE" w:rsidR="007872EC" w:rsidRPr="004026FB" w:rsidRDefault="007872EC" w:rsidP="00D56A15">
            <w:pPr>
              <w:pStyle w:val="TableHeadingWhiteFont"/>
              <w:jc w:val="center"/>
            </w:pPr>
            <w:r w:rsidRPr="004026FB">
              <w:t>Koonung Creek</w:t>
            </w:r>
          </w:p>
        </w:tc>
      </w:tr>
      <w:tr w:rsidR="00D56A15" w:rsidRPr="004026FB" w14:paraId="42FC2923" w14:textId="77777777" w:rsidTr="00673E79">
        <w:trPr>
          <w:trHeight w:val="366"/>
        </w:trPr>
        <w:tc>
          <w:tcPr>
            <w:tcW w:w="4395" w:type="dxa"/>
            <w:vMerge/>
            <w:shd w:val="clear" w:color="auto" w:fill="009A44" w:themeFill="accent2"/>
            <w:vAlign w:val="bottom"/>
          </w:tcPr>
          <w:p w14:paraId="158370C8" w14:textId="77777777" w:rsidR="007872EC" w:rsidRPr="004026FB" w:rsidRDefault="007872EC" w:rsidP="00D56A15">
            <w:pPr>
              <w:pStyle w:val="TableHeadingWhiteFont"/>
              <w:jc w:val="center"/>
            </w:pPr>
          </w:p>
        </w:tc>
        <w:tc>
          <w:tcPr>
            <w:tcW w:w="1307" w:type="dxa"/>
            <w:vMerge/>
            <w:shd w:val="clear" w:color="auto" w:fill="009A44" w:themeFill="accent2"/>
            <w:vAlign w:val="bottom"/>
          </w:tcPr>
          <w:p w14:paraId="6E8A639F" w14:textId="77777777" w:rsidR="007872EC" w:rsidRPr="004026FB" w:rsidRDefault="007872EC" w:rsidP="00D56A15">
            <w:pPr>
              <w:pStyle w:val="TableHeadingWhiteFont"/>
              <w:jc w:val="center"/>
            </w:pPr>
          </w:p>
        </w:tc>
        <w:tc>
          <w:tcPr>
            <w:tcW w:w="985" w:type="dxa"/>
            <w:shd w:val="clear" w:color="auto" w:fill="007332" w:themeFill="accent2" w:themeFillShade="BF"/>
            <w:vAlign w:val="bottom"/>
          </w:tcPr>
          <w:p w14:paraId="4E1CC917" w14:textId="5E0BE266" w:rsidR="007872EC" w:rsidRPr="004026FB" w:rsidRDefault="007872EC" w:rsidP="00D56A15">
            <w:pPr>
              <w:pStyle w:val="TableHeadingWhiteFont"/>
              <w:jc w:val="center"/>
            </w:pPr>
            <w:r w:rsidRPr="004026FB">
              <w:t>ME_YBA</w:t>
            </w:r>
            <w:r w:rsidRPr="004026FB">
              <w:br/>
              <w:t>006</w:t>
            </w:r>
          </w:p>
        </w:tc>
        <w:tc>
          <w:tcPr>
            <w:tcW w:w="985" w:type="dxa"/>
            <w:shd w:val="clear" w:color="auto" w:fill="007332" w:themeFill="accent2" w:themeFillShade="BF"/>
            <w:vAlign w:val="bottom"/>
          </w:tcPr>
          <w:p w14:paraId="415B5AC9" w14:textId="08F93DF2" w:rsidR="007872EC" w:rsidRPr="004026FB" w:rsidRDefault="007872EC" w:rsidP="00D56A15">
            <w:pPr>
              <w:pStyle w:val="TableHeadingWhiteFont"/>
              <w:jc w:val="center"/>
            </w:pPr>
            <w:r w:rsidRPr="004026FB">
              <w:t>ME_YBA</w:t>
            </w:r>
            <w:r w:rsidRPr="004026FB">
              <w:br/>
              <w:t>005</w:t>
            </w:r>
          </w:p>
        </w:tc>
        <w:tc>
          <w:tcPr>
            <w:tcW w:w="986" w:type="dxa"/>
            <w:shd w:val="clear" w:color="auto" w:fill="007332" w:themeFill="accent2" w:themeFillShade="BF"/>
            <w:vAlign w:val="bottom"/>
          </w:tcPr>
          <w:p w14:paraId="5CCF4185" w14:textId="5CCA2D0D" w:rsidR="007872EC" w:rsidRPr="004026FB" w:rsidRDefault="007872EC" w:rsidP="00D56A15">
            <w:pPr>
              <w:pStyle w:val="TableHeadingWhiteFont"/>
              <w:jc w:val="center"/>
            </w:pPr>
            <w:r w:rsidRPr="004026FB">
              <w:t>ME_YBA</w:t>
            </w:r>
            <w:r w:rsidRPr="004026FB">
              <w:br/>
              <w:t>500</w:t>
            </w:r>
          </w:p>
        </w:tc>
        <w:tc>
          <w:tcPr>
            <w:tcW w:w="985" w:type="dxa"/>
            <w:shd w:val="clear" w:color="auto" w:fill="007332" w:themeFill="accent2" w:themeFillShade="BF"/>
            <w:vAlign w:val="bottom"/>
          </w:tcPr>
          <w:p w14:paraId="6A0D9AD8" w14:textId="532F3825" w:rsidR="007872EC" w:rsidRPr="004026FB" w:rsidRDefault="007872EC" w:rsidP="00D56A15">
            <w:pPr>
              <w:pStyle w:val="TableHeadingWhiteFont"/>
              <w:jc w:val="center"/>
            </w:pPr>
            <w:r w:rsidRPr="004026FB">
              <w:t>ME_YBA</w:t>
            </w:r>
            <w:r w:rsidRPr="004026FB">
              <w:br/>
              <w:t>006</w:t>
            </w:r>
          </w:p>
        </w:tc>
        <w:tc>
          <w:tcPr>
            <w:tcW w:w="985" w:type="dxa"/>
            <w:shd w:val="clear" w:color="auto" w:fill="007332" w:themeFill="accent2" w:themeFillShade="BF"/>
            <w:vAlign w:val="bottom"/>
          </w:tcPr>
          <w:p w14:paraId="7221E1A4" w14:textId="5589B6E9" w:rsidR="007872EC" w:rsidRPr="004026FB" w:rsidRDefault="007872EC" w:rsidP="00D56A15">
            <w:pPr>
              <w:pStyle w:val="TableHeadingWhiteFont"/>
              <w:jc w:val="center"/>
            </w:pPr>
            <w:r w:rsidRPr="004026FB">
              <w:t>ME_YBA</w:t>
            </w:r>
            <w:r w:rsidRPr="004026FB">
              <w:br/>
              <w:t>005</w:t>
            </w:r>
          </w:p>
        </w:tc>
        <w:tc>
          <w:tcPr>
            <w:tcW w:w="986" w:type="dxa"/>
            <w:shd w:val="clear" w:color="auto" w:fill="007332" w:themeFill="accent2" w:themeFillShade="BF"/>
            <w:vAlign w:val="bottom"/>
          </w:tcPr>
          <w:p w14:paraId="27513375" w14:textId="1F3AEFD3" w:rsidR="007872EC" w:rsidRPr="004026FB" w:rsidRDefault="007872EC" w:rsidP="00D56A15">
            <w:pPr>
              <w:pStyle w:val="TableHeadingWhiteFont"/>
              <w:jc w:val="center"/>
            </w:pPr>
            <w:r w:rsidRPr="004026FB">
              <w:t>ME_YBA</w:t>
            </w:r>
            <w:r w:rsidRPr="004026FB">
              <w:br/>
              <w:t>500</w:t>
            </w:r>
          </w:p>
        </w:tc>
        <w:tc>
          <w:tcPr>
            <w:tcW w:w="985" w:type="dxa"/>
            <w:shd w:val="clear" w:color="auto" w:fill="007332" w:themeFill="accent2" w:themeFillShade="BF"/>
            <w:vAlign w:val="bottom"/>
          </w:tcPr>
          <w:p w14:paraId="05ED87F8" w14:textId="330F29B3" w:rsidR="007872EC" w:rsidRPr="004026FB" w:rsidRDefault="007872EC" w:rsidP="00D56A15">
            <w:pPr>
              <w:pStyle w:val="TableHeadingWhiteFont"/>
              <w:jc w:val="center"/>
            </w:pPr>
            <w:r w:rsidRPr="004026FB">
              <w:t>ME_YBA</w:t>
            </w:r>
            <w:r w:rsidRPr="004026FB">
              <w:br/>
              <w:t>006</w:t>
            </w:r>
          </w:p>
        </w:tc>
        <w:tc>
          <w:tcPr>
            <w:tcW w:w="985" w:type="dxa"/>
            <w:shd w:val="clear" w:color="auto" w:fill="007332" w:themeFill="accent2" w:themeFillShade="BF"/>
            <w:vAlign w:val="bottom"/>
          </w:tcPr>
          <w:p w14:paraId="3042B2CC" w14:textId="67BF8CC5" w:rsidR="007872EC" w:rsidRPr="004026FB" w:rsidRDefault="007872EC" w:rsidP="00D56A15">
            <w:pPr>
              <w:pStyle w:val="TableHeadingWhiteFont"/>
              <w:jc w:val="center"/>
            </w:pPr>
            <w:r w:rsidRPr="004026FB">
              <w:t>ME_YBA</w:t>
            </w:r>
            <w:r w:rsidRPr="004026FB">
              <w:br/>
              <w:t>005</w:t>
            </w:r>
          </w:p>
        </w:tc>
        <w:tc>
          <w:tcPr>
            <w:tcW w:w="986" w:type="dxa"/>
            <w:shd w:val="clear" w:color="auto" w:fill="007332" w:themeFill="accent2" w:themeFillShade="BF"/>
            <w:vAlign w:val="bottom"/>
          </w:tcPr>
          <w:p w14:paraId="68B6AC48" w14:textId="3A884C1D" w:rsidR="007872EC" w:rsidRPr="004026FB" w:rsidRDefault="007872EC" w:rsidP="00D56A15">
            <w:pPr>
              <w:pStyle w:val="TableHeadingWhiteFont"/>
              <w:jc w:val="center"/>
            </w:pPr>
            <w:r w:rsidRPr="004026FB">
              <w:t>ME_YBA</w:t>
            </w:r>
            <w:r w:rsidRPr="004026FB">
              <w:br/>
              <w:t>500</w:t>
            </w:r>
          </w:p>
        </w:tc>
      </w:tr>
      <w:tr w:rsidR="007872EC" w:rsidRPr="004026FB" w14:paraId="63C07921" w14:textId="77777777" w:rsidTr="00673E79">
        <w:trPr>
          <w:trHeight w:val="366"/>
        </w:trPr>
        <w:tc>
          <w:tcPr>
            <w:tcW w:w="4395" w:type="dxa"/>
          </w:tcPr>
          <w:p w14:paraId="1E831C9B" w14:textId="768109CA" w:rsidR="007872EC" w:rsidRPr="004026FB" w:rsidRDefault="007872EC" w:rsidP="007872EC">
            <w:pPr>
              <w:pStyle w:val="TableText"/>
            </w:pPr>
            <w:r w:rsidRPr="004026FB">
              <w:t>Dissolved oxygen (% saturation) (25</w:t>
            </w:r>
            <w:r w:rsidRPr="004026FB">
              <w:rPr>
                <w:vertAlign w:val="superscript"/>
              </w:rPr>
              <w:t>th</w:t>
            </w:r>
            <w:r w:rsidRPr="004026FB">
              <w:t xml:space="preserve"> percentile)</w:t>
            </w:r>
          </w:p>
        </w:tc>
        <w:tc>
          <w:tcPr>
            <w:tcW w:w="1307" w:type="dxa"/>
          </w:tcPr>
          <w:p w14:paraId="26ED2CF8" w14:textId="69D50CBE" w:rsidR="007872EC" w:rsidRPr="004026FB" w:rsidRDefault="007872EC" w:rsidP="00FD2A06">
            <w:pPr>
              <w:pStyle w:val="TableText"/>
              <w:jc w:val="center"/>
            </w:pPr>
            <w:r w:rsidRPr="004026FB">
              <w:t>≥70%</w:t>
            </w:r>
          </w:p>
        </w:tc>
        <w:tc>
          <w:tcPr>
            <w:tcW w:w="985" w:type="dxa"/>
          </w:tcPr>
          <w:p w14:paraId="73E2E495" w14:textId="3A415031" w:rsidR="007872EC" w:rsidRPr="004026FB" w:rsidRDefault="007872EC" w:rsidP="004D7310">
            <w:pPr>
              <w:pStyle w:val="TableText"/>
              <w:jc w:val="center"/>
            </w:pPr>
            <w:r w:rsidRPr="004026FB">
              <w:t>71.7</w:t>
            </w:r>
            <w:r w:rsidRPr="004026FB">
              <w:rPr>
                <w:vertAlign w:val="superscript"/>
              </w:rPr>
              <w:t>1</w:t>
            </w:r>
          </w:p>
        </w:tc>
        <w:tc>
          <w:tcPr>
            <w:tcW w:w="985" w:type="dxa"/>
          </w:tcPr>
          <w:p w14:paraId="626814B3" w14:textId="4CD25244" w:rsidR="007872EC" w:rsidRPr="004026FB" w:rsidRDefault="007872EC" w:rsidP="004D7310">
            <w:pPr>
              <w:pStyle w:val="TableText"/>
              <w:jc w:val="center"/>
            </w:pPr>
            <w:r w:rsidRPr="004026FB">
              <w:rPr>
                <w:b/>
                <w:i/>
              </w:rPr>
              <w:t>52.6</w:t>
            </w:r>
            <w:r w:rsidRPr="004026FB">
              <w:rPr>
                <w:vertAlign w:val="superscript"/>
              </w:rPr>
              <w:t>1</w:t>
            </w:r>
          </w:p>
        </w:tc>
        <w:tc>
          <w:tcPr>
            <w:tcW w:w="986" w:type="dxa"/>
          </w:tcPr>
          <w:p w14:paraId="373F803A" w14:textId="23B87D40" w:rsidR="007872EC" w:rsidRPr="004026FB" w:rsidRDefault="007872EC" w:rsidP="004D7310">
            <w:pPr>
              <w:pStyle w:val="TableText"/>
              <w:jc w:val="center"/>
            </w:pPr>
            <w:r w:rsidRPr="004026FB">
              <w:rPr>
                <w:b/>
                <w:i/>
              </w:rPr>
              <w:t>53.4</w:t>
            </w:r>
            <w:r w:rsidRPr="004026FB">
              <w:rPr>
                <w:vertAlign w:val="superscript"/>
              </w:rPr>
              <w:t>1</w:t>
            </w:r>
          </w:p>
        </w:tc>
        <w:tc>
          <w:tcPr>
            <w:tcW w:w="985" w:type="dxa"/>
          </w:tcPr>
          <w:p w14:paraId="6ACD9579" w14:textId="395CEB85" w:rsidR="007872EC" w:rsidRPr="004026FB" w:rsidRDefault="007872EC" w:rsidP="004D7310">
            <w:pPr>
              <w:pStyle w:val="TableText"/>
              <w:jc w:val="center"/>
            </w:pPr>
            <w:r w:rsidRPr="004026FB">
              <w:t>91.0</w:t>
            </w:r>
          </w:p>
        </w:tc>
        <w:tc>
          <w:tcPr>
            <w:tcW w:w="985" w:type="dxa"/>
          </w:tcPr>
          <w:p w14:paraId="0A991790" w14:textId="3CC41F10" w:rsidR="007872EC" w:rsidRPr="004026FB" w:rsidRDefault="007872EC" w:rsidP="004D7310">
            <w:pPr>
              <w:pStyle w:val="TableText"/>
              <w:jc w:val="center"/>
            </w:pPr>
            <w:r w:rsidRPr="004026FB">
              <w:t>81.0</w:t>
            </w:r>
          </w:p>
        </w:tc>
        <w:tc>
          <w:tcPr>
            <w:tcW w:w="986" w:type="dxa"/>
          </w:tcPr>
          <w:p w14:paraId="5476D964" w14:textId="4AE8892C" w:rsidR="007872EC" w:rsidRPr="004026FB" w:rsidRDefault="007872EC" w:rsidP="004D7310">
            <w:pPr>
              <w:pStyle w:val="TableText"/>
              <w:jc w:val="center"/>
            </w:pPr>
            <w:r w:rsidRPr="004026FB">
              <w:t>96.8</w:t>
            </w:r>
          </w:p>
        </w:tc>
        <w:tc>
          <w:tcPr>
            <w:tcW w:w="985" w:type="dxa"/>
          </w:tcPr>
          <w:p w14:paraId="22F29248" w14:textId="55E32716" w:rsidR="007872EC" w:rsidRPr="004026FB" w:rsidRDefault="007872EC" w:rsidP="004D7310">
            <w:pPr>
              <w:pStyle w:val="TableText"/>
              <w:jc w:val="center"/>
            </w:pPr>
            <w:r w:rsidRPr="004026FB">
              <w:t>78.9</w:t>
            </w:r>
          </w:p>
        </w:tc>
        <w:tc>
          <w:tcPr>
            <w:tcW w:w="985" w:type="dxa"/>
          </w:tcPr>
          <w:p w14:paraId="5A87299F" w14:textId="065F697D" w:rsidR="007872EC" w:rsidRPr="004026FB" w:rsidRDefault="007872EC" w:rsidP="004D7310">
            <w:pPr>
              <w:pStyle w:val="TableText"/>
              <w:jc w:val="center"/>
            </w:pPr>
            <w:r w:rsidRPr="004026FB">
              <w:t>97.8</w:t>
            </w:r>
          </w:p>
        </w:tc>
        <w:tc>
          <w:tcPr>
            <w:tcW w:w="986" w:type="dxa"/>
          </w:tcPr>
          <w:p w14:paraId="4DEEF882" w14:textId="155E8281" w:rsidR="007872EC" w:rsidRPr="004026FB" w:rsidRDefault="007872EC" w:rsidP="004D7310">
            <w:pPr>
              <w:pStyle w:val="TableText"/>
              <w:jc w:val="center"/>
            </w:pPr>
            <w:r w:rsidRPr="004026FB">
              <w:t>64</w:t>
            </w:r>
          </w:p>
        </w:tc>
      </w:tr>
      <w:tr w:rsidR="007872EC" w:rsidRPr="004026FB" w14:paraId="54BACAE8" w14:textId="77777777" w:rsidTr="00673E79">
        <w:trPr>
          <w:trHeight w:val="366"/>
        </w:trPr>
        <w:tc>
          <w:tcPr>
            <w:tcW w:w="4395" w:type="dxa"/>
          </w:tcPr>
          <w:p w14:paraId="55EEA932" w14:textId="65C15B23" w:rsidR="007872EC" w:rsidRPr="004026FB" w:rsidRDefault="007872EC" w:rsidP="007872EC">
            <w:pPr>
              <w:pStyle w:val="TableText"/>
            </w:pPr>
            <w:r w:rsidRPr="004026FB">
              <w:t>Dissolved oxygen (% saturation) (Maximum)</w:t>
            </w:r>
          </w:p>
        </w:tc>
        <w:tc>
          <w:tcPr>
            <w:tcW w:w="1307" w:type="dxa"/>
          </w:tcPr>
          <w:p w14:paraId="3FDDD475" w14:textId="2D56BDC6" w:rsidR="007872EC" w:rsidRPr="004026FB" w:rsidRDefault="007872EC" w:rsidP="00FD2A06">
            <w:pPr>
              <w:pStyle w:val="TableText"/>
              <w:jc w:val="center"/>
            </w:pPr>
            <w:r w:rsidRPr="004026FB">
              <w:t>≤110%</w:t>
            </w:r>
          </w:p>
        </w:tc>
        <w:tc>
          <w:tcPr>
            <w:tcW w:w="985" w:type="dxa"/>
          </w:tcPr>
          <w:p w14:paraId="3C2C6405" w14:textId="686C7EEB" w:rsidR="007872EC" w:rsidRPr="004026FB" w:rsidRDefault="007872EC" w:rsidP="004D7310">
            <w:pPr>
              <w:pStyle w:val="TableText"/>
              <w:jc w:val="center"/>
            </w:pPr>
            <w:r w:rsidRPr="004026FB">
              <w:t>76.8</w:t>
            </w:r>
            <w:r w:rsidRPr="004026FB">
              <w:rPr>
                <w:vertAlign w:val="superscript"/>
              </w:rPr>
              <w:t>1</w:t>
            </w:r>
          </w:p>
        </w:tc>
        <w:tc>
          <w:tcPr>
            <w:tcW w:w="985" w:type="dxa"/>
          </w:tcPr>
          <w:p w14:paraId="0E05F3A7" w14:textId="79336476" w:rsidR="007872EC" w:rsidRPr="004026FB" w:rsidRDefault="007872EC" w:rsidP="004D7310">
            <w:pPr>
              <w:pStyle w:val="TableText"/>
              <w:jc w:val="center"/>
            </w:pPr>
            <w:r w:rsidRPr="004026FB">
              <w:t>97.0</w:t>
            </w:r>
            <w:r w:rsidRPr="004026FB">
              <w:rPr>
                <w:vertAlign w:val="superscript"/>
              </w:rPr>
              <w:t>1</w:t>
            </w:r>
          </w:p>
        </w:tc>
        <w:tc>
          <w:tcPr>
            <w:tcW w:w="986" w:type="dxa"/>
          </w:tcPr>
          <w:p w14:paraId="15610D5C" w14:textId="57312101" w:rsidR="007872EC" w:rsidRPr="004026FB" w:rsidRDefault="007872EC" w:rsidP="004D7310">
            <w:pPr>
              <w:pStyle w:val="TableText"/>
              <w:jc w:val="center"/>
            </w:pPr>
            <w:r w:rsidRPr="004026FB">
              <w:t>91.7</w:t>
            </w:r>
            <w:r w:rsidRPr="004026FB">
              <w:rPr>
                <w:vertAlign w:val="superscript"/>
              </w:rPr>
              <w:t>1</w:t>
            </w:r>
          </w:p>
        </w:tc>
        <w:tc>
          <w:tcPr>
            <w:tcW w:w="985" w:type="dxa"/>
          </w:tcPr>
          <w:p w14:paraId="474A4508" w14:textId="4858C594" w:rsidR="007872EC" w:rsidRPr="004026FB" w:rsidRDefault="007872EC" w:rsidP="004D7310">
            <w:pPr>
              <w:pStyle w:val="TableText"/>
              <w:jc w:val="center"/>
            </w:pPr>
            <w:r w:rsidRPr="004026FB">
              <w:t>100</w:t>
            </w:r>
          </w:p>
        </w:tc>
        <w:tc>
          <w:tcPr>
            <w:tcW w:w="985" w:type="dxa"/>
          </w:tcPr>
          <w:p w14:paraId="0747301B" w14:textId="10A0A5DF" w:rsidR="007872EC" w:rsidRPr="004026FB" w:rsidRDefault="007872EC" w:rsidP="004D7310">
            <w:pPr>
              <w:pStyle w:val="TableText"/>
              <w:jc w:val="center"/>
            </w:pPr>
            <w:r w:rsidRPr="004026FB">
              <w:t>91</w:t>
            </w:r>
          </w:p>
        </w:tc>
        <w:tc>
          <w:tcPr>
            <w:tcW w:w="986" w:type="dxa"/>
          </w:tcPr>
          <w:p w14:paraId="510D3A5F" w14:textId="7E080D16" w:rsidR="007872EC" w:rsidRPr="004026FB" w:rsidRDefault="007872EC" w:rsidP="004D7310">
            <w:pPr>
              <w:pStyle w:val="TableText"/>
              <w:jc w:val="center"/>
              <w:rPr>
                <w:b/>
                <w:i/>
              </w:rPr>
            </w:pPr>
            <w:r w:rsidRPr="004026FB">
              <w:rPr>
                <w:b/>
                <w:i/>
              </w:rPr>
              <w:t>118</w:t>
            </w:r>
          </w:p>
        </w:tc>
        <w:tc>
          <w:tcPr>
            <w:tcW w:w="985" w:type="dxa"/>
          </w:tcPr>
          <w:p w14:paraId="0385420E" w14:textId="15EB0439" w:rsidR="007872EC" w:rsidRPr="004026FB" w:rsidRDefault="007872EC" w:rsidP="004D7310">
            <w:pPr>
              <w:pStyle w:val="TableText"/>
              <w:jc w:val="center"/>
            </w:pPr>
            <w:r w:rsidRPr="004026FB">
              <w:t>90.1</w:t>
            </w:r>
          </w:p>
        </w:tc>
        <w:tc>
          <w:tcPr>
            <w:tcW w:w="985" w:type="dxa"/>
          </w:tcPr>
          <w:p w14:paraId="2A43CA03" w14:textId="740DC2AA" w:rsidR="007872EC" w:rsidRPr="004026FB" w:rsidRDefault="007872EC" w:rsidP="004D7310">
            <w:pPr>
              <w:pStyle w:val="TableText"/>
              <w:jc w:val="center"/>
              <w:rPr>
                <w:b/>
                <w:i/>
              </w:rPr>
            </w:pPr>
            <w:r w:rsidRPr="004026FB">
              <w:rPr>
                <w:b/>
                <w:i/>
              </w:rPr>
              <w:t>115</w:t>
            </w:r>
          </w:p>
        </w:tc>
        <w:tc>
          <w:tcPr>
            <w:tcW w:w="986" w:type="dxa"/>
          </w:tcPr>
          <w:p w14:paraId="05A98E0A" w14:textId="4EF1EA4B" w:rsidR="007872EC" w:rsidRPr="004026FB" w:rsidRDefault="007872EC" w:rsidP="004D7310">
            <w:pPr>
              <w:pStyle w:val="TableText"/>
              <w:jc w:val="center"/>
            </w:pPr>
            <w:r w:rsidRPr="004026FB">
              <w:t>95</w:t>
            </w:r>
          </w:p>
        </w:tc>
      </w:tr>
      <w:tr w:rsidR="007872EC" w:rsidRPr="004026FB" w14:paraId="376D3517" w14:textId="77777777" w:rsidTr="00673E79">
        <w:trPr>
          <w:trHeight w:val="366"/>
        </w:trPr>
        <w:tc>
          <w:tcPr>
            <w:tcW w:w="4395" w:type="dxa"/>
          </w:tcPr>
          <w:p w14:paraId="5FCCF6EE" w14:textId="31B626E0" w:rsidR="007872EC" w:rsidRPr="004026FB" w:rsidRDefault="007872EC" w:rsidP="007872EC">
            <w:pPr>
              <w:pStyle w:val="TableText"/>
            </w:pPr>
            <w:r w:rsidRPr="004026FB">
              <w:t>Electrical conductivity (EC) at 25°C (75</w:t>
            </w:r>
            <w:r w:rsidRPr="004026FB">
              <w:rPr>
                <w:vertAlign w:val="superscript"/>
              </w:rPr>
              <w:t>th</w:t>
            </w:r>
            <w:r w:rsidRPr="004026FB">
              <w:t xml:space="preserve"> percentile)</w:t>
            </w:r>
          </w:p>
        </w:tc>
        <w:tc>
          <w:tcPr>
            <w:tcW w:w="1307" w:type="dxa"/>
          </w:tcPr>
          <w:p w14:paraId="552A0118" w14:textId="33FE1ADE" w:rsidR="007872EC" w:rsidRPr="004026FB" w:rsidRDefault="007872EC" w:rsidP="00FD2A06">
            <w:pPr>
              <w:pStyle w:val="TableText"/>
              <w:jc w:val="center"/>
            </w:pPr>
            <w:r w:rsidRPr="004026FB">
              <w:t>≤500 µS/cm</w:t>
            </w:r>
          </w:p>
        </w:tc>
        <w:tc>
          <w:tcPr>
            <w:tcW w:w="985" w:type="dxa"/>
          </w:tcPr>
          <w:p w14:paraId="4778E07E" w14:textId="36599908" w:rsidR="007872EC" w:rsidRPr="004026FB" w:rsidRDefault="007872EC" w:rsidP="004D7310">
            <w:pPr>
              <w:pStyle w:val="TableText"/>
              <w:jc w:val="center"/>
            </w:pPr>
            <w:r w:rsidRPr="004026FB">
              <w:t>100</w:t>
            </w:r>
          </w:p>
        </w:tc>
        <w:tc>
          <w:tcPr>
            <w:tcW w:w="985" w:type="dxa"/>
          </w:tcPr>
          <w:p w14:paraId="03491566" w14:textId="26508E57" w:rsidR="007872EC" w:rsidRPr="004026FB" w:rsidRDefault="007872EC" w:rsidP="004D7310">
            <w:pPr>
              <w:pStyle w:val="TableText"/>
              <w:jc w:val="center"/>
            </w:pPr>
            <w:r w:rsidRPr="004026FB">
              <w:t>370</w:t>
            </w:r>
          </w:p>
        </w:tc>
        <w:tc>
          <w:tcPr>
            <w:tcW w:w="986" w:type="dxa"/>
          </w:tcPr>
          <w:p w14:paraId="25C69271" w14:textId="7B716F8D" w:rsidR="007872EC" w:rsidRPr="004026FB" w:rsidRDefault="007872EC" w:rsidP="004D7310">
            <w:pPr>
              <w:pStyle w:val="TableText"/>
              <w:jc w:val="center"/>
              <w:rPr>
                <w:b/>
                <w:i/>
              </w:rPr>
            </w:pPr>
            <w:r w:rsidRPr="004026FB">
              <w:rPr>
                <w:b/>
                <w:i/>
              </w:rPr>
              <w:t>750</w:t>
            </w:r>
          </w:p>
        </w:tc>
        <w:tc>
          <w:tcPr>
            <w:tcW w:w="985" w:type="dxa"/>
          </w:tcPr>
          <w:p w14:paraId="4DECCF38" w14:textId="49D16D28" w:rsidR="007872EC" w:rsidRPr="004026FB" w:rsidRDefault="007872EC" w:rsidP="004D7310">
            <w:pPr>
              <w:pStyle w:val="TableText"/>
              <w:jc w:val="center"/>
            </w:pPr>
            <w:r w:rsidRPr="004026FB">
              <w:t>138</w:t>
            </w:r>
          </w:p>
        </w:tc>
        <w:tc>
          <w:tcPr>
            <w:tcW w:w="985" w:type="dxa"/>
          </w:tcPr>
          <w:p w14:paraId="10D683D8" w14:textId="025577F8" w:rsidR="007872EC" w:rsidRPr="004026FB" w:rsidRDefault="007872EC" w:rsidP="004D7310">
            <w:pPr>
              <w:pStyle w:val="TableText"/>
              <w:jc w:val="center"/>
            </w:pPr>
            <w:r w:rsidRPr="004026FB">
              <w:t>188</w:t>
            </w:r>
          </w:p>
        </w:tc>
        <w:tc>
          <w:tcPr>
            <w:tcW w:w="986" w:type="dxa"/>
          </w:tcPr>
          <w:p w14:paraId="108CA98C" w14:textId="23E80FCE" w:rsidR="007872EC" w:rsidRPr="004026FB" w:rsidRDefault="007872EC" w:rsidP="004D7310">
            <w:pPr>
              <w:pStyle w:val="TableText"/>
              <w:jc w:val="center"/>
              <w:rPr>
                <w:b/>
                <w:i/>
              </w:rPr>
            </w:pPr>
            <w:r w:rsidRPr="004026FB">
              <w:rPr>
                <w:b/>
                <w:i/>
              </w:rPr>
              <w:t>990</w:t>
            </w:r>
          </w:p>
        </w:tc>
        <w:tc>
          <w:tcPr>
            <w:tcW w:w="985" w:type="dxa"/>
          </w:tcPr>
          <w:p w14:paraId="7F511C8C" w14:textId="718D17E7" w:rsidR="007872EC" w:rsidRPr="004026FB" w:rsidRDefault="00D56A15" w:rsidP="004D7310">
            <w:pPr>
              <w:pStyle w:val="TableText"/>
              <w:jc w:val="center"/>
            </w:pPr>
            <w:r w:rsidRPr="004026FB">
              <w:t>NRD</w:t>
            </w:r>
          </w:p>
        </w:tc>
        <w:tc>
          <w:tcPr>
            <w:tcW w:w="985" w:type="dxa"/>
          </w:tcPr>
          <w:p w14:paraId="65C12C01" w14:textId="29F3534E" w:rsidR="007872EC" w:rsidRPr="004026FB" w:rsidRDefault="007872EC" w:rsidP="004D7310">
            <w:pPr>
              <w:pStyle w:val="TableText"/>
              <w:jc w:val="center"/>
              <w:rPr>
                <w:b/>
                <w:i/>
              </w:rPr>
            </w:pPr>
            <w:r w:rsidRPr="004026FB">
              <w:rPr>
                <w:b/>
                <w:i/>
              </w:rPr>
              <w:t>846</w:t>
            </w:r>
          </w:p>
        </w:tc>
        <w:tc>
          <w:tcPr>
            <w:tcW w:w="986" w:type="dxa"/>
          </w:tcPr>
          <w:p w14:paraId="3EC21A06" w14:textId="76CF9706" w:rsidR="007872EC" w:rsidRPr="004026FB" w:rsidRDefault="007872EC" w:rsidP="004D7310">
            <w:pPr>
              <w:pStyle w:val="TableText"/>
              <w:jc w:val="center"/>
            </w:pPr>
            <w:r w:rsidRPr="004026FB">
              <w:t>583</w:t>
            </w:r>
          </w:p>
        </w:tc>
      </w:tr>
      <w:tr w:rsidR="007872EC" w:rsidRPr="004026FB" w14:paraId="07199072" w14:textId="77777777" w:rsidTr="00673E79">
        <w:trPr>
          <w:trHeight w:val="366"/>
        </w:trPr>
        <w:tc>
          <w:tcPr>
            <w:tcW w:w="4395" w:type="dxa"/>
          </w:tcPr>
          <w:p w14:paraId="103693A8" w14:textId="14E1AA28" w:rsidR="007872EC" w:rsidRPr="004026FB" w:rsidRDefault="007872EC" w:rsidP="007872EC">
            <w:pPr>
              <w:pStyle w:val="TableText"/>
            </w:pPr>
            <w:r w:rsidRPr="004026FB">
              <w:t>pH (25</w:t>
            </w:r>
            <w:r w:rsidRPr="004026FB">
              <w:rPr>
                <w:vertAlign w:val="superscript"/>
              </w:rPr>
              <w:t>th</w:t>
            </w:r>
            <w:r w:rsidRPr="004026FB">
              <w:t xml:space="preserve"> percentile)</w:t>
            </w:r>
          </w:p>
        </w:tc>
        <w:tc>
          <w:tcPr>
            <w:tcW w:w="1307" w:type="dxa"/>
          </w:tcPr>
          <w:p w14:paraId="18CB3E98" w14:textId="73BB2C38" w:rsidR="007872EC" w:rsidRPr="004026FB" w:rsidRDefault="007872EC" w:rsidP="00FD2A06">
            <w:pPr>
              <w:pStyle w:val="TableText"/>
              <w:jc w:val="center"/>
            </w:pPr>
            <w:r w:rsidRPr="004026FB">
              <w:t>≥6.4</w:t>
            </w:r>
          </w:p>
        </w:tc>
        <w:tc>
          <w:tcPr>
            <w:tcW w:w="985" w:type="dxa"/>
          </w:tcPr>
          <w:p w14:paraId="482D074A" w14:textId="0FB76296" w:rsidR="007872EC" w:rsidRPr="004026FB" w:rsidRDefault="007872EC" w:rsidP="004D7310">
            <w:pPr>
              <w:pStyle w:val="TableText"/>
              <w:jc w:val="center"/>
            </w:pPr>
            <w:r w:rsidRPr="004026FB">
              <w:t>7.6</w:t>
            </w:r>
          </w:p>
        </w:tc>
        <w:tc>
          <w:tcPr>
            <w:tcW w:w="985" w:type="dxa"/>
          </w:tcPr>
          <w:p w14:paraId="027D72F6" w14:textId="094DDD8D" w:rsidR="007872EC" w:rsidRPr="004026FB" w:rsidRDefault="007872EC" w:rsidP="004D7310">
            <w:pPr>
              <w:pStyle w:val="TableText"/>
              <w:jc w:val="center"/>
            </w:pPr>
            <w:r w:rsidRPr="004026FB">
              <w:t>7.5</w:t>
            </w:r>
          </w:p>
        </w:tc>
        <w:tc>
          <w:tcPr>
            <w:tcW w:w="986" w:type="dxa"/>
          </w:tcPr>
          <w:p w14:paraId="21AFE903" w14:textId="0B392186" w:rsidR="007872EC" w:rsidRPr="004026FB" w:rsidRDefault="007872EC" w:rsidP="004D7310">
            <w:pPr>
              <w:pStyle w:val="TableText"/>
              <w:jc w:val="center"/>
            </w:pPr>
            <w:r w:rsidRPr="004026FB">
              <w:t>7.4</w:t>
            </w:r>
          </w:p>
        </w:tc>
        <w:tc>
          <w:tcPr>
            <w:tcW w:w="985" w:type="dxa"/>
          </w:tcPr>
          <w:p w14:paraId="748AE0EB" w14:textId="29C7C71B" w:rsidR="007872EC" w:rsidRPr="004026FB" w:rsidRDefault="007872EC" w:rsidP="004D7310">
            <w:pPr>
              <w:pStyle w:val="TableText"/>
              <w:jc w:val="center"/>
            </w:pPr>
            <w:r w:rsidRPr="004026FB">
              <w:t>7.4</w:t>
            </w:r>
          </w:p>
        </w:tc>
        <w:tc>
          <w:tcPr>
            <w:tcW w:w="985" w:type="dxa"/>
          </w:tcPr>
          <w:p w14:paraId="0EE39D7F" w14:textId="702E1DD7" w:rsidR="007872EC" w:rsidRPr="004026FB" w:rsidRDefault="007872EC" w:rsidP="004D7310">
            <w:pPr>
              <w:pStyle w:val="TableText"/>
              <w:jc w:val="center"/>
            </w:pPr>
            <w:r w:rsidRPr="004026FB">
              <w:t>7.2</w:t>
            </w:r>
          </w:p>
        </w:tc>
        <w:tc>
          <w:tcPr>
            <w:tcW w:w="986" w:type="dxa"/>
          </w:tcPr>
          <w:p w14:paraId="4D1DCA02" w14:textId="343BA270" w:rsidR="007872EC" w:rsidRPr="004026FB" w:rsidRDefault="007872EC" w:rsidP="004D7310">
            <w:pPr>
              <w:pStyle w:val="TableText"/>
              <w:jc w:val="center"/>
            </w:pPr>
            <w:r w:rsidRPr="004026FB">
              <w:t>7.8</w:t>
            </w:r>
          </w:p>
        </w:tc>
        <w:tc>
          <w:tcPr>
            <w:tcW w:w="985" w:type="dxa"/>
          </w:tcPr>
          <w:p w14:paraId="0ADB8366" w14:textId="6ED37ABA" w:rsidR="007872EC" w:rsidRPr="004026FB" w:rsidRDefault="007872EC" w:rsidP="004D7310">
            <w:pPr>
              <w:pStyle w:val="TableText"/>
              <w:jc w:val="center"/>
            </w:pPr>
            <w:r w:rsidRPr="004026FB">
              <w:t>7.5</w:t>
            </w:r>
          </w:p>
        </w:tc>
        <w:tc>
          <w:tcPr>
            <w:tcW w:w="985" w:type="dxa"/>
          </w:tcPr>
          <w:p w14:paraId="224C9D46" w14:textId="42181BD2" w:rsidR="007872EC" w:rsidRPr="004026FB" w:rsidRDefault="007872EC" w:rsidP="004D7310">
            <w:pPr>
              <w:pStyle w:val="TableText"/>
              <w:jc w:val="center"/>
            </w:pPr>
            <w:r w:rsidRPr="004026FB">
              <w:t>7.4</w:t>
            </w:r>
          </w:p>
        </w:tc>
        <w:tc>
          <w:tcPr>
            <w:tcW w:w="986" w:type="dxa"/>
          </w:tcPr>
          <w:p w14:paraId="703A4943" w14:textId="31F010A5" w:rsidR="007872EC" w:rsidRPr="004026FB" w:rsidRDefault="007872EC" w:rsidP="004D7310">
            <w:pPr>
              <w:pStyle w:val="TableText"/>
              <w:jc w:val="center"/>
            </w:pPr>
            <w:r w:rsidRPr="004026FB">
              <w:t>7.4</w:t>
            </w:r>
          </w:p>
        </w:tc>
      </w:tr>
      <w:tr w:rsidR="007872EC" w:rsidRPr="004026FB" w14:paraId="5C6E284E" w14:textId="77777777" w:rsidTr="00673E79">
        <w:trPr>
          <w:trHeight w:val="366"/>
        </w:trPr>
        <w:tc>
          <w:tcPr>
            <w:tcW w:w="4395" w:type="dxa"/>
          </w:tcPr>
          <w:p w14:paraId="2D149189" w14:textId="61BB5D1C" w:rsidR="007872EC" w:rsidRPr="004026FB" w:rsidRDefault="007872EC" w:rsidP="007872EC">
            <w:pPr>
              <w:pStyle w:val="TableText"/>
            </w:pPr>
            <w:r w:rsidRPr="004026FB">
              <w:t>pH (75</w:t>
            </w:r>
            <w:r w:rsidRPr="004026FB">
              <w:rPr>
                <w:vertAlign w:val="superscript"/>
              </w:rPr>
              <w:t>th</w:t>
            </w:r>
            <w:r w:rsidRPr="004026FB">
              <w:t xml:space="preserve"> percentile)</w:t>
            </w:r>
          </w:p>
        </w:tc>
        <w:tc>
          <w:tcPr>
            <w:tcW w:w="1307" w:type="dxa"/>
          </w:tcPr>
          <w:p w14:paraId="09200851" w14:textId="6E9C51A2" w:rsidR="007872EC" w:rsidRPr="004026FB" w:rsidRDefault="007872EC" w:rsidP="00FD2A06">
            <w:pPr>
              <w:pStyle w:val="TableText"/>
              <w:jc w:val="center"/>
            </w:pPr>
            <w:r w:rsidRPr="004026FB">
              <w:t>≤7.9</w:t>
            </w:r>
          </w:p>
        </w:tc>
        <w:tc>
          <w:tcPr>
            <w:tcW w:w="985" w:type="dxa"/>
          </w:tcPr>
          <w:p w14:paraId="2CEBD335" w14:textId="6E5DBCA2" w:rsidR="007872EC" w:rsidRPr="004026FB" w:rsidRDefault="007872EC" w:rsidP="004D7310">
            <w:pPr>
              <w:pStyle w:val="TableText"/>
              <w:jc w:val="center"/>
            </w:pPr>
            <w:r w:rsidRPr="004026FB">
              <w:t>7.8</w:t>
            </w:r>
          </w:p>
        </w:tc>
        <w:tc>
          <w:tcPr>
            <w:tcW w:w="985" w:type="dxa"/>
          </w:tcPr>
          <w:p w14:paraId="6E12728A" w14:textId="1D1A8C76" w:rsidR="007872EC" w:rsidRPr="004026FB" w:rsidRDefault="007872EC" w:rsidP="004D7310">
            <w:pPr>
              <w:pStyle w:val="TableText"/>
              <w:jc w:val="center"/>
              <w:rPr>
                <w:b/>
                <w:i/>
              </w:rPr>
            </w:pPr>
            <w:r w:rsidRPr="004026FB">
              <w:rPr>
                <w:b/>
                <w:i/>
              </w:rPr>
              <w:t>8.2</w:t>
            </w:r>
          </w:p>
        </w:tc>
        <w:tc>
          <w:tcPr>
            <w:tcW w:w="986" w:type="dxa"/>
          </w:tcPr>
          <w:p w14:paraId="54C1139D" w14:textId="1E8B5D37" w:rsidR="007872EC" w:rsidRPr="004026FB" w:rsidRDefault="007872EC" w:rsidP="004D7310">
            <w:pPr>
              <w:pStyle w:val="TableText"/>
              <w:jc w:val="center"/>
            </w:pPr>
            <w:r w:rsidRPr="004026FB">
              <w:t>7.9</w:t>
            </w:r>
          </w:p>
        </w:tc>
        <w:tc>
          <w:tcPr>
            <w:tcW w:w="985" w:type="dxa"/>
          </w:tcPr>
          <w:p w14:paraId="0E1A5511" w14:textId="6383D25B" w:rsidR="007872EC" w:rsidRPr="004026FB" w:rsidRDefault="007872EC" w:rsidP="004D7310">
            <w:pPr>
              <w:pStyle w:val="TableText"/>
              <w:jc w:val="center"/>
            </w:pPr>
            <w:r w:rsidRPr="004026FB">
              <w:t>7.6</w:t>
            </w:r>
          </w:p>
        </w:tc>
        <w:tc>
          <w:tcPr>
            <w:tcW w:w="985" w:type="dxa"/>
          </w:tcPr>
          <w:p w14:paraId="233E174A" w14:textId="5329E2EC" w:rsidR="007872EC" w:rsidRPr="004026FB" w:rsidRDefault="007872EC" w:rsidP="004D7310">
            <w:pPr>
              <w:pStyle w:val="TableText"/>
              <w:jc w:val="center"/>
            </w:pPr>
            <w:r w:rsidRPr="004026FB">
              <w:t>7.6</w:t>
            </w:r>
          </w:p>
        </w:tc>
        <w:tc>
          <w:tcPr>
            <w:tcW w:w="986" w:type="dxa"/>
          </w:tcPr>
          <w:p w14:paraId="20102882" w14:textId="08F346DD" w:rsidR="007872EC" w:rsidRPr="004026FB" w:rsidRDefault="007872EC" w:rsidP="004D7310">
            <w:pPr>
              <w:pStyle w:val="TableText"/>
              <w:jc w:val="center"/>
              <w:rPr>
                <w:b/>
                <w:i/>
              </w:rPr>
            </w:pPr>
            <w:r w:rsidRPr="004026FB">
              <w:rPr>
                <w:b/>
                <w:i/>
              </w:rPr>
              <w:t>8.3</w:t>
            </w:r>
          </w:p>
        </w:tc>
        <w:tc>
          <w:tcPr>
            <w:tcW w:w="985" w:type="dxa"/>
          </w:tcPr>
          <w:p w14:paraId="26EEC6AA" w14:textId="77F23891" w:rsidR="007872EC" w:rsidRPr="004026FB" w:rsidRDefault="007872EC" w:rsidP="004D7310">
            <w:pPr>
              <w:pStyle w:val="TableText"/>
              <w:jc w:val="center"/>
            </w:pPr>
            <w:r w:rsidRPr="004026FB">
              <w:t>7.7</w:t>
            </w:r>
          </w:p>
        </w:tc>
        <w:tc>
          <w:tcPr>
            <w:tcW w:w="985" w:type="dxa"/>
          </w:tcPr>
          <w:p w14:paraId="31482D84" w14:textId="2270F9EE" w:rsidR="007872EC" w:rsidRPr="004026FB" w:rsidRDefault="007872EC" w:rsidP="004D7310">
            <w:pPr>
              <w:pStyle w:val="TableText"/>
              <w:jc w:val="center"/>
            </w:pPr>
            <w:r w:rsidRPr="004026FB">
              <w:t>7.7</w:t>
            </w:r>
          </w:p>
        </w:tc>
        <w:tc>
          <w:tcPr>
            <w:tcW w:w="986" w:type="dxa"/>
          </w:tcPr>
          <w:p w14:paraId="3906FEEA" w14:textId="6330DEA0" w:rsidR="007872EC" w:rsidRPr="004026FB" w:rsidRDefault="007872EC" w:rsidP="004D7310">
            <w:pPr>
              <w:pStyle w:val="TableText"/>
              <w:jc w:val="center"/>
            </w:pPr>
            <w:r w:rsidRPr="004026FB">
              <w:t>7.7</w:t>
            </w:r>
          </w:p>
        </w:tc>
      </w:tr>
      <w:tr w:rsidR="007872EC" w:rsidRPr="004026FB" w14:paraId="1C14CA7B" w14:textId="77777777" w:rsidTr="00673E79">
        <w:trPr>
          <w:trHeight w:val="366"/>
        </w:trPr>
        <w:tc>
          <w:tcPr>
            <w:tcW w:w="4395" w:type="dxa"/>
          </w:tcPr>
          <w:p w14:paraId="72F59B96" w14:textId="64D97EAF" w:rsidR="007872EC" w:rsidRPr="004026FB" w:rsidRDefault="007872EC" w:rsidP="007872EC">
            <w:pPr>
              <w:pStyle w:val="TableText"/>
            </w:pPr>
            <w:r w:rsidRPr="004026FB">
              <w:t>Turbidity (75</w:t>
            </w:r>
            <w:r w:rsidRPr="004026FB">
              <w:rPr>
                <w:vertAlign w:val="superscript"/>
              </w:rPr>
              <w:t>th</w:t>
            </w:r>
            <w:r w:rsidRPr="004026FB">
              <w:t xml:space="preserve"> percentile)</w:t>
            </w:r>
          </w:p>
        </w:tc>
        <w:tc>
          <w:tcPr>
            <w:tcW w:w="1307" w:type="dxa"/>
          </w:tcPr>
          <w:p w14:paraId="535EBD2E" w14:textId="7DF4A643" w:rsidR="007872EC" w:rsidRPr="004026FB" w:rsidRDefault="007872EC" w:rsidP="00FD2A06">
            <w:pPr>
              <w:pStyle w:val="TableText"/>
              <w:jc w:val="center"/>
            </w:pPr>
            <w:r w:rsidRPr="004026FB">
              <w:t>≤35 NTU</w:t>
            </w:r>
          </w:p>
        </w:tc>
        <w:tc>
          <w:tcPr>
            <w:tcW w:w="985" w:type="dxa"/>
          </w:tcPr>
          <w:p w14:paraId="748C78EE" w14:textId="093DB9EC" w:rsidR="007872EC" w:rsidRPr="004026FB" w:rsidRDefault="007872EC" w:rsidP="004D7310">
            <w:pPr>
              <w:pStyle w:val="TableText"/>
              <w:jc w:val="center"/>
            </w:pPr>
            <w:r w:rsidRPr="004026FB">
              <w:t>30</w:t>
            </w:r>
          </w:p>
        </w:tc>
        <w:tc>
          <w:tcPr>
            <w:tcW w:w="985" w:type="dxa"/>
          </w:tcPr>
          <w:p w14:paraId="4C083FE4" w14:textId="20125233" w:rsidR="007872EC" w:rsidRPr="004026FB" w:rsidRDefault="007872EC" w:rsidP="004D7310">
            <w:pPr>
              <w:pStyle w:val="TableText"/>
              <w:jc w:val="center"/>
              <w:rPr>
                <w:b/>
                <w:i/>
              </w:rPr>
            </w:pPr>
            <w:r w:rsidRPr="004026FB">
              <w:rPr>
                <w:b/>
                <w:i/>
              </w:rPr>
              <w:t>40</w:t>
            </w:r>
          </w:p>
        </w:tc>
        <w:tc>
          <w:tcPr>
            <w:tcW w:w="986" w:type="dxa"/>
          </w:tcPr>
          <w:p w14:paraId="7387EA5D" w14:textId="79E84298" w:rsidR="007872EC" w:rsidRPr="004026FB" w:rsidRDefault="007872EC" w:rsidP="004D7310">
            <w:pPr>
              <w:pStyle w:val="TableText"/>
              <w:jc w:val="center"/>
            </w:pPr>
            <w:r w:rsidRPr="004026FB">
              <w:t>13</w:t>
            </w:r>
          </w:p>
        </w:tc>
        <w:tc>
          <w:tcPr>
            <w:tcW w:w="985" w:type="dxa"/>
          </w:tcPr>
          <w:p w14:paraId="4036D823" w14:textId="5E4FB9C7" w:rsidR="007872EC" w:rsidRPr="004026FB" w:rsidRDefault="007872EC" w:rsidP="004D7310">
            <w:pPr>
              <w:pStyle w:val="TableText"/>
              <w:jc w:val="center"/>
            </w:pPr>
            <w:r w:rsidRPr="004026FB">
              <w:t>12</w:t>
            </w:r>
          </w:p>
        </w:tc>
        <w:tc>
          <w:tcPr>
            <w:tcW w:w="985" w:type="dxa"/>
          </w:tcPr>
          <w:p w14:paraId="130E955A" w14:textId="3396EB2C" w:rsidR="007872EC" w:rsidRPr="004026FB" w:rsidRDefault="007872EC" w:rsidP="004D7310">
            <w:pPr>
              <w:pStyle w:val="TableText"/>
              <w:jc w:val="center"/>
              <w:rPr>
                <w:b/>
                <w:i/>
              </w:rPr>
            </w:pPr>
            <w:r w:rsidRPr="004026FB">
              <w:rPr>
                <w:b/>
                <w:i/>
              </w:rPr>
              <w:t>28</w:t>
            </w:r>
          </w:p>
        </w:tc>
        <w:tc>
          <w:tcPr>
            <w:tcW w:w="986" w:type="dxa"/>
          </w:tcPr>
          <w:p w14:paraId="318460FB" w14:textId="3FC8D5B2" w:rsidR="007872EC" w:rsidRPr="004026FB" w:rsidRDefault="007872EC" w:rsidP="004D7310">
            <w:pPr>
              <w:pStyle w:val="TableText"/>
              <w:jc w:val="center"/>
              <w:rPr>
                <w:b/>
                <w:i/>
              </w:rPr>
            </w:pPr>
            <w:r w:rsidRPr="004026FB">
              <w:rPr>
                <w:b/>
                <w:i/>
              </w:rPr>
              <w:t>108</w:t>
            </w:r>
          </w:p>
        </w:tc>
        <w:tc>
          <w:tcPr>
            <w:tcW w:w="985" w:type="dxa"/>
          </w:tcPr>
          <w:p w14:paraId="3E895B5E" w14:textId="16BAD7EC" w:rsidR="007872EC" w:rsidRPr="004026FB" w:rsidRDefault="007872EC" w:rsidP="004D7310">
            <w:pPr>
              <w:pStyle w:val="TableText"/>
              <w:jc w:val="center"/>
              <w:rPr>
                <w:b/>
                <w:i/>
              </w:rPr>
            </w:pPr>
            <w:r w:rsidRPr="004026FB">
              <w:rPr>
                <w:b/>
                <w:i/>
              </w:rPr>
              <w:t>40</w:t>
            </w:r>
          </w:p>
        </w:tc>
        <w:tc>
          <w:tcPr>
            <w:tcW w:w="985" w:type="dxa"/>
          </w:tcPr>
          <w:p w14:paraId="36830B5A" w14:textId="18FA2C70" w:rsidR="007872EC" w:rsidRPr="004026FB" w:rsidRDefault="007872EC" w:rsidP="004D7310">
            <w:pPr>
              <w:pStyle w:val="TableText"/>
              <w:jc w:val="center"/>
              <w:rPr>
                <w:b/>
                <w:i/>
              </w:rPr>
            </w:pPr>
            <w:r w:rsidRPr="004026FB">
              <w:rPr>
                <w:b/>
                <w:i/>
              </w:rPr>
              <w:t>216</w:t>
            </w:r>
          </w:p>
        </w:tc>
        <w:tc>
          <w:tcPr>
            <w:tcW w:w="986" w:type="dxa"/>
          </w:tcPr>
          <w:p w14:paraId="5C574C3E" w14:textId="508784E6" w:rsidR="007872EC" w:rsidRPr="004026FB" w:rsidRDefault="007872EC" w:rsidP="004D7310">
            <w:pPr>
              <w:pStyle w:val="TableText"/>
              <w:jc w:val="center"/>
            </w:pPr>
            <w:r w:rsidRPr="004026FB">
              <w:t>52</w:t>
            </w:r>
          </w:p>
        </w:tc>
      </w:tr>
      <w:tr w:rsidR="007872EC" w:rsidRPr="004026FB" w14:paraId="6EFE3ED0" w14:textId="77777777" w:rsidTr="00673E79">
        <w:trPr>
          <w:trHeight w:val="366"/>
        </w:trPr>
        <w:tc>
          <w:tcPr>
            <w:tcW w:w="4395" w:type="dxa"/>
          </w:tcPr>
          <w:p w14:paraId="25924183" w14:textId="7A025EF1" w:rsidR="007872EC" w:rsidRPr="004026FB" w:rsidRDefault="007872EC" w:rsidP="007872EC">
            <w:pPr>
              <w:pStyle w:val="TableText"/>
            </w:pPr>
            <w:r w:rsidRPr="004026FB">
              <w:t>Total nitrogen (75</w:t>
            </w:r>
            <w:r w:rsidRPr="004026FB">
              <w:rPr>
                <w:vertAlign w:val="superscript"/>
              </w:rPr>
              <w:t>th</w:t>
            </w:r>
            <w:r w:rsidRPr="004026FB">
              <w:t xml:space="preserve"> percentile)</w:t>
            </w:r>
          </w:p>
        </w:tc>
        <w:tc>
          <w:tcPr>
            <w:tcW w:w="1307" w:type="dxa"/>
          </w:tcPr>
          <w:p w14:paraId="76E802B2" w14:textId="2D9B66A1" w:rsidR="007872EC" w:rsidRPr="004026FB" w:rsidRDefault="007872EC" w:rsidP="00FD2A06">
            <w:pPr>
              <w:pStyle w:val="TableText"/>
              <w:jc w:val="center"/>
            </w:pPr>
            <w:r w:rsidRPr="004026FB">
              <w:t>≤1300 µg/l</w:t>
            </w:r>
          </w:p>
        </w:tc>
        <w:tc>
          <w:tcPr>
            <w:tcW w:w="985" w:type="dxa"/>
          </w:tcPr>
          <w:p w14:paraId="3DBC6B23" w14:textId="26691B87" w:rsidR="007872EC" w:rsidRPr="004026FB" w:rsidRDefault="00D56A15" w:rsidP="004D7310">
            <w:pPr>
              <w:pStyle w:val="TableText"/>
              <w:jc w:val="center"/>
            </w:pPr>
            <w:r w:rsidRPr="004026FB">
              <w:t>NRD</w:t>
            </w:r>
          </w:p>
        </w:tc>
        <w:tc>
          <w:tcPr>
            <w:tcW w:w="985" w:type="dxa"/>
          </w:tcPr>
          <w:p w14:paraId="0066FCF4" w14:textId="7686BA28" w:rsidR="007872EC" w:rsidRPr="004026FB" w:rsidRDefault="00D56A15" w:rsidP="004D7310">
            <w:pPr>
              <w:pStyle w:val="TableText"/>
              <w:jc w:val="center"/>
            </w:pPr>
            <w:r w:rsidRPr="004026FB">
              <w:t>NRD</w:t>
            </w:r>
          </w:p>
        </w:tc>
        <w:tc>
          <w:tcPr>
            <w:tcW w:w="986" w:type="dxa"/>
          </w:tcPr>
          <w:p w14:paraId="0A02CAF3" w14:textId="37807A33" w:rsidR="007872EC" w:rsidRPr="004026FB" w:rsidRDefault="00D56A15" w:rsidP="004D7310">
            <w:pPr>
              <w:pStyle w:val="TableText"/>
              <w:jc w:val="center"/>
            </w:pPr>
            <w:r w:rsidRPr="004026FB">
              <w:t>NRD</w:t>
            </w:r>
          </w:p>
        </w:tc>
        <w:tc>
          <w:tcPr>
            <w:tcW w:w="985" w:type="dxa"/>
          </w:tcPr>
          <w:p w14:paraId="2830897F" w14:textId="3F9B8E8D" w:rsidR="007872EC" w:rsidRPr="004026FB" w:rsidRDefault="007872EC" w:rsidP="004D7310">
            <w:pPr>
              <w:pStyle w:val="TableText"/>
              <w:jc w:val="center"/>
            </w:pPr>
            <w:r w:rsidRPr="004026FB">
              <w:t>700</w:t>
            </w:r>
          </w:p>
        </w:tc>
        <w:tc>
          <w:tcPr>
            <w:tcW w:w="985" w:type="dxa"/>
          </w:tcPr>
          <w:p w14:paraId="69179E59" w14:textId="4DB87EEE" w:rsidR="007872EC" w:rsidRPr="004026FB" w:rsidRDefault="007872EC" w:rsidP="004D7310">
            <w:pPr>
              <w:pStyle w:val="TableText"/>
              <w:jc w:val="center"/>
            </w:pPr>
            <w:r w:rsidRPr="004026FB">
              <w:t>900</w:t>
            </w:r>
          </w:p>
        </w:tc>
        <w:tc>
          <w:tcPr>
            <w:tcW w:w="986" w:type="dxa"/>
          </w:tcPr>
          <w:p w14:paraId="4A22A964" w14:textId="39EA43C8" w:rsidR="007872EC" w:rsidRPr="004026FB" w:rsidRDefault="007872EC" w:rsidP="004D7310">
            <w:pPr>
              <w:pStyle w:val="TableText"/>
              <w:jc w:val="center"/>
            </w:pPr>
            <w:r w:rsidRPr="004026FB">
              <w:t>1,060</w:t>
            </w:r>
          </w:p>
        </w:tc>
        <w:tc>
          <w:tcPr>
            <w:tcW w:w="985" w:type="dxa"/>
          </w:tcPr>
          <w:p w14:paraId="2EC93673" w14:textId="6B3728E5" w:rsidR="007872EC" w:rsidRPr="004026FB" w:rsidRDefault="007872EC" w:rsidP="004D7310">
            <w:pPr>
              <w:pStyle w:val="TableText"/>
              <w:jc w:val="center"/>
            </w:pPr>
            <w:r w:rsidRPr="004026FB">
              <w:t>1,063</w:t>
            </w:r>
          </w:p>
        </w:tc>
        <w:tc>
          <w:tcPr>
            <w:tcW w:w="985" w:type="dxa"/>
          </w:tcPr>
          <w:p w14:paraId="783A9A70" w14:textId="7CC8BFF0" w:rsidR="007872EC" w:rsidRPr="004026FB" w:rsidRDefault="00D56A15" w:rsidP="004D7310">
            <w:pPr>
              <w:pStyle w:val="TableText"/>
              <w:jc w:val="center"/>
            </w:pPr>
            <w:r w:rsidRPr="004026FB">
              <w:t>NRD</w:t>
            </w:r>
          </w:p>
        </w:tc>
        <w:tc>
          <w:tcPr>
            <w:tcW w:w="986" w:type="dxa"/>
          </w:tcPr>
          <w:p w14:paraId="7B43B185" w14:textId="3C54959D" w:rsidR="007872EC" w:rsidRPr="004026FB" w:rsidRDefault="007872EC" w:rsidP="004D7310">
            <w:pPr>
              <w:pStyle w:val="TableText"/>
              <w:jc w:val="center"/>
            </w:pPr>
            <w:r w:rsidRPr="004026FB">
              <w:t>1,100</w:t>
            </w:r>
          </w:p>
        </w:tc>
      </w:tr>
      <w:tr w:rsidR="007872EC" w:rsidRPr="004026FB" w14:paraId="4207C942" w14:textId="77777777" w:rsidTr="00673E79">
        <w:trPr>
          <w:trHeight w:val="366"/>
        </w:trPr>
        <w:tc>
          <w:tcPr>
            <w:tcW w:w="4395" w:type="dxa"/>
          </w:tcPr>
          <w:p w14:paraId="00CDC945" w14:textId="13FC8134" w:rsidR="007872EC" w:rsidRPr="004026FB" w:rsidRDefault="007872EC" w:rsidP="007872EC">
            <w:pPr>
              <w:pStyle w:val="TableText"/>
            </w:pPr>
            <w:r w:rsidRPr="004026FB">
              <w:t>Total phosphorous (75</w:t>
            </w:r>
            <w:r w:rsidRPr="004026FB">
              <w:rPr>
                <w:vertAlign w:val="superscript"/>
              </w:rPr>
              <w:t>th</w:t>
            </w:r>
            <w:r w:rsidRPr="004026FB">
              <w:t xml:space="preserve"> percentile)</w:t>
            </w:r>
          </w:p>
        </w:tc>
        <w:tc>
          <w:tcPr>
            <w:tcW w:w="1307" w:type="dxa"/>
          </w:tcPr>
          <w:p w14:paraId="71AF18D5" w14:textId="3DBD05EE" w:rsidR="007872EC" w:rsidRPr="004026FB" w:rsidRDefault="007872EC" w:rsidP="00FD2A06">
            <w:pPr>
              <w:pStyle w:val="TableText"/>
              <w:jc w:val="center"/>
            </w:pPr>
            <w:r w:rsidRPr="004026FB">
              <w:t>≤110 µg/l</w:t>
            </w:r>
          </w:p>
        </w:tc>
        <w:tc>
          <w:tcPr>
            <w:tcW w:w="985" w:type="dxa"/>
          </w:tcPr>
          <w:p w14:paraId="65588921" w14:textId="39F57D05" w:rsidR="007872EC" w:rsidRPr="004026FB" w:rsidRDefault="00D56A15" w:rsidP="004D7310">
            <w:pPr>
              <w:pStyle w:val="TableText"/>
              <w:jc w:val="center"/>
            </w:pPr>
            <w:r w:rsidRPr="004026FB">
              <w:t>NRD</w:t>
            </w:r>
          </w:p>
        </w:tc>
        <w:tc>
          <w:tcPr>
            <w:tcW w:w="985" w:type="dxa"/>
          </w:tcPr>
          <w:p w14:paraId="1091B5FF" w14:textId="7F5EC547" w:rsidR="007872EC" w:rsidRPr="004026FB" w:rsidRDefault="00D56A15" w:rsidP="004D7310">
            <w:pPr>
              <w:pStyle w:val="TableText"/>
              <w:jc w:val="center"/>
            </w:pPr>
            <w:r w:rsidRPr="004026FB">
              <w:t>NRD</w:t>
            </w:r>
          </w:p>
        </w:tc>
        <w:tc>
          <w:tcPr>
            <w:tcW w:w="986" w:type="dxa"/>
          </w:tcPr>
          <w:p w14:paraId="40FFA68B" w14:textId="35D98F23" w:rsidR="007872EC" w:rsidRPr="004026FB" w:rsidRDefault="00D56A15" w:rsidP="004D7310">
            <w:pPr>
              <w:pStyle w:val="TableText"/>
              <w:jc w:val="center"/>
            </w:pPr>
            <w:r w:rsidRPr="004026FB">
              <w:t>NRD</w:t>
            </w:r>
          </w:p>
        </w:tc>
        <w:tc>
          <w:tcPr>
            <w:tcW w:w="985" w:type="dxa"/>
          </w:tcPr>
          <w:p w14:paraId="2AA4F119" w14:textId="6828575F" w:rsidR="007872EC" w:rsidRPr="004026FB" w:rsidRDefault="007872EC" w:rsidP="004D7310">
            <w:pPr>
              <w:pStyle w:val="TableText"/>
              <w:jc w:val="center"/>
            </w:pPr>
            <w:r w:rsidRPr="004026FB">
              <w:t>30</w:t>
            </w:r>
          </w:p>
        </w:tc>
        <w:tc>
          <w:tcPr>
            <w:tcW w:w="985" w:type="dxa"/>
          </w:tcPr>
          <w:p w14:paraId="14C21451" w14:textId="6EACB58B" w:rsidR="007872EC" w:rsidRPr="004026FB" w:rsidRDefault="007872EC" w:rsidP="004D7310">
            <w:pPr>
              <w:pStyle w:val="TableText"/>
              <w:jc w:val="center"/>
            </w:pPr>
            <w:r w:rsidRPr="004026FB">
              <w:t>50</w:t>
            </w:r>
          </w:p>
        </w:tc>
        <w:tc>
          <w:tcPr>
            <w:tcW w:w="986" w:type="dxa"/>
          </w:tcPr>
          <w:p w14:paraId="74921ECB" w14:textId="72BD941F" w:rsidR="007872EC" w:rsidRPr="004026FB" w:rsidRDefault="007872EC" w:rsidP="004D7310">
            <w:pPr>
              <w:pStyle w:val="TableText"/>
              <w:jc w:val="center"/>
            </w:pPr>
            <w:r w:rsidRPr="004026FB">
              <w:t>54</w:t>
            </w:r>
          </w:p>
        </w:tc>
        <w:tc>
          <w:tcPr>
            <w:tcW w:w="985" w:type="dxa"/>
          </w:tcPr>
          <w:p w14:paraId="24B45ADE" w14:textId="6DE86890" w:rsidR="007872EC" w:rsidRPr="004026FB" w:rsidRDefault="007872EC" w:rsidP="004D7310">
            <w:pPr>
              <w:pStyle w:val="TableText"/>
              <w:jc w:val="center"/>
            </w:pPr>
            <w:r w:rsidRPr="004026FB">
              <w:t>96</w:t>
            </w:r>
          </w:p>
        </w:tc>
        <w:tc>
          <w:tcPr>
            <w:tcW w:w="985" w:type="dxa"/>
          </w:tcPr>
          <w:p w14:paraId="360EB9B6" w14:textId="7F61C24B" w:rsidR="007872EC" w:rsidRPr="004026FB" w:rsidRDefault="00D56A15" w:rsidP="004D7310">
            <w:pPr>
              <w:pStyle w:val="TableText"/>
              <w:jc w:val="center"/>
            </w:pPr>
            <w:r w:rsidRPr="004026FB">
              <w:t>NRD</w:t>
            </w:r>
          </w:p>
        </w:tc>
        <w:tc>
          <w:tcPr>
            <w:tcW w:w="986" w:type="dxa"/>
          </w:tcPr>
          <w:p w14:paraId="6DF74465" w14:textId="0EAB1F92" w:rsidR="007872EC" w:rsidRPr="004026FB" w:rsidRDefault="007872EC" w:rsidP="004D7310">
            <w:pPr>
              <w:pStyle w:val="TableText"/>
              <w:jc w:val="center"/>
            </w:pPr>
            <w:r w:rsidRPr="004026FB">
              <w:t>90</w:t>
            </w:r>
          </w:p>
        </w:tc>
      </w:tr>
    </w:tbl>
    <w:p w14:paraId="368D01AF" w14:textId="0565382D" w:rsidR="00D56A15" w:rsidRPr="004026FB" w:rsidRDefault="00110203" w:rsidP="00673E79">
      <w:pPr>
        <w:pStyle w:val="Source"/>
        <w:spacing w:after="0"/>
      </w:pPr>
      <w:r w:rsidRPr="004026FB">
        <w:t>Notes:</w:t>
      </w:r>
    </w:p>
    <w:p w14:paraId="1728C6D5" w14:textId="618072F5" w:rsidR="00D56A15" w:rsidRPr="004026FB" w:rsidRDefault="00D56A15" w:rsidP="00673E79">
      <w:pPr>
        <w:pStyle w:val="Source"/>
        <w:spacing w:before="0" w:after="0"/>
      </w:pPr>
      <w:r w:rsidRPr="004026FB">
        <w:t>NRD = No recorded data</w:t>
      </w:r>
    </w:p>
    <w:p w14:paraId="12DA95EE" w14:textId="216EE67D" w:rsidR="00110203" w:rsidRPr="004026FB" w:rsidRDefault="00110203" w:rsidP="00673E79">
      <w:pPr>
        <w:pStyle w:val="Source"/>
        <w:spacing w:before="0" w:after="0"/>
      </w:pPr>
      <w:r w:rsidRPr="004026FB">
        <w:t xml:space="preserve">Results in </w:t>
      </w:r>
      <w:r w:rsidRPr="004026FB">
        <w:rPr>
          <w:b/>
          <w:i/>
        </w:rPr>
        <w:t>bold italics</w:t>
      </w:r>
      <w:r w:rsidRPr="004026FB">
        <w:t xml:space="preserve"> do not meet SEPP (Waters) objective</w:t>
      </w:r>
    </w:p>
    <w:p w14:paraId="5138CEF0" w14:textId="1B39766F" w:rsidR="00D171F1" w:rsidRPr="004026FB" w:rsidRDefault="00D56A15" w:rsidP="00673E79">
      <w:pPr>
        <w:pStyle w:val="Source"/>
        <w:spacing w:before="0"/>
      </w:pPr>
      <w:r w:rsidRPr="004026FB">
        <w:t>(</w:t>
      </w:r>
      <w:r w:rsidR="00110203" w:rsidRPr="004026FB">
        <w:t>1</w:t>
      </w:r>
      <w:r w:rsidRPr="004026FB">
        <w:t>)</w:t>
      </w:r>
      <w:r w:rsidR="00110203" w:rsidRPr="004026FB">
        <w:t xml:space="preserve"> Waterwatch samples recorded dissolved oxygen in mg/L and were converted to percentage saturation to compare with the SEPP (Waters) objectives</w:t>
      </w:r>
    </w:p>
    <w:p w14:paraId="26C4D5D6" w14:textId="77777777" w:rsidR="00110203" w:rsidRPr="004026FB" w:rsidRDefault="00110203" w:rsidP="00673E79">
      <w:pPr>
        <w:pStyle w:val="Source"/>
        <w:spacing w:before="0"/>
        <w:sectPr w:rsidR="00110203" w:rsidRPr="004026FB" w:rsidSect="00110203">
          <w:headerReference w:type="default" r:id="rId39"/>
          <w:pgSz w:w="16838" w:h="11906" w:orient="landscape" w:code="9"/>
          <w:pgMar w:top="1134" w:right="1134" w:bottom="1134" w:left="1134" w:header="567" w:footer="567" w:gutter="567"/>
          <w:pgNumType w:chapStyle="1" w:chapSep="enDash"/>
          <w:cols w:space="708"/>
          <w:docGrid w:linePitch="360"/>
        </w:sectPr>
      </w:pPr>
    </w:p>
    <w:p w14:paraId="25BD70B1" w14:textId="77777777" w:rsidR="007872EC" w:rsidRPr="004026FB" w:rsidRDefault="007872EC" w:rsidP="007872EC">
      <w:pPr>
        <w:pStyle w:val="Heading3"/>
      </w:pPr>
      <w:bookmarkStart w:id="109" w:name="_Ref1084315"/>
      <w:bookmarkStart w:id="110" w:name="_Toc3641380"/>
      <w:bookmarkStart w:id="111" w:name="_Toc19489082"/>
      <w:bookmarkStart w:id="112" w:name="_Ref532480577"/>
      <w:r w:rsidRPr="004026FB">
        <w:lastRenderedPageBreak/>
        <w:t>Impacts on surface water quality</w:t>
      </w:r>
      <w:bookmarkEnd w:id="109"/>
      <w:bookmarkEnd w:id="110"/>
      <w:bookmarkEnd w:id="111"/>
      <w:r w:rsidRPr="004026FB">
        <w:t xml:space="preserve"> </w:t>
      </w:r>
      <w:bookmarkEnd w:id="112"/>
    </w:p>
    <w:p w14:paraId="6F98FF6E" w14:textId="77777777" w:rsidR="007872EC" w:rsidRPr="004026FB" w:rsidRDefault="007872EC" w:rsidP="007872EC">
      <w:pPr>
        <w:pStyle w:val="BodyText"/>
      </w:pPr>
      <w:r w:rsidRPr="004026FB">
        <w:t xml:space="preserve">This subsection responds to items (a), part of (b), (c), (d) and (f) in Section 2.5.2.2 of the PER Guidelines that relate to surface water quality. </w:t>
      </w:r>
    </w:p>
    <w:p w14:paraId="5B8C0397" w14:textId="77777777" w:rsidR="007872EC" w:rsidRPr="004026FB" w:rsidRDefault="007872EC" w:rsidP="007872EC">
      <w:pPr>
        <w:pStyle w:val="Heading4"/>
      </w:pPr>
      <w:r w:rsidRPr="004026FB">
        <w:t>Impacts and mitigation</w:t>
      </w:r>
    </w:p>
    <w:p w14:paraId="25728F99" w14:textId="77777777" w:rsidR="007872EC" w:rsidRPr="004026FB" w:rsidRDefault="007872EC" w:rsidP="007872EC">
      <w:pPr>
        <w:pStyle w:val="BodyText"/>
      </w:pPr>
      <w:r w:rsidRPr="004026FB">
        <w:t>The potential for changes in surface water quality sufficient to affect MNES is generally limited, not only by the mitigation measures but also by the urban nature of the existing waterways and the significant dilution of potential pollutants by the time they might impact MNES.</w:t>
      </w:r>
    </w:p>
    <w:p w14:paraId="36FBAEF5" w14:textId="77777777" w:rsidR="007872EC" w:rsidRPr="004026FB" w:rsidRDefault="007872EC" w:rsidP="007872EC">
      <w:pPr>
        <w:pStyle w:val="Heading5"/>
        <w:rPr>
          <w:i/>
        </w:rPr>
      </w:pPr>
      <w:r w:rsidRPr="004026FB">
        <w:rPr>
          <w:i/>
        </w:rPr>
        <w:t xml:space="preserve">Construction </w:t>
      </w:r>
    </w:p>
    <w:p w14:paraId="7073C6B1" w14:textId="77777777" w:rsidR="007872EC" w:rsidRPr="004026FB" w:rsidRDefault="007872EC" w:rsidP="007872EC">
      <w:pPr>
        <w:pStyle w:val="BodyText"/>
      </w:pPr>
      <w:r w:rsidRPr="004026FB">
        <w:t xml:space="preserve">In the absence of adequate controls, construction works have the potential to result in spills and/or to expose and mobilise sediment and pollutants which may find their way into waterways. The potential for pollution of waterways during construction would be controlled and managed through a Surface Water Management Plan. </w:t>
      </w:r>
    </w:p>
    <w:p w14:paraId="512450AF" w14:textId="1AB5D83B" w:rsidR="007872EC" w:rsidRPr="004026FB" w:rsidRDefault="007872EC" w:rsidP="007872EC">
      <w:pPr>
        <w:pStyle w:val="BodyText"/>
      </w:pPr>
      <w:r w:rsidRPr="004026FB">
        <w:t>While the greatest potential for surface water quality impacts is related to construction works in close proximity to the waterways, adverse water quality outcomes could result from construction activity anywhere within the catchments. The potential for construction works to affect habitat and water quality are limited to the duration of the works and would be limited through detailed design and implementing measures such as:</w:t>
      </w:r>
    </w:p>
    <w:p w14:paraId="79383D69" w14:textId="77777777" w:rsidR="007872EC" w:rsidRPr="004026FB" w:rsidRDefault="007872EC" w:rsidP="007872EC">
      <w:pPr>
        <w:pStyle w:val="BodyBullet1"/>
      </w:pPr>
      <w:r w:rsidRPr="004026FB">
        <w:t>Where practical, works would be scheduled to reduce the likelihood of interaction with significant flows, noting that some aspects of construction would likely exist for more than several years</w:t>
      </w:r>
    </w:p>
    <w:p w14:paraId="7D98DE4D" w14:textId="77777777" w:rsidR="007872EC" w:rsidRPr="004026FB" w:rsidRDefault="007872EC" w:rsidP="007872EC">
      <w:pPr>
        <w:pStyle w:val="BodyBullet1"/>
      </w:pPr>
      <w:r w:rsidRPr="004026FB">
        <w:t>Appropriately managing the potential for the mobilisation of sediment or other materials (including hazardous materials) by implementing:</w:t>
      </w:r>
    </w:p>
    <w:p w14:paraId="6C95253C" w14:textId="77777777" w:rsidR="007872EC" w:rsidRPr="004026FB" w:rsidRDefault="007872EC" w:rsidP="007872EC">
      <w:pPr>
        <w:pStyle w:val="BodyBullet2"/>
      </w:pPr>
      <w:r w:rsidRPr="004026FB">
        <w:t>Hazard prevention (such as off-site servicing to reduce potential for spills)</w:t>
      </w:r>
    </w:p>
    <w:p w14:paraId="30C252FA" w14:textId="77777777" w:rsidR="007872EC" w:rsidRPr="004026FB" w:rsidRDefault="007872EC" w:rsidP="007872EC">
      <w:pPr>
        <w:pStyle w:val="BodyBullet2"/>
      </w:pPr>
      <w:r w:rsidRPr="004026FB">
        <w:t>Providing wash down areas, bunds around stockpiles, sedimentation and or holding ponds</w:t>
      </w:r>
    </w:p>
    <w:p w14:paraId="29F6151E" w14:textId="77777777" w:rsidR="007872EC" w:rsidRPr="004026FB" w:rsidRDefault="007872EC" w:rsidP="007872EC">
      <w:pPr>
        <w:pStyle w:val="BodyBullet2"/>
      </w:pPr>
      <w:r w:rsidRPr="004026FB">
        <w:t xml:space="preserve">Careful location and protection of access tracks, stockpiles, plant and sheds </w:t>
      </w:r>
    </w:p>
    <w:p w14:paraId="6094E0A3" w14:textId="77777777" w:rsidR="007872EC" w:rsidRPr="004026FB" w:rsidRDefault="007872EC" w:rsidP="007872EC">
      <w:pPr>
        <w:pStyle w:val="BodyBullet1"/>
      </w:pPr>
      <w:r w:rsidRPr="004026FB">
        <w:t xml:space="preserve">Offsetting the likely loss of attenuation due to the piping of overland flows with additional appropriately designed storages to manage the potential for downstream flooding or erosion which may otherwise result. </w:t>
      </w:r>
    </w:p>
    <w:p w14:paraId="4A7AA4A8" w14:textId="27813882" w:rsidR="007872EC" w:rsidRPr="004026FB" w:rsidRDefault="007872EC" w:rsidP="00716B85">
      <w:pPr>
        <w:pStyle w:val="BodyText"/>
      </w:pPr>
      <w:r w:rsidRPr="004026FB">
        <w:lastRenderedPageBreak/>
        <w:t>A surface water monitoring program would be developed and implemented</w:t>
      </w:r>
      <w:r w:rsidR="00716B85" w:rsidRPr="004026FB">
        <w:t xml:space="preserve"> prior to the commencement of, </w:t>
      </w:r>
      <w:r w:rsidRPr="004026FB">
        <w:t xml:space="preserve">and during the construction of North East Link. This program would assess surface water quality </w:t>
      </w:r>
      <w:r w:rsidR="00716B85" w:rsidRPr="004026FB">
        <w:t xml:space="preserve">in multiple locations at </w:t>
      </w:r>
      <w:r w:rsidRPr="004026FB">
        <w:t>suitable distance</w:t>
      </w:r>
      <w:r w:rsidR="00716B85" w:rsidRPr="004026FB">
        <w:t>s</w:t>
      </w:r>
      <w:r w:rsidRPr="004026FB">
        <w:t xml:space="preserve"> upstream and downstream to establish baseline conditions and to understand the construction impacts on receiving waters. The monitoring program would be developed in consultation with EPA</w:t>
      </w:r>
      <w:r w:rsidR="00237873" w:rsidRPr="004026FB">
        <w:t> </w:t>
      </w:r>
      <w:r w:rsidRPr="004026FB">
        <w:t>Victoria and Melbourne Water</w:t>
      </w:r>
      <w:r w:rsidR="00716B85" w:rsidRPr="004026FB">
        <w:t xml:space="preserve"> and as appropriate with reference to applicable policies and guidelines, including SEPP (Waters of Victoria), Victorian Stormwater Committee’s Victoria Best Practice Environmental Management Guidelines for Urban Stormwater (as published by CSIRO in 1999 with assistance from EPA Victoria and others). This </w:t>
      </w:r>
      <w:r w:rsidRPr="004026FB">
        <w:t xml:space="preserve">would </w:t>
      </w:r>
      <w:r w:rsidR="00716B85" w:rsidRPr="004026FB">
        <w:t xml:space="preserve">also </w:t>
      </w:r>
      <w:r w:rsidRPr="004026FB">
        <w:t xml:space="preserve">inform the development of the Surface Water Management Plan. </w:t>
      </w:r>
    </w:p>
    <w:p w14:paraId="5E0B99E5" w14:textId="72B649A6" w:rsidR="007872EC" w:rsidRPr="004026FB" w:rsidRDefault="007872EC" w:rsidP="007872EC">
      <w:pPr>
        <w:pStyle w:val="BodyText"/>
      </w:pPr>
      <w:r w:rsidRPr="004026FB">
        <w:t>Monitoring locations would be identified during the preparation of the Surface Water Management</w:t>
      </w:r>
      <w:r w:rsidR="00237873" w:rsidRPr="004026FB">
        <w:t> </w:t>
      </w:r>
      <w:r w:rsidRPr="004026FB">
        <w:t>Plan.</w:t>
      </w:r>
    </w:p>
    <w:p w14:paraId="7E1BD05D" w14:textId="77777777" w:rsidR="007872EC" w:rsidRPr="004026FB" w:rsidRDefault="007872EC" w:rsidP="007872EC">
      <w:pPr>
        <w:pStyle w:val="BodyText"/>
      </w:pPr>
      <w:r w:rsidRPr="004026FB">
        <w:t>The Surface Water Management Plan would set out requirements for:</w:t>
      </w:r>
    </w:p>
    <w:p w14:paraId="0C156863" w14:textId="4E35D33B" w:rsidR="007872EC" w:rsidRPr="004026FB" w:rsidRDefault="007872EC" w:rsidP="007872EC">
      <w:pPr>
        <w:pStyle w:val="BodyBullet1"/>
      </w:pPr>
      <w:r w:rsidRPr="004026FB">
        <w:t>Erosion and sediment control measures</w:t>
      </w:r>
    </w:p>
    <w:p w14:paraId="2C526752" w14:textId="77777777" w:rsidR="007872EC" w:rsidRPr="004026FB" w:rsidRDefault="007872EC" w:rsidP="007872EC">
      <w:pPr>
        <w:pStyle w:val="BodyBullet1"/>
      </w:pPr>
      <w:r w:rsidRPr="004026FB">
        <w:t>Maintaining key hydrologic and hydraulic functionality and reliability of existing flow paths, drainage lines and floodplain storage</w:t>
      </w:r>
    </w:p>
    <w:p w14:paraId="705287F5" w14:textId="546F3F8B" w:rsidR="007872EC" w:rsidRPr="004026FB" w:rsidRDefault="007872EC" w:rsidP="007872EC">
      <w:pPr>
        <w:pStyle w:val="BodyBullet1"/>
      </w:pPr>
      <w:r w:rsidRPr="004026FB">
        <w:t>Retaining existing flow characteristics to maintain waterway stability downstream of construction</w:t>
      </w:r>
    </w:p>
    <w:p w14:paraId="2936B3AC" w14:textId="77777777" w:rsidR="007872EC" w:rsidRPr="004026FB" w:rsidRDefault="007872EC" w:rsidP="007872EC">
      <w:pPr>
        <w:pStyle w:val="BodyBullet1"/>
      </w:pPr>
      <w:r w:rsidRPr="004026FB">
        <w:t>Location and bunding of any contaminated material (including tunnel spoil and stockpiled soil) to the 1% AEP flood level and to the satisfaction of EPA Victoria and the relevant drainage authority</w:t>
      </w:r>
    </w:p>
    <w:p w14:paraId="32979617" w14:textId="77777777" w:rsidR="007872EC" w:rsidRPr="004026FB" w:rsidRDefault="007872EC" w:rsidP="007872EC">
      <w:pPr>
        <w:pStyle w:val="BodyBullet1"/>
      </w:pPr>
      <w:r w:rsidRPr="004026FB">
        <w:t>Works scheduling to reduce flood-related risks</w:t>
      </w:r>
    </w:p>
    <w:p w14:paraId="7C65CA91" w14:textId="7BDA297A" w:rsidR="007872EC" w:rsidRPr="004026FB" w:rsidRDefault="007872EC" w:rsidP="007872EC">
      <w:pPr>
        <w:pStyle w:val="BodyBullet1"/>
      </w:pPr>
      <w:r w:rsidRPr="004026FB">
        <w:t>Bunding of significant excavations including tunnel portals and interchanges to an appropriate level during construction</w:t>
      </w:r>
    </w:p>
    <w:p w14:paraId="68191130" w14:textId="77777777" w:rsidR="007872EC" w:rsidRPr="004026FB" w:rsidRDefault="007872EC" w:rsidP="007872EC">
      <w:pPr>
        <w:pStyle w:val="BodyBullet1"/>
      </w:pPr>
      <w:r w:rsidRPr="004026FB">
        <w:t>Documenting the existing condition of all drainage assets potentially affected by the works (including their immediate surrounds) to enable baseline conditions to be established and potential construction impacts on these assets to be assessed and managed.</w:t>
      </w:r>
    </w:p>
    <w:p w14:paraId="24B549A9" w14:textId="4B54E777" w:rsidR="007872EC" w:rsidRPr="004026FB" w:rsidRDefault="007872EC" w:rsidP="007872EC">
      <w:pPr>
        <w:pStyle w:val="BodyText"/>
      </w:pPr>
      <w:r w:rsidRPr="004026FB">
        <w:t xml:space="preserve">The monitoring program would provide a baseline and ongoing data against which performance could be monitored and if </w:t>
      </w:r>
      <w:r w:rsidR="00B21569" w:rsidRPr="004026FB">
        <w:t>necessary,</w:t>
      </w:r>
      <w:r w:rsidRPr="004026FB">
        <w:t xml:space="preserve"> refinements made in a timely manner.</w:t>
      </w:r>
    </w:p>
    <w:p w14:paraId="59D7AF76" w14:textId="77777777" w:rsidR="007872EC" w:rsidRPr="004026FB" w:rsidRDefault="007872EC" w:rsidP="007872EC">
      <w:pPr>
        <w:pStyle w:val="Heading5"/>
      </w:pPr>
      <w:r w:rsidRPr="004026FB">
        <w:rPr>
          <w:i/>
        </w:rPr>
        <w:t>Operation</w:t>
      </w:r>
      <w:r w:rsidRPr="004026FB">
        <w:t xml:space="preserve"> </w:t>
      </w:r>
    </w:p>
    <w:p w14:paraId="42731E41" w14:textId="664D8F1C" w:rsidR="007872EC" w:rsidRPr="004026FB" w:rsidRDefault="007872EC" w:rsidP="007872EC">
      <w:pPr>
        <w:pStyle w:val="BodyText"/>
      </w:pPr>
      <w:r w:rsidRPr="004026FB">
        <w:t>Additional paved surfaces from new roads and infrastructure from North East Link would increase surface water run-off, causing a higher pollutant load and decrease of surface water quality. The</w:t>
      </w:r>
      <w:r w:rsidR="00237873" w:rsidRPr="004026FB">
        <w:t> </w:t>
      </w:r>
      <w:r w:rsidRPr="004026FB">
        <w:t xml:space="preserve">primary cause of pollution during the operation of North East Link would be vehicles, not the impervious surface itself. </w:t>
      </w:r>
    </w:p>
    <w:p w14:paraId="555C7C07" w14:textId="77777777" w:rsidR="007872EC" w:rsidRPr="004026FB" w:rsidRDefault="007872EC" w:rsidP="007872EC">
      <w:pPr>
        <w:pStyle w:val="BodyText"/>
      </w:pPr>
      <w:r w:rsidRPr="004026FB">
        <w:t>There are two main ways that surface water has the potential to be contaminated with the introduction of new roads:</w:t>
      </w:r>
    </w:p>
    <w:p w14:paraId="580EFF45" w14:textId="77777777" w:rsidR="007872EC" w:rsidRPr="004026FB" w:rsidRDefault="007872EC" w:rsidP="007872EC">
      <w:pPr>
        <w:pStyle w:val="BodyBullet1"/>
      </w:pPr>
      <w:r w:rsidRPr="004026FB">
        <w:t>By contaminated runoff from additional impervious area flowing into waterways</w:t>
      </w:r>
    </w:p>
    <w:p w14:paraId="5263D507" w14:textId="77777777" w:rsidR="007872EC" w:rsidRPr="004026FB" w:rsidRDefault="007872EC" w:rsidP="007872EC">
      <w:pPr>
        <w:pStyle w:val="BodyBullet1"/>
      </w:pPr>
      <w:r w:rsidRPr="004026FB">
        <w:t>By spills or accidents occurring on the new roads and flowing into waterways.</w:t>
      </w:r>
    </w:p>
    <w:p w14:paraId="5AF05B03" w14:textId="77777777" w:rsidR="007872EC" w:rsidRPr="004026FB" w:rsidRDefault="007872EC" w:rsidP="007872EC">
      <w:pPr>
        <w:pStyle w:val="BodyText"/>
      </w:pPr>
      <w:r w:rsidRPr="004026FB">
        <w:lastRenderedPageBreak/>
        <w:t xml:space="preserve">North East Link would include the construction of approximately 700,000 square metres of additional pavement. Stormwater runoff from road surfaces that is not treated can contain oils, greases and sediment with the potential to affect water quality if discharged to the stormwater drainage system and subsequently waterways. </w:t>
      </w:r>
    </w:p>
    <w:p w14:paraId="51E06A64" w14:textId="06F77A17" w:rsidR="007872EC" w:rsidRPr="004026FB" w:rsidRDefault="007872EC" w:rsidP="007872EC">
      <w:pPr>
        <w:pStyle w:val="BodyText"/>
      </w:pPr>
      <w:r w:rsidRPr="004026FB">
        <w:t>To minimise the potential for pollutants to end up in the waterways, North East Link would include a number of water treatment features along the alignment that would filter and treat the stormwater captured by the new road surfaces. These water treatment features would be designed in accordance with water sensitive urban design (WSUD) principles</w:t>
      </w:r>
      <w:r w:rsidR="00716B85" w:rsidRPr="004026FB">
        <w:t xml:space="preserve"> and in consultation with the relevant asset owner or land manager</w:t>
      </w:r>
      <w:r w:rsidRPr="004026FB">
        <w:t xml:space="preserve">. They include wetlands, bioretention ponds and storage dams which range from approximately 45 </w:t>
      </w:r>
      <w:r w:rsidR="004C5A88" w:rsidRPr="004026FB">
        <w:t>m²</w:t>
      </w:r>
      <w:r w:rsidRPr="004026FB">
        <w:t xml:space="preserve"> to 3,000 </w:t>
      </w:r>
      <w:r w:rsidR="004C5A88" w:rsidRPr="004026FB">
        <w:t>m²</w:t>
      </w:r>
      <w:r w:rsidRPr="004026FB">
        <w:t xml:space="preserve"> in size. The water treatment features would collect and treat additional runoff from the new roads and ramps in the vicinity. </w:t>
      </w:r>
    </w:p>
    <w:p w14:paraId="295E522D" w14:textId="3B806BAB" w:rsidR="007872EC" w:rsidRPr="004026FB" w:rsidRDefault="007872EC" w:rsidP="007872EC">
      <w:pPr>
        <w:pStyle w:val="BodyText"/>
      </w:pPr>
      <w:r w:rsidRPr="004026FB">
        <w:t>Modelling was undertaken to test the effectiveness of the proposed water treatment features. This</w:t>
      </w:r>
      <w:r w:rsidR="00237873" w:rsidRPr="004026FB">
        <w:t> </w:t>
      </w:r>
      <w:r w:rsidRPr="004026FB">
        <w:t xml:space="preserve">modelling has shown the pollutant reduction requirements of </w:t>
      </w:r>
      <w:r w:rsidRPr="004026FB">
        <w:rPr>
          <w:i/>
        </w:rPr>
        <w:t>Best Practice Environmental Management Guidelines</w:t>
      </w:r>
      <w:r w:rsidRPr="004026FB">
        <w:t xml:space="preserve"> (1999) (BPEMG) can be achieved using a subset of the potentially available sites. Complying with the BPEMG in operation would assist in meeting the requirements of SEPP (Waters) over the long term for pollutant concentrations in receiving waters. </w:t>
      </w:r>
    </w:p>
    <w:p w14:paraId="228345A4" w14:textId="3E154F44" w:rsidR="007872EC" w:rsidRPr="004026FB" w:rsidRDefault="007872EC" w:rsidP="007872EC">
      <w:pPr>
        <w:pStyle w:val="BodyText"/>
      </w:pPr>
      <w:r w:rsidRPr="004026FB">
        <w:t xml:space="preserve">This impact assessment also investigated the potential for spills of hazardous materials on new roads to increase contaminants released into waterways. To minimise the potential of spilled liquids ending up in waterways, North East Link would include the provision of spill containment capacity on freeway pavements (including ramps) to </w:t>
      </w:r>
      <w:r w:rsidR="00CA2A41" w:rsidRPr="004026FB">
        <w:t xml:space="preserve">protect the environment from spills and meet </w:t>
      </w:r>
      <w:r w:rsidRPr="004026FB">
        <w:t>AustRoads requirements. Procedures would be developed for freeway roads and ramps, to be implemented in response to hazardous spills.</w:t>
      </w:r>
    </w:p>
    <w:p w14:paraId="21136E62" w14:textId="06235046" w:rsidR="007872EC" w:rsidRPr="004026FB" w:rsidRDefault="007872EC" w:rsidP="007872EC">
      <w:pPr>
        <w:pStyle w:val="BodyText"/>
      </w:pPr>
      <w:r w:rsidRPr="004026FB">
        <w:t>Works undertaken within the waterway or floodplains that involve removing soil from the bed or banks of the creek could alter the landform or geomorphic characteristics of the waterway. These</w:t>
      </w:r>
      <w:r w:rsidR="00237873" w:rsidRPr="004026FB">
        <w:t> </w:t>
      </w:r>
      <w:r w:rsidRPr="004026FB">
        <w:t xml:space="preserve">changes have the potential to cause erosion and sediment transfer further downstream and change water quality. </w:t>
      </w:r>
    </w:p>
    <w:p w14:paraId="017E7C39" w14:textId="77777777" w:rsidR="007872EC" w:rsidRPr="004026FB" w:rsidRDefault="007872EC" w:rsidP="007872EC">
      <w:pPr>
        <w:pStyle w:val="BodyText"/>
      </w:pPr>
      <w:r w:rsidRPr="004026FB">
        <w:t xml:space="preserve">All works on waterways or within floodplains would be undertaken to the satisfaction of Melbourne Water or the relevant drainage authority. Waterway modifications would be designed and carried out in a way that mitigates the potential for erosion which could impact the beneficial uses of the waterway. </w:t>
      </w:r>
    </w:p>
    <w:p w14:paraId="6C704948" w14:textId="77777777" w:rsidR="007872EC" w:rsidRPr="004026FB" w:rsidRDefault="007872EC" w:rsidP="007872EC">
      <w:pPr>
        <w:pStyle w:val="BodyText"/>
      </w:pPr>
      <w:r w:rsidRPr="004026FB">
        <w:t xml:space="preserve">Bank stability would be maintained by preserving existing flow conditions and minimising works around waterways to the extent practicable and regularly monitoring downstream water quality. </w:t>
      </w:r>
    </w:p>
    <w:p w14:paraId="2AB8404D" w14:textId="77777777" w:rsidR="007872EC" w:rsidRPr="004026FB" w:rsidRDefault="007872EC" w:rsidP="007872EC">
      <w:pPr>
        <w:pStyle w:val="Heading4"/>
      </w:pPr>
      <w:r w:rsidRPr="004026FB">
        <w:t xml:space="preserve">Residual impacts </w:t>
      </w:r>
    </w:p>
    <w:p w14:paraId="798793A0" w14:textId="391243A9" w:rsidR="007872EC" w:rsidRPr="004026FB" w:rsidRDefault="007872EC" w:rsidP="007872EC">
      <w:pPr>
        <w:pStyle w:val="BodyText"/>
      </w:pPr>
      <w:r w:rsidRPr="004026FB">
        <w:t xml:space="preserve">With appropriate management and controls, the residual impacts on surface water quality leading to potential impacts on MNES during construction are predicted to be limited in extent. </w:t>
      </w:r>
    </w:p>
    <w:p w14:paraId="6137502B" w14:textId="33326A7D" w:rsidR="007872EC" w:rsidRPr="004026FB" w:rsidRDefault="007872EC" w:rsidP="007872EC">
      <w:pPr>
        <w:pStyle w:val="Heading3"/>
      </w:pPr>
      <w:bookmarkStart w:id="113" w:name="_Toc3641381"/>
      <w:bookmarkStart w:id="114" w:name="_Toc19489083"/>
      <w:r w:rsidRPr="004026FB">
        <w:lastRenderedPageBreak/>
        <w:t xml:space="preserve">Impacts on surface water </w:t>
      </w:r>
      <w:r w:rsidRPr="004026FB">
        <w:rPr>
          <w:i/>
        </w:rPr>
        <w:t>quantity</w:t>
      </w:r>
      <w:r w:rsidRPr="004026FB">
        <w:t xml:space="preserve"> from</w:t>
      </w:r>
      <w:r w:rsidR="00237873" w:rsidRPr="004026FB">
        <w:t> </w:t>
      </w:r>
      <w:r w:rsidRPr="004026FB">
        <w:t>stormwater</w:t>
      </w:r>
      <w:r w:rsidR="00237873" w:rsidRPr="004026FB">
        <w:t> </w:t>
      </w:r>
      <w:r w:rsidRPr="004026FB">
        <w:t>runoff</w:t>
      </w:r>
      <w:bookmarkEnd w:id="113"/>
      <w:bookmarkEnd w:id="114"/>
      <w:r w:rsidRPr="004026FB">
        <w:t xml:space="preserve"> </w:t>
      </w:r>
    </w:p>
    <w:p w14:paraId="220B62F5" w14:textId="77777777" w:rsidR="007872EC" w:rsidRPr="004026FB" w:rsidRDefault="007872EC" w:rsidP="007872EC">
      <w:pPr>
        <w:pStyle w:val="BodyText"/>
      </w:pPr>
      <w:r w:rsidRPr="004026FB">
        <w:t xml:space="preserve">This subsection responds to items (b) (apart from those relating to surface water quality) and (e) in Section 2.5.2.2 of the PER Guidelines that relate to surface water quantity. </w:t>
      </w:r>
    </w:p>
    <w:p w14:paraId="29E0029C" w14:textId="2D7F05F8" w:rsidR="007872EC" w:rsidRPr="004026FB" w:rsidRDefault="007872EC" w:rsidP="007872EC">
      <w:pPr>
        <w:pStyle w:val="BodyText"/>
      </w:pPr>
      <w:r w:rsidRPr="004026FB">
        <w:t>The construction and operation of North East Link may change stormwater runoff volumes or the frequency, velocity, level and depth of flooding, which in turn may impact MNES. These decreases in water quality would generally be small and are expected to have no direct impact on MNES. However,</w:t>
      </w:r>
      <w:r w:rsidR="00237873" w:rsidRPr="004026FB">
        <w:t> </w:t>
      </w:r>
      <w:r w:rsidRPr="004026FB">
        <w:t>changes in flow regime may have the potential to affect habitat that may be significant for</w:t>
      </w:r>
      <w:r w:rsidR="00237873" w:rsidRPr="004026FB">
        <w:t> </w:t>
      </w:r>
      <w:r w:rsidRPr="004026FB">
        <w:t xml:space="preserve">MNES. </w:t>
      </w:r>
    </w:p>
    <w:p w14:paraId="11D0D797" w14:textId="77777777" w:rsidR="007872EC" w:rsidRPr="004026FB" w:rsidRDefault="007872EC" w:rsidP="007872EC">
      <w:pPr>
        <w:pStyle w:val="Heading4"/>
      </w:pPr>
      <w:r w:rsidRPr="004026FB">
        <w:t>Impacts and mitigation</w:t>
      </w:r>
    </w:p>
    <w:p w14:paraId="13EB892F" w14:textId="469E7FC0" w:rsidR="007872EC" w:rsidRPr="004026FB" w:rsidRDefault="007872EC" w:rsidP="007872EC">
      <w:pPr>
        <w:pStyle w:val="BodyText"/>
      </w:pPr>
      <w:r w:rsidRPr="004026FB">
        <w:t>Changes in flow regime have the potential to affect habitat which may be of significance to MNES. For this to occur there would need to be a change to the flow regime that causes more or less frequent overtopping into the flood plain as well as greater erosion or deposition, or the undergrounding of an open waterway. Measures would be implemented during detailed design and construction of</w:t>
      </w:r>
      <w:r w:rsidR="004C5A88" w:rsidRPr="004026FB">
        <w:t xml:space="preserve"> </w:t>
      </w:r>
      <w:r w:rsidRPr="004026FB">
        <w:t xml:space="preserve">North East Link to minimise changes to the frequency of flooding and the potential for erosion and deposition. </w:t>
      </w:r>
    </w:p>
    <w:p w14:paraId="4DFA94EF" w14:textId="77777777" w:rsidR="007872EC" w:rsidRPr="004026FB" w:rsidRDefault="007872EC" w:rsidP="007872EC">
      <w:pPr>
        <w:pStyle w:val="BodyText"/>
      </w:pPr>
      <w:r w:rsidRPr="004026FB">
        <w:t>The potential effects of increased stormwater runoff, changes to flood storage and changes to flood conveyance on flooding risk have been assessed. Based on the assessment undertaken, it is expected that flooding risk could be managed locally and in accordance with the requirements of the applicable drainage authority (typically Melbourne Water or the local council).</w:t>
      </w:r>
    </w:p>
    <w:p w14:paraId="21306BE5" w14:textId="77777777" w:rsidR="007872EC" w:rsidRPr="004026FB" w:rsidRDefault="007872EC" w:rsidP="007872EC">
      <w:pPr>
        <w:pStyle w:val="BodyText"/>
      </w:pPr>
      <w:r w:rsidRPr="004026FB">
        <w:t>With respect to floodplain storage, North East Link has the potential to reduce the available floodplain storage associated with Banyule Creek, the Yarra River and Koonung Creek. At Banyule Creek, modelling indicates that local treatment measures would provide adequate mitigation so that downstream environments were not adversely affected. For the Yarra River, potentially a significant receptor in terms of MNES, the expected decreases in water quality are proportionally small and in themselves not likely to be significant. However, mitigation works may be required to address the potential for cumulative impacts from numerous projects over time to prevent the incremental reduction in performance of the overall system from lots of small independently insignificant changes. If needed, this mitigation would be designed in consultation with Melbourne Water. While the effects and potential mitigation mechanism are still being refined for Koonung Creek, the expectation is that design development and modelling would verify that local and downstream decreases in quality can be mitigated.</w:t>
      </w:r>
    </w:p>
    <w:p w14:paraId="59A7E637" w14:textId="44176334" w:rsidR="007872EC" w:rsidRPr="004026FB" w:rsidRDefault="007872EC" w:rsidP="007872EC">
      <w:pPr>
        <w:pStyle w:val="BodyText"/>
      </w:pPr>
      <w:r w:rsidRPr="004026FB">
        <w:t xml:space="preserve">While undergrounding open waterways during construction, surface waterway diversions and associated earthworks would likely be minimised, it is expected these activities would occur along parts of Banyule Creek and Koonung Creek. </w:t>
      </w:r>
      <w:r w:rsidR="005C097A" w:rsidRPr="004026FB">
        <w:fldChar w:fldCharType="begin"/>
      </w:r>
      <w:r w:rsidR="005C097A" w:rsidRPr="004026FB">
        <w:instrText xml:space="preserve"> REF _Ref4598954 \h  \* MERGEFORMAT </w:instrText>
      </w:r>
      <w:r w:rsidR="005C097A" w:rsidRPr="004026FB">
        <w:fldChar w:fldCharType="separate"/>
      </w:r>
      <w:r w:rsidR="007530D3" w:rsidRPr="007530D3">
        <w:t>Table 8</w:t>
      </w:r>
      <w:r w:rsidR="007530D3" w:rsidRPr="007530D3">
        <w:noBreakHyphen/>
        <w:t>8</w:t>
      </w:r>
      <w:r w:rsidR="005C097A" w:rsidRPr="004026FB">
        <w:fldChar w:fldCharType="end"/>
      </w:r>
      <w:r w:rsidR="005C097A" w:rsidRPr="004026FB">
        <w:t xml:space="preserve"> </w:t>
      </w:r>
      <w:r w:rsidRPr="004026FB">
        <w:t xml:space="preserve">summarises the activities resulting in changes to these creeks. </w:t>
      </w:r>
    </w:p>
    <w:p w14:paraId="3DDF92FC" w14:textId="674EE3F9" w:rsidR="007872EC" w:rsidRPr="004026FB" w:rsidRDefault="007872EC" w:rsidP="009E168B">
      <w:pPr>
        <w:pStyle w:val="Caption"/>
      </w:pPr>
      <w:bookmarkStart w:id="115" w:name="_Ref4598954"/>
      <w:bookmarkStart w:id="116" w:name="_Toc528930831"/>
      <w:bookmarkStart w:id="117" w:name="_Toc536407013"/>
      <w:bookmarkStart w:id="118" w:name="_Toc19489091"/>
      <w:r w:rsidRPr="004026FB">
        <w:rPr>
          <w:rStyle w:val="CharacterStyle-BrightColour"/>
        </w:rPr>
        <w:lastRenderedPageBreak/>
        <w:t>Table </w:t>
      </w:r>
      <w:r w:rsidRPr="004026FB">
        <w:rPr>
          <w:rStyle w:val="CharacterStyle-BrightColour"/>
        </w:rPr>
        <w:fldChar w:fldCharType="begin"/>
      </w:r>
      <w:r w:rsidRPr="004026FB">
        <w:rPr>
          <w:rStyle w:val="CharacterStyle-BrightColour"/>
        </w:rPr>
        <w:instrText xml:space="preserve"> STYLEREF 1 \s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r w:rsidRPr="004026FB">
        <w:rPr>
          <w:rStyle w:val="CharacterStyle-BrightColour"/>
        </w:rPr>
        <w:noBreakHyphen/>
      </w:r>
      <w:r w:rsidRPr="004026FB">
        <w:rPr>
          <w:rStyle w:val="CharacterStyle-BrightColour"/>
        </w:rPr>
        <w:fldChar w:fldCharType="begin"/>
      </w:r>
      <w:r w:rsidRPr="004026FB">
        <w:rPr>
          <w:rStyle w:val="CharacterStyle-BrightColour"/>
        </w:rPr>
        <w:instrText xml:space="preserve"> SEQ Table \* ARABIC \s 1 </w:instrText>
      </w:r>
      <w:r w:rsidRPr="004026FB">
        <w:rPr>
          <w:rStyle w:val="CharacterStyle-BrightColour"/>
        </w:rPr>
        <w:fldChar w:fldCharType="separate"/>
      </w:r>
      <w:r w:rsidR="007530D3">
        <w:rPr>
          <w:rStyle w:val="CharacterStyle-BrightColour"/>
          <w:noProof/>
        </w:rPr>
        <w:t>8</w:t>
      </w:r>
      <w:r w:rsidRPr="004026FB">
        <w:rPr>
          <w:rStyle w:val="CharacterStyle-BrightColour"/>
        </w:rPr>
        <w:fldChar w:fldCharType="end"/>
      </w:r>
      <w:bookmarkEnd w:id="115"/>
      <w:r w:rsidRPr="004026FB">
        <w:tab/>
      </w:r>
      <w:bookmarkEnd w:id="116"/>
      <w:bookmarkEnd w:id="117"/>
      <w:r w:rsidRPr="004026FB">
        <w:t>Summary of changes to Banyule Creek and Koonung Creek</w:t>
      </w:r>
      <w:bookmarkEnd w:id="118"/>
    </w:p>
    <w:tbl>
      <w:tblPr>
        <w:tblStyle w:val="MainTableStyle"/>
        <w:tblW w:w="9072" w:type="dxa"/>
        <w:tblLayout w:type="fixed"/>
        <w:tblLook w:val="04A0" w:firstRow="1" w:lastRow="0" w:firstColumn="1" w:lastColumn="0" w:noHBand="0" w:noVBand="1"/>
      </w:tblPr>
      <w:tblGrid>
        <w:gridCol w:w="1701"/>
        <w:gridCol w:w="7371"/>
      </w:tblGrid>
      <w:tr w:rsidR="009161E0" w:rsidRPr="004026FB" w14:paraId="0F796C01" w14:textId="77777777" w:rsidTr="004C5A88">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701" w:type="dxa"/>
          </w:tcPr>
          <w:p w14:paraId="4516958E" w14:textId="4A559E3D" w:rsidR="009161E0" w:rsidRPr="004026FB" w:rsidRDefault="009161E0" w:rsidP="009161E0">
            <w:pPr>
              <w:pStyle w:val="TableHeadingWhiteFont"/>
            </w:pPr>
            <w:r w:rsidRPr="004026FB">
              <w:t xml:space="preserve">Waterway </w:t>
            </w:r>
          </w:p>
        </w:tc>
        <w:tc>
          <w:tcPr>
            <w:tcW w:w="7371" w:type="dxa"/>
          </w:tcPr>
          <w:p w14:paraId="618391B3" w14:textId="51A46CEA" w:rsidR="009161E0" w:rsidRPr="004026FB" w:rsidRDefault="009161E0" w:rsidP="009161E0">
            <w:pPr>
              <w:pStyle w:val="TableHeadingWhiteFont"/>
              <w:cnfStyle w:val="100000000000" w:firstRow="1" w:lastRow="0" w:firstColumn="0" w:lastColumn="0" w:oddVBand="0" w:evenVBand="0" w:oddHBand="0" w:evenHBand="0" w:firstRowFirstColumn="0" w:firstRowLastColumn="0" w:lastRowFirstColumn="0" w:lastRowLastColumn="0"/>
            </w:pPr>
            <w:r w:rsidRPr="004026FB">
              <w:t>Activities that may lead to changes in waterways</w:t>
            </w:r>
          </w:p>
        </w:tc>
      </w:tr>
      <w:tr w:rsidR="009161E0" w:rsidRPr="004026FB" w14:paraId="2DF123DE" w14:textId="77777777" w:rsidTr="004C5A88">
        <w:trPr>
          <w:trHeight w:val="366"/>
        </w:trPr>
        <w:tc>
          <w:tcPr>
            <w:cnfStyle w:val="001000000000" w:firstRow="0" w:lastRow="0" w:firstColumn="1" w:lastColumn="0" w:oddVBand="0" w:evenVBand="0" w:oddHBand="0" w:evenHBand="0" w:firstRowFirstColumn="0" w:firstRowLastColumn="0" w:lastRowFirstColumn="0" w:lastRowLastColumn="0"/>
            <w:tcW w:w="1701" w:type="dxa"/>
          </w:tcPr>
          <w:p w14:paraId="03718603" w14:textId="78ADB56B" w:rsidR="009161E0" w:rsidRPr="004026FB" w:rsidRDefault="009161E0" w:rsidP="009161E0">
            <w:pPr>
              <w:pStyle w:val="TableText"/>
            </w:pPr>
            <w:r w:rsidRPr="004026FB">
              <w:t>Banyule Creek</w:t>
            </w:r>
          </w:p>
        </w:tc>
        <w:tc>
          <w:tcPr>
            <w:tcW w:w="7371" w:type="dxa"/>
          </w:tcPr>
          <w:p w14:paraId="61E1C937" w14:textId="3B15C6DA" w:rsidR="009161E0" w:rsidRPr="004026FB" w:rsidRDefault="009161E0" w:rsidP="009161E0">
            <w:pPr>
              <w:pStyle w:val="TableText"/>
              <w:cnfStyle w:val="000000000000" w:firstRow="0" w:lastRow="0" w:firstColumn="0" w:lastColumn="0" w:oddVBand="0" w:evenVBand="0" w:oddHBand="0" w:evenHBand="0" w:firstRowFirstColumn="0" w:firstRowLastColumn="0" w:lastRowFirstColumn="0" w:lastRowLastColumn="0"/>
            </w:pPr>
            <w:r w:rsidRPr="004026FB">
              <w:t>Construction activities would include the diversion of approximately 1,400 m of open drain, creek, and tributaries, from Blamey Road to Lower Plenty Road replacing this section of the creek with two pipes and overland flow paths with a new retarding basin upstream of Lower Plenty Road. No changes are proposed south of Lower Plenty Road.</w:t>
            </w:r>
          </w:p>
        </w:tc>
      </w:tr>
      <w:tr w:rsidR="009161E0" w:rsidRPr="004026FB" w14:paraId="710426BD" w14:textId="77777777" w:rsidTr="004C5A88">
        <w:trPr>
          <w:trHeight w:val="366"/>
        </w:trPr>
        <w:tc>
          <w:tcPr>
            <w:cnfStyle w:val="001000000000" w:firstRow="0" w:lastRow="0" w:firstColumn="1" w:lastColumn="0" w:oddVBand="0" w:evenVBand="0" w:oddHBand="0" w:evenHBand="0" w:firstRowFirstColumn="0" w:firstRowLastColumn="0" w:lastRowFirstColumn="0" w:lastRowLastColumn="0"/>
            <w:tcW w:w="1701" w:type="dxa"/>
          </w:tcPr>
          <w:p w14:paraId="324A93D4" w14:textId="4D7A7222" w:rsidR="009161E0" w:rsidRPr="004026FB" w:rsidRDefault="009161E0" w:rsidP="009161E0">
            <w:pPr>
              <w:pStyle w:val="TableText"/>
            </w:pPr>
            <w:r w:rsidRPr="004026FB">
              <w:t>Koonung Creek</w:t>
            </w:r>
          </w:p>
        </w:tc>
        <w:tc>
          <w:tcPr>
            <w:tcW w:w="7371" w:type="dxa"/>
          </w:tcPr>
          <w:p w14:paraId="3896172F" w14:textId="6D79737E" w:rsidR="009161E0" w:rsidRPr="004026FB" w:rsidRDefault="009161E0" w:rsidP="009161E0">
            <w:pPr>
              <w:pStyle w:val="TableText"/>
              <w:cnfStyle w:val="000000000000" w:firstRow="0" w:lastRow="0" w:firstColumn="0" w:lastColumn="0" w:oddVBand="0" w:evenVBand="0" w:oddHBand="0" w:evenHBand="0" w:firstRowFirstColumn="0" w:firstRowLastColumn="0" w:lastRowFirstColumn="0" w:lastRowLastColumn="0"/>
            </w:pPr>
            <w:r w:rsidRPr="004026FB">
              <w:t>Construction activities would include underground diversion or realignment of separate sections of creek totalling approximately 1,500 m in length. A number of sections would be enclosed and covered (five sections totalling approximately 1 km, with covered sections ranging from 100 to 500 m). In addition, two sections of Koonung Creek (100 m and 400 m in length) would be diverted to a constructed naturalised channel.</w:t>
            </w:r>
          </w:p>
        </w:tc>
      </w:tr>
    </w:tbl>
    <w:p w14:paraId="74852DEF" w14:textId="77777777" w:rsidR="00673E79" w:rsidRPr="004026FB" w:rsidRDefault="00673E79" w:rsidP="00673E79">
      <w:pPr>
        <w:pStyle w:val="Source"/>
      </w:pPr>
    </w:p>
    <w:p w14:paraId="4801555E" w14:textId="614D7B6F" w:rsidR="009161E0" w:rsidRPr="004026FB" w:rsidRDefault="009161E0" w:rsidP="009161E0">
      <w:pPr>
        <w:pStyle w:val="BodyText"/>
      </w:pPr>
      <w:r w:rsidRPr="004026FB">
        <w:t>These works would remove some waterway habitat locally in these areas. Some of these waterway and waterbody changes would have a relatively short-term impact on habitat, while vegetation is re-established. These works would be also affect some areas permanently. Given the highly modified nature of much of Koonung Creek, it is anticipated that with the exception of locations where open waterways would be undergrounded, from a surface water perspective the long-term operational impact would be minimal with respect to the quality of the habitat which may support MNES.</w:t>
      </w:r>
    </w:p>
    <w:p w14:paraId="7634C3DF" w14:textId="77777777" w:rsidR="009161E0" w:rsidRPr="004026FB" w:rsidRDefault="009161E0" w:rsidP="009161E0">
      <w:pPr>
        <w:pStyle w:val="BodyText"/>
      </w:pPr>
      <w:r w:rsidRPr="004026FB">
        <w:t>The Trinity Grammar wetlands used for irrigation water storage currently receive flow from a diversion from an urban stormwater system to the east. The construction of North East Link is expected to require the emptying of this irrigation water storage. This dewatering might potentially be assisted by modifying the existing diversion of flows from the urban catchment to the east to reduce flows to the storage. This could change the flows feeding the Trinity Grammar wetlands during construction, which may potentially adversely affect habitat which may be important for MNES.</w:t>
      </w:r>
    </w:p>
    <w:p w14:paraId="7D385CC5" w14:textId="008C60F4" w:rsidR="009161E0" w:rsidRPr="004026FB" w:rsidRDefault="009161E0" w:rsidP="009161E0">
      <w:pPr>
        <w:pStyle w:val="BodyText"/>
      </w:pPr>
      <w:r w:rsidRPr="004026FB">
        <w:t xml:space="preserve">Once the construction is complete, it is likely the flow to the Trinity Grammar wetlands would revert to the existing arrangement and so remain unchanged during the operation of North East Link. However, maintaining the irrigation function of the wetlands may be satisfied in a number of ways, which may involve changes to the source and volume of flow to the wetlands. </w:t>
      </w:r>
    </w:p>
    <w:p w14:paraId="1F3809BB" w14:textId="77777777" w:rsidR="009161E0" w:rsidRPr="004026FB" w:rsidRDefault="009161E0" w:rsidP="009161E0">
      <w:pPr>
        <w:pStyle w:val="BodyText"/>
      </w:pPr>
      <w:r w:rsidRPr="004026FB">
        <w:t>The potential for works associated with North East Link to affect habitat would be limited to the duration of the works and be managed through design and implementation of measures including:</w:t>
      </w:r>
    </w:p>
    <w:p w14:paraId="1DFBE891" w14:textId="77777777" w:rsidR="009161E0" w:rsidRPr="004026FB" w:rsidRDefault="009161E0" w:rsidP="009161E0">
      <w:pPr>
        <w:pStyle w:val="BodyBullet1"/>
      </w:pPr>
      <w:r w:rsidRPr="004026FB">
        <w:t>The potential to mobilise sediment or other materials (including hazardous materials) would be appropriately managed through design of works on waterways and in accordance with a Construction Environmental Management Plan and a Surface Water Management Plan</w:t>
      </w:r>
    </w:p>
    <w:p w14:paraId="6415CECD" w14:textId="04E9900F" w:rsidR="009161E0" w:rsidRPr="004026FB" w:rsidRDefault="009161E0" w:rsidP="00D8151A">
      <w:pPr>
        <w:pStyle w:val="BodyBullet1"/>
        <w:keepNext/>
      </w:pPr>
      <w:r w:rsidRPr="004026FB">
        <w:lastRenderedPageBreak/>
        <w:t>The likely loss of attenuation due to the piping of overland flows would be offset with additional appropriately designed storages to manage the potential for downstream flooding or erosion which may otherwise result. This would be undertaken in consultation with relevant authorities as</w:t>
      </w:r>
      <w:r w:rsidR="00237873" w:rsidRPr="004026FB">
        <w:t> </w:t>
      </w:r>
      <w:r w:rsidRPr="004026FB">
        <w:t>required</w:t>
      </w:r>
    </w:p>
    <w:p w14:paraId="33AB7D4B" w14:textId="77777777" w:rsidR="009161E0" w:rsidRPr="004026FB" w:rsidRDefault="009161E0" w:rsidP="009161E0">
      <w:pPr>
        <w:pStyle w:val="BodyBullet1"/>
      </w:pPr>
      <w:r w:rsidRPr="004026FB">
        <w:t>Where waterway modifications are necessary, they would consider the need for, amongst other things, maximising to the extent practicable the environmental conditions including habitat, connectivity, refuge and hydraulic conditions to support aquatic ecosystems of the waterways.</w:t>
      </w:r>
    </w:p>
    <w:p w14:paraId="54F27286" w14:textId="77777777" w:rsidR="009161E0" w:rsidRPr="004026FB" w:rsidRDefault="009161E0" w:rsidP="009161E0">
      <w:pPr>
        <w:pStyle w:val="Heading4"/>
      </w:pPr>
      <w:r w:rsidRPr="004026FB">
        <w:t xml:space="preserve">Residual impacts </w:t>
      </w:r>
    </w:p>
    <w:p w14:paraId="7ECBCF4E" w14:textId="6817DF15" w:rsidR="009161E0" w:rsidRPr="004026FB" w:rsidRDefault="009161E0" w:rsidP="009010B7">
      <w:pPr>
        <w:pStyle w:val="BodyText"/>
      </w:pPr>
      <w:r w:rsidRPr="004026FB">
        <w:t xml:space="preserve">With appropriate management and controls, the residual impacts on MNES during the operation of North East Link are predicted to be limited in extent. The most significant residual impacts would be associated with the removal and underground diversion of existing open channels. The significance of the loss of this potential MNES habitat is assessed in Chapter 7 – Impacts on listed threatened species and ecological communities, and on migratory species. </w:t>
      </w:r>
    </w:p>
    <w:sectPr w:rsidR="009161E0" w:rsidRPr="004026FB" w:rsidSect="00832F82">
      <w:headerReference w:type="even" r:id="rId40"/>
      <w:headerReference w:type="default" r:id="rId41"/>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4D6D02" w14:textId="77777777" w:rsidR="00FD385D" w:rsidRDefault="00FD385D" w:rsidP="00A02FC6">
      <w:r>
        <w:separator/>
      </w:r>
    </w:p>
    <w:p w14:paraId="525BB35A" w14:textId="77777777" w:rsidR="00FD385D" w:rsidRDefault="00FD385D"/>
    <w:p w14:paraId="22FC646E" w14:textId="77777777" w:rsidR="00FD385D" w:rsidRDefault="00FD385D"/>
  </w:endnote>
  <w:endnote w:type="continuationSeparator" w:id="0">
    <w:p w14:paraId="368D3062" w14:textId="77777777" w:rsidR="00FD385D" w:rsidRDefault="00FD385D" w:rsidP="00A02FC6">
      <w:r>
        <w:continuationSeparator/>
      </w:r>
    </w:p>
    <w:p w14:paraId="6185E9EE" w14:textId="77777777" w:rsidR="00FD385D" w:rsidRDefault="00FD385D"/>
    <w:p w14:paraId="696C307E" w14:textId="77777777" w:rsidR="00FD385D" w:rsidRDefault="00FD38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embedRegular r:id="rId1" w:fontKey="{8D21E631-AF4E-479D-B66C-5465E309A679}"/>
    <w:embedBold r:id="rId2" w:fontKey="{354CEB4A-9F4D-4A38-8390-48D3CA1D3985}"/>
    <w:embedItalic r:id="rId3" w:fontKey="{DD55427D-2DF8-45F6-83E3-97B89C18ECFF}"/>
    <w:embedBoldItalic r:id="rId4" w:fontKey="{2397C249-2912-40AC-B6DC-0A6ABC610C33}"/>
  </w:font>
  <w:font w:name="Nunito SemiBold">
    <w:panose1 w:val="00000700000000000000"/>
    <w:charset w:val="00"/>
    <w:family w:val="auto"/>
    <w:pitch w:val="variable"/>
    <w:sig w:usb0="20000007" w:usb1="00000001" w:usb2="00000000" w:usb3="00000000" w:csb0="00000193" w:csb1="00000000"/>
    <w:embedRegular r:id="rId5" w:fontKey="{23C16C2A-981C-4EB7-90C8-674B27D94C2D}"/>
  </w:font>
  <w:font w:name="Tahoma">
    <w:panose1 w:val="020B0604030504040204"/>
    <w:charset w:val="00"/>
    <w:family w:val="swiss"/>
    <w:pitch w:val="variable"/>
    <w:sig w:usb0="E1002EFF" w:usb1="C000605B" w:usb2="00000029" w:usb3="00000000" w:csb0="000101FF" w:csb1="00000000"/>
    <w:embedRegular r:id="rId6" w:fontKey="{D91BCBA9-0E9A-4BF5-AEDD-36E7FAFDB8F4}"/>
  </w:font>
  <w:font w:name="Cambria Math">
    <w:panose1 w:val="02040503050406030204"/>
    <w:charset w:val="00"/>
    <w:family w:val="roman"/>
    <w:pitch w:val="variable"/>
    <w:sig w:usb0="E00006FF" w:usb1="420024FF" w:usb2="02000000" w:usb3="00000000" w:csb0="0000019F" w:csb1="00000000"/>
    <w:embedRegular r:id="rId7" w:fontKey="{02524DFE-EDDD-4350-A03C-A83D260515A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5C356" w14:textId="080C7096" w:rsidR="00FD385D" w:rsidRPr="006A7B89" w:rsidRDefault="00FD385D" w:rsidP="00AD6412">
    <w:pPr>
      <w:pStyle w:val="Evenfooter"/>
    </w:pPr>
    <w:r w:rsidRPr="006A7B89">
      <w:fldChar w:fldCharType="begin"/>
    </w:r>
    <w:r w:rsidRPr="006A7B89">
      <w:instrText xml:space="preserve"> PAGE   \* MERGEFORMAT </w:instrText>
    </w:r>
    <w:r w:rsidRPr="006A7B89">
      <w:fldChar w:fldCharType="separate"/>
    </w:r>
    <w:r w:rsidR="00FE5EAB">
      <w:t>8–ii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FE5EAB">
      <w:rPr>
        <w:lang w:val="en-US"/>
      </w:rPr>
      <w:t>Chapter 8</w:t>
    </w:r>
    <w:r>
      <w:rPr>
        <w:lang w:val="en-US"/>
      </w:rPr>
      <w:fldChar w:fldCharType="end"/>
    </w:r>
    <w:r w:rsidRPr="006A7B89">
      <w:t xml:space="preserve"> – </w:t>
    </w:r>
    <w:r w:rsidR="00FE5EAB">
      <w:fldChar w:fldCharType="begin"/>
    </w:r>
    <w:r w:rsidR="00FE5EAB">
      <w:instrText xml:space="preserve"> STYLEREF  "Heading 1"  \* MERGEFORMAT </w:instrText>
    </w:r>
    <w:r w:rsidR="00FE5EAB">
      <w:fldChar w:fldCharType="separate"/>
    </w:r>
    <w:r w:rsidR="00FE5EAB">
      <w:t>Water related impacts</w:t>
    </w:r>
    <w:r w:rsidR="00FE5EAB">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754B4" w14:textId="06B45357" w:rsidR="00FD385D" w:rsidRPr="00AD6412" w:rsidRDefault="00FD385D" w:rsidP="00AD6412">
    <w:pPr>
      <w:pStyle w:val="Footer"/>
    </w:pPr>
    <w:r>
      <w:rPr>
        <w:lang w:val="en-US"/>
      </w:rPr>
      <w:fldChar w:fldCharType="begin"/>
    </w:r>
    <w:r>
      <w:rPr>
        <w:lang w:val="en-US"/>
      </w:rPr>
      <w:instrText xml:space="preserve"> STYLEREF  "Heading 1" \w  \* MERGEFORMAT </w:instrText>
    </w:r>
    <w:r>
      <w:rPr>
        <w:lang w:val="en-US"/>
      </w:rPr>
      <w:fldChar w:fldCharType="separate"/>
    </w:r>
    <w:r w:rsidR="00FE5EAB">
      <w:rPr>
        <w:lang w:val="en-US"/>
      </w:rPr>
      <w:t>Chapter 8</w:t>
    </w:r>
    <w:r>
      <w:rPr>
        <w:lang w:val="en-US"/>
      </w:rPr>
      <w:fldChar w:fldCharType="end"/>
    </w:r>
    <w:r w:rsidRPr="00AD6412">
      <w:t xml:space="preserve"> – </w:t>
    </w:r>
    <w:r w:rsidR="00FE5EAB">
      <w:fldChar w:fldCharType="begin"/>
    </w:r>
    <w:r w:rsidR="00FE5EAB">
      <w:instrText xml:space="preserve"> STYLEREF  "Heading 1"  \* MERGEFORMAT </w:instrText>
    </w:r>
    <w:r w:rsidR="00FE5EAB">
      <w:fldChar w:fldCharType="separate"/>
    </w:r>
    <w:r w:rsidR="00FE5EAB">
      <w:t>Water related impacts</w:t>
    </w:r>
    <w:r w:rsidR="00FE5EAB">
      <w:fldChar w:fldCharType="end"/>
    </w:r>
    <w:r w:rsidRPr="00AD6412">
      <w:t xml:space="preserve"> | </w:t>
    </w:r>
    <w:r w:rsidRPr="00AD6412">
      <w:fldChar w:fldCharType="begin"/>
    </w:r>
    <w:r w:rsidRPr="00AD6412">
      <w:instrText xml:space="preserve"> PAGE   \* MERGEFORMAT </w:instrText>
    </w:r>
    <w:r w:rsidRPr="00AD6412">
      <w:fldChar w:fldCharType="separate"/>
    </w:r>
    <w:r w:rsidR="00FE5EAB">
      <w:t>8–iii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0CCAC" w14:textId="77777777" w:rsidR="00FD385D" w:rsidRPr="00013A54" w:rsidRDefault="00FD385D"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5849" w14:textId="7ABD9F30" w:rsidR="00FD385D" w:rsidRPr="006A7B89" w:rsidRDefault="00FD385D" w:rsidP="00AD6412">
    <w:pPr>
      <w:pStyle w:val="Evenfooter"/>
    </w:pPr>
    <w:r w:rsidRPr="006A7B89">
      <w:fldChar w:fldCharType="begin"/>
    </w:r>
    <w:r w:rsidRPr="006A7B89">
      <w:instrText xml:space="preserve"> PAGE   \* MERGEFORMAT </w:instrText>
    </w:r>
    <w:r w:rsidRPr="006A7B89">
      <w:fldChar w:fldCharType="separate"/>
    </w:r>
    <w:r w:rsidR="00FE5EAB">
      <w:t>8–44</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FE5EAB">
      <w:rPr>
        <w:lang w:val="en-US"/>
      </w:rPr>
      <w:t>Chapter 8</w:t>
    </w:r>
    <w:r>
      <w:rPr>
        <w:lang w:val="en-US"/>
      </w:rPr>
      <w:fldChar w:fldCharType="end"/>
    </w:r>
    <w:r w:rsidRPr="006A7B89">
      <w:t xml:space="preserve"> – </w:t>
    </w:r>
    <w:r w:rsidR="00FE5EAB">
      <w:fldChar w:fldCharType="begin"/>
    </w:r>
    <w:r w:rsidR="00FE5EAB">
      <w:instrText xml:space="preserve"> STYLEREF  "Heading 1"  \* MERGEFORMAT </w:instrText>
    </w:r>
    <w:r w:rsidR="00FE5EAB">
      <w:fldChar w:fldCharType="separate"/>
    </w:r>
    <w:r w:rsidR="00FE5EAB">
      <w:t>Water related impacts</w:t>
    </w:r>
    <w:r w:rsidR="00FE5EAB">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23D7F" w14:textId="34EE6249" w:rsidR="00FD385D" w:rsidRPr="00AD6412" w:rsidRDefault="00FD385D" w:rsidP="00AD6412">
    <w:pPr>
      <w:pStyle w:val="Footer"/>
    </w:pPr>
    <w:r>
      <w:rPr>
        <w:lang w:val="en-US"/>
      </w:rPr>
      <w:fldChar w:fldCharType="begin"/>
    </w:r>
    <w:r>
      <w:rPr>
        <w:lang w:val="en-US"/>
      </w:rPr>
      <w:instrText xml:space="preserve"> STYLEREF  "Heading 1" \w  \* MERGEFORMAT </w:instrText>
    </w:r>
    <w:r>
      <w:rPr>
        <w:lang w:val="en-US"/>
      </w:rPr>
      <w:fldChar w:fldCharType="separate"/>
    </w:r>
    <w:r w:rsidR="00FE5EAB">
      <w:rPr>
        <w:lang w:val="en-US"/>
      </w:rPr>
      <w:t>Chapter 8</w:t>
    </w:r>
    <w:r>
      <w:rPr>
        <w:lang w:val="en-US"/>
      </w:rPr>
      <w:fldChar w:fldCharType="end"/>
    </w:r>
    <w:r w:rsidRPr="00AD6412">
      <w:t xml:space="preserve"> – </w:t>
    </w:r>
    <w:r w:rsidR="00FE5EAB">
      <w:fldChar w:fldCharType="begin"/>
    </w:r>
    <w:r w:rsidR="00FE5EAB">
      <w:instrText xml:space="preserve"> STYLEREF  "Heading 1"  \* MERGEFORMAT </w:instrText>
    </w:r>
    <w:r w:rsidR="00FE5EAB">
      <w:fldChar w:fldCharType="separate"/>
    </w:r>
    <w:r w:rsidR="00FE5EAB">
      <w:t>Water related impacts</w:t>
    </w:r>
    <w:r w:rsidR="00FE5EAB">
      <w:fldChar w:fldCharType="end"/>
    </w:r>
    <w:r w:rsidRPr="00AD6412">
      <w:t xml:space="preserve"> | </w:t>
    </w:r>
    <w:r w:rsidRPr="00AD6412">
      <w:fldChar w:fldCharType="begin"/>
    </w:r>
    <w:r w:rsidRPr="00AD6412">
      <w:instrText xml:space="preserve"> PAGE   \* MERGEFORMAT </w:instrText>
    </w:r>
    <w:r w:rsidRPr="00AD6412">
      <w:fldChar w:fldCharType="separate"/>
    </w:r>
    <w:r w:rsidR="00FE5EAB">
      <w:t>8–45</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5DDD5D" w14:textId="77777777" w:rsidR="00FD385D" w:rsidRDefault="00FD385D" w:rsidP="0036083B">
      <w:pPr>
        <w:spacing w:before="360"/>
      </w:pPr>
      <w:r>
        <w:separator/>
      </w:r>
    </w:p>
    <w:p w14:paraId="1101FE19" w14:textId="77777777" w:rsidR="00FD385D" w:rsidRDefault="00FD385D"/>
    <w:p w14:paraId="147DB93C" w14:textId="77777777" w:rsidR="00FD385D" w:rsidRDefault="00FD385D"/>
  </w:footnote>
  <w:footnote w:type="continuationSeparator" w:id="0">
    <w:p w14:paraId="1BF6C12B" w14:textId="77777777" w:rsidR="00FD385D" w:rsidRDefault="00FD385D" w:rsidP="0036083B">
      <w:pPr>
        <w:spacing w:before="360"/>
      </w:pPr>
      <w:r>
        <w:continuationSeparator/>
      </w:r>
    </w:p>
    <w:p w14:paraId="645D6037" w14:textId="77777777" w:rsidR="00FD385D" w:rsidRDefault="00FD385D"/>
    <w:p w14:paraId="6D4116C3" w14:textId="77777777" w:rsidR="00FD385D" w:rsidRDefault="00FD385D"/>
  </w:footnote>
  <w:footnote w:type="continuationNotice" w:id="1">
    <w:p w14:paraId="7C13FFAC" w14:textId="77777777" w:rsidR="00FD385D" w:rsidRDefault="00FD385D" w:rsidP="00A02FC6"/>
    <w:p w14:paraId="26446664" w14:textId="77777777" w:rsidR="00FD385D" w:rsidRDefault="00FD385D"/>
    <w:p w14:paraId="2918DC60" w14:textId="77777777" w:rsidR="00FD385D" w:rsidRDefault="00FD385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67C47" w14:textId="69D00E4E" w:rsidR="00FD385D" w:rsidRPr="00F6393A" w:rsidRDefault="00FD385D" w:rsidP="00F6393A">
    <w:pPr>
      <w:pStyle w:val="Header"/>
      <w:rPr>
        <w:lang w:val="fr-FR"/>
      </w:rPr>
    </w:pPr>
    <w:r>
      <w:rPr>
        <w:noProof/>
        <w:lang w:eastAsia="en-AU"/>
      </w:rPr>
      <mc:AlternateContent>
        <mc:Choice Requires="wps">
          <w:drawing>
            <wp:anchor distT="0" distB="0" distL="114300" distR="114300" simplePos="0" relativeHeight="251663360" behindDoc="0" locked="1" layoutInCell="1" allowOverlap="1" wp14:anchorId="6DBA8C67" wp14:editId="0D67707C">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99291F9" id="Straight Connector 23"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" strokecolor="#220d5c [3044]">
              <w10:wrap anchorx="page" anchory="page"/>
              <w10:anchorlock/>
            </v:line>
          </w:pict>
        </mc:Fallback>
      </mc:AlternateContent>
    </w:r>
    <w:r w:rsidRPr="00F6393A">
      <w:rPr>
        <w:lang w:val="fr-FR"/>
      </w:rPr>
      <w:t xml:space="preserve">Public </w:t>
    </w:r>
    <w:r w:rsidRPr="004026FB">
      <w:t>Environment</w:t>
    </w:r>
    <w:r w:rsidRPr="00F6393A">
      <w:rPr>
        <w:lang w:val="fr-FR"/>
      </w:rPr>
      <w:t xml:space="preserve"> Report</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2DB4A" w14:textId="104D627B" w:rsidR="00FD385D" w:rsidRDefault="00FD385D" w:rsidP="007C7ADA">
    <w:pPr>
      <w:pStyle w:val="Header"/>
    </w:pPr>
    <w:r>
      <w:rPr>
        <w:noProof/>
        <w:lang w:eastAsia="en-AU"/>
      </w:rPr>
      <mc:AlternateContent>
        <mc:Choice Requires="wps">
          <w:drawing>
            <wp:anchor distT="0" distB="0" distL="114300" distR="114300" simplePos="0" relativeHeight="251667456" behindDoc="0" locked="1" layoutInCell="1" allowOverlap="1" wp14:anchorId="03C7C993" wp14:editId="3E558C98">
              <wp:simplePos x="0" y="0"/>
              <wp:positionH relativeFrom="page">
                <wp:posOffset>0</wp:posOffset>
              </wp:positionH>
              <wp:positionV relativeFrom="page">
                <wp:posOffset>1080135</wp:posOffset>
              </wp:positionV>
              <wp:extent cx="15156000" cy="0"/>
              <wp:effectExtent l="0" t="0" r="0" b="0"/>
              <wp:wrapNone/>
              <wp:docPr id="8" name="Straight Connector 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53A5B91" id="Straight Connector 8" o:spid="_x0000_s1026" style="position:absolute;z-index:2516674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M3w3wC3AQAAxAMAAA4AAAAAAAAAAAAAAAAALgIAAGRycy9l&#10;Mm9Eb2MueG1sUEsBAi0AFAAGAAgAAAAhAMzOlrjfAAAACQEAAA8AAAAAAAAAAAAAAAAAEQQAAGRy&#10;cy9kb3ducmV2LnhtbFBLBQYAAAAABAAEAPMAAAAdBQAAAAA=&#10;" strokecolor="#220d5c [3044]">
              <w10:wrap anchorx="page" anchory="page"/>
              <w10:anchorlock/>
            </v:line>
          </w:pict>
        </mc:Fallback>
      </mc:AlternateContent>
    </w:r>
    <w:r>
      <w:t>Public Environment Report</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06EE5" w14:textId="63D8A16D" w:rsidR="00FD385D" w:rsidRDefault="00FD385D" w:rsidP="005810AD">
    <w:pPr>
      <w:pStyle w:val="Header"/>
    </w:pPr>
    <w:r>
      <w:rPr>
        <w:noProof/>
        <w:lang w:eastAsia="en-AU"/>
      </w:rPr>
      <w:drawing>
        <wp:anchor distT="0" distB="0" distL="114300" distR="114300" simplePos="0" relativeHeight="251677696" behindDoc="1" locked="1" layoutInCell="1" allowOverlap="1" wp14:anchorId="08B5B0DC" wp14:editId="5ACE5929">
          <wp:simplePos x="0" y="0"/>
          <wp:positionH relativeFrom="page">
            <wp:align>right</wp:align>
          </wp:positionH>
          <wp:positionV relativeFrom="page">
            <wp:align>top</wp:align>
          </wp:positionV>
          <wp:extent cx="3798000" cy="1184400"/>
          <wp:effectExtent l="0" t="0" r="0" b="0"/>
          <wp:wrapNone/>
          <wp:docPr id="40" name="Picture 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951CA" w14:textId="056F2673" w:rsidR="00FD385D" w:rsidRDefault="00FD385D" w:rsidP="00F4595E">
    <w:pPr>
      <w:pStyle w:val="Headerlandscape"/>
    </w:pPr>
    <w:r>
      <w:t>Public Environment Report</w:t>
    </w:r>
    <w:r>
      <mc:AlternateContent>
        <mc:Choice Requires="wps">
          <w:drawing>
            <wp:anchor distT="0" distB="0" distL="114300" distR="114300" simplePos="0" relativeHeight="251692032" behindDoc="0" locked="1" layoutInCell="1" allowOverlap="1" wp14:anchorId="1422D04A" wp14:editId="5F38A9F5">
              <wp:simplePos x="0" y="0"/>
              <wp:positionH relativeFrom="page">
                <wp:posOffset>0</wp:posOffset>
              </wp:positionH>
              <wp:positionV relativeFrom="page">
                <wp:posOffset>1080135</wp:posOffset>
              </wp:positionV>
              <wp:extent cx="15156000" cy="0"/>
              <wp:effectExtent l="0" t="0" r="0" b="0"/>
              <wp:wrapNone/>
              <wp:docPr id="24" name="Straight Connector 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8274EAB" id="Straight Connector 24" o:spid="_x0000_s1026" style="position:absolute;z-index:2516920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" strokecolor="#220d5c [3044]">
              <w10:wrap anchorx="page" anchory="page"/>
              <w10:anchorlock/>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83FD9" w14:textId="59028B2F" w:rsidR="00FD385D" w:rsidRDefault="00FD385D" w:rsidP="00F4595E">
    <w:pPr>
      <w:pStyle w:val="Headerlandscape"/>
    </w:pPr>
    <w:r>
      <w:drawing>
        <wp:anchor distT="0" distB="0" distL="114300" distR="114300" simplePos="0" relativeHeight="251679744" behindDoc="1" locked="1" layoutInCell="1" allowOverlap="1" wp14:anchorId="51A27898" wp14:editId="326818CF">
          <wp:simplePos x="0" y="0"/>
          <wp:positionH relativeFrom="page">
            <wp:align>right</wp:align>
          </wp:positionH>
          <wp:positionV relativeFrom="page">
            <wp:align>top</wp:align>
          </wp:positionV>
          <wp:extent cx="3798000" cy="1184400"/>
          <wp:effectExtent l="0" t="0" r="0" b="0"/>
          <wp:wrapNone/>
          <wp:docPr id="41" name="Picture 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C8F96" w14:textId="0CC9902F" w:rsidR="00FD385D" w:rsidRDefault="00FD385D" w:rsidP="007C7ADA">
    <w:pPr>
      <w:pStyle w:val="Header"/>
    </w:pPr>
    <w:r>
      <w:rPr>
        <w:noProof/>
        <w:lang w:eastAsia="en-AU"/>
      </w:rPr>
      <mc:AlternateContent>
        <mc:Choice Requires="wps">
          <w:drawing>
            <wp:anchor distT="0" distB="0" distL="114300" distR="114300" simplePos="0" relativeHeight="251669504" behindDoc="0" locked="1" layoutInCell="1" allowOverlap="1" wp14:anchorId="2BAD0EC7" wp14:editId="31B5CFD2">
              <wp:simplePos x="0" y="0"/>
              <wp:positionH relativeFrom="page">
                <wp:posOffset>0</wp:posOffset>
              </wp:positionH>
              <wp:positionV relativeFrom="page">
                <wp:posOffset>1080135</wp:posOffset>
              </wp:positionV>
              <wp:extent cx="15156000" cy="0"/>
              <wp:effectExtent l="0" t="0" r="0" b="0"/>
              <wp:wrapNone/>
              <wp:docPr id="9" name="Straight Connector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9457BB4" id="Straight Connector 9" o:spid="_x0000_s1026" style="position:absolute;z-index:2516695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Ot9oam3AQAAxAMAAA4AAAAAAAAAAAAAAAAALgIAAGRycy9l&#10;Mm9Eb2MueG1sUEsBAi0AFAAGAAgAAAAhAMzOlrjfAAAACQEAAA8AAAAAAAAAAAAAAAAAEQQAAGRy&#10;cy9kb3ducmV2LnhtbFBLBQYAAAAABAAEAPMAAAAdBQAAAAA=&#10;" strokecolor="#220d5c [3044]">
              <w10:wrap anchorx="page" anchory="page"/>
              <w10:anchorlock/>
            </v:line>
          </w:pict>
        </mc:Fallback>
      </mc:AlternateContent>
    </w:r>
    <w:r>
      <w:t>Public Environment Report</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04728" w14:textId="620BED0C" w:rsidR="00FD385D" w:rsidRDefault="00FD385D" w:rsidP="00D80997">
    <w:pPr>
      <w:pStyle w:val="Header"/>
    </w:pPr>
    <w:r>
      <w:rPr>
        <w:noProof/>
        <w:lang w:eastAsia="en-AU"/>
      </w:rPr>
      <w:drawing>
        <wp:anchor distT="0" distB="0" distL="114300" distR="114300" simplePos="0" relativeHeight="251681792" behindDoc="1" locked="1" layoutInCell="1" allowOverlap="1" wp14:anchorId="7E91C544" wp14:editId="268E9A67">
          <wp:simplePos x="0" y="0"/>
          <wp:positionH relativeFrom="page">
            <wp:align>right</wp:align>
          </wp:positionH>
          <wp:positionV relativeFrom="page">
            <wp:align>top</wp:align>
          </wp:positionV>
          <wp:extent cx="3798000" cy="1184400"/>
          <wp:effectExtent l="0" t="0" r="0" b="0"/>
          <wp:wrapNone/>
          <wp:docPr id="42" name="Picture 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7B6D4" w14:textId="1292FA49" w:rsidR="00FD385D" w:rsidRDefault="00FD385D" w:rsidP="00D80997">
    <w:pPr>
      <w:pStyle w:val="Headerlandscape"/>
    </w:pPr>
    <w:r>
      <w:drawing>
        <wp:anchor distT="0" distB="0" distL="114300" distR="114300" simplePos="0" relativeHeight="251683840" behindDoc="1" locked="1" layoutInCell="1" allowOverlap="1" wp14:anchorId="2B9878EB" wp14:editId="02728C7C">
          <wp:simplePos x="0" y="0"/>
          <wp:positionH relativeFrom="page">
            <wp:align>right</wp:align>
          </wp:positionH>
          <wp:positionV relativeFrom="page">
            <wp:align>top</wp:align>
          </wp:positionV>
          <wp:extent cx="3798000" cy="1184400"/>
          <wp:effectExtent l="0" t="0" r="0" b="0"/>
          <wp:wrapNone/>
          <wp:docPr id="43" name="Picture 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E2CFB" w14:textId="77777777" w:rsidR="00FD385D" w:rsidRDefault="00FD385D" w:rsidP="007C7ADA">
    <w:pPr>
      <w:pStyle w:val="Header"/>
    </w:pPr>
    <w:r>
      <w:rPr>
        <w:noProof/>
        <w:lang w:eastAsia="en-AU"/>
      </w:rPr>
      <mc:AlternateContent>
        <mc:Choice Requires="wps">
          <w:drawing>
            <wp:anchor distT="0" distB="0" distL="114300" distR="114300" simplePos="0" relativeHeight="251671552" behindDoc="0" locked="1" layoutInCell="1" allowOverlap="1" wp14:anchorId="6B7079C4" wp14:editId="2ABEDF22">
              <wp:simplePos x="0" y="0"/>
              <wp:positionH relativeFrom="page">
                <wp:posOffset>0</wp:posOffset>
              </wp:positionH>
              <wp:positionV relativeFrom="page">
                <wp:posOffset>1080135</wp:posOffset>
              </wp:positionV>
              <wp:extent cx="15156000" cy="0"/>
              <wp:effectExtent l="0" t="0" r="0" b="0"/>
              <wp:wrapNone/>
              <wp:docPr id="11" name="Straight Connector 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FD4E4B7" id="Straight Connector 11" o:spid="_x0000_s1026" style="position:absolute;z-index:2516715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IunJ723AQAAxgMAAA4AAAAAAAAAAAAAAAAALgIAAGRycy9l&#10;Mm9Eb2MueG1sUEsBAi0AFAAGAAgAAAAhAMzOlrjfAAAACQEAAA8AAAAAAAAAAAAAAAAAEQQAAGRy&#10;cy9kb3ducmV2LnhtbFBLBQYAAAAABAAEAPMAAAAdBQAAAAA=&#10;" strokecolor="#220d5c [3044]">
              <w10:wrap anchorx="page" anchory="page"/>
              <w10:anchorlock/>
            </v:line>
          </w:pict>
        </mc:Fallback>
      </mc:AlternateContent>
    </w:r>
    <w:r>
      <w:t>Public Environment Report</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1CB26" w14:textId="63AB3FF8" w:rsidR="00FD385D" w:rsidRDefault="00FD385D" w:rsidP="005810AD">
    <w:pPr>
      <w:pStyle w:val="Header"/>
    </w:pPr>
    <w:r>
      <w:rPr>
        <w:noProof/>
        <w:lang w:eastAsia="en-AU"/>
      </w:rPr>
      <w:drawing>
        <wp:anchor distT="0" distB="0" distL="114300" distR="114300" simplePos="0" relativeHeight="251685888" behindDoc="1" locked="1" layoutInCell="1" allowOverlap="1" wp14:anchorId="3BC2061B" wp14:editId="3900D5A6">
          <wp:simplePos x="0" y="0"/>
          <wp:positionH relativeFrom="page">
            <wp:align>right</wp:align>
          </wp:positionH>
          <wp:positionV relativeFrom="page">
            <wp:align>top</wp:align>
          </wp:positionV>
          <wp:extent cx="3798000" cy="1184400"/>
          <wp:effectExtent l="0" t="0" r="0" b="0"/>
          <wp:wrapNone/>
          <wp:docPr id="20" name="Picture 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9982C" w14:textId="53F91018" w:rsidR="00FD385D" w:rsidRDefault="00FD385D">
    <w:pPr>
      <w:pStyle w:val="Header"/>
    </w:pPr>
    <w:r>
      <w:rPr>
        <w:noProof/>
        <w:lang w:eastAsia="en-AU"/>
      </w:rPr>
      <w:drawing>
        <wp:anchor distT="0" distB="0" distL="114300" distR="114300" simplePos="0" relativeHeight="251661312" behindDoc="1" locked="1" layoutInCell="1" allowOverlap="1" wp14:anchorId="14EB3C91" wp14:editId="445657E7">
          <wp:simplePos x="0" y="0"/>
          <wp:positionH relativeFrom="page">
            <wp:align>right</wp:align>
          </wp:positionH>
          <wp:positionV relativeFrom="page">
            <wp:align>top</wp:align>
          </wp:positionV>
          <wp:extent cx="3798000" cy="1184400"/>
          <wp:effectExtent l="0" t="0" r="0" b="0"/>
          <wp:wrapNone/>
          <wp:docPr id="36" name="Picture 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2825B" w14:textId="05D2C600" w:rsidR="00FD385D" w:rsidRPr="00D3135D" w:rsidRDefault="00FD385D" w:rsidP="000C3A8D">
    <w:pPr>
      <w:pStyle w:val="HeaderFirstPage"/>
    </w:pPr>
    <w:r>
      <w:rPr>
        <w:lang w:eastAsia="en-AU"/>
      </w:rPr>
      <w:drawing>
        <wp:anchor distT="0" distB="0" distL="114300" distR="114300" simplePos="0" relativeHeight="251659264" behindDoc="1" locked="1" layoutInCell="1" allowOverlap="1" wp14:anchorId="0202A899" wp14:editId="0B22B581">
          <wp:simplePos x="0" y="0"/>
          <wp:positionH relativeFrom="page">
            <wp:align>center</wp:align>
          </wp:positionH>
          <wp:positionV relativeFrom="page">
            <wp:align>center</wp:align>
          </wp:positionV>
          <wp:extent cx="7560000" cy="10692000"/>
          <wp:effectExtent l="0" t="0" r="3175" b="0"/>
          <wp:wrapNone/>
          <wp:docPr id="37" name="Picture 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 Ch 8.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t xml:space="preserve">Public </w:t>
    </w:r>
    <w:r w:rsidRPr="00D3135D">
      <w:t>Environment</w:t>
    </w:r>
    <w:r>
      <w:t xml:space="preserve"> Report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04A86" w14:textId="4DB334F7" w:rsidR="00FD385D" w:rsidRDefault="00FD385D" w:rsidP="009E168B">
    <w:pPr>
      <w:pStyle w:val="Headerlandscape"/>
    </w:pPr>
    <w:r>
      <w:t>Public Environment Report</w:t>
    </w:r>
    <w:r>
      <mc:AlternateContent>
        <mc:Choice Requires="wps">
          <w:drawing>
            <wp:anchor distT="0" distB="0" distL="114300" distR="114300" simplePos="0" relativeHeight="251687936" behindDoc="0" locked="1" layoutInCell="1" allowOverlap="1" wp14:anchorId="6F03B62E" wp14:editId="12A498B3">
              <wp:simplePos x="0" y="0"/>
              <wp:positionH relativeFrom="page">
                <wp:posOffset>0</wp:posOffset>
              </wp:positionH>
              <wp:positionV relativeFrom="page">
                <wp:posOffset>1080135</wp:posOffset>
              </wp:positionV>
              <wp:extent cx="15156000" cy="0"/>
              <wp:effectExtent l="0" t="0" r="0" b="0"/>
              <wp:wrapNone/>
              <wp:docPr id="21" name="Straight Connector 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013331E" id="Straight Connector 21" o:spid="_x0000_s1026" style="position:absolute;z-index:2516879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EKqtwEAAMY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upMiKM9v9JRJ&#10;2cOUxQ5DYAWRBAdZqVNMPQN2YU9XL8U9FdqzIV++TEjMVd3zoi7MWWi+7O66u/u25VfQt2DzgoyU&#10;8ntAL8phkM6Gwlz16vghZe7GqbcUdsokl971lM8OSrILn8Ewm9Ktousewc6ROCreAKU1hFy5cL2a&#10;XWDGOrcA2z8Dr/kFCnXH/ga8IGpnDHkBexuQftc9z7eRzSX/psCFd5HgGcdzfZUqDS9LVey62GUb&#10;f/Qr/OX3234H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BY4Qqq3AQAAxgMAAA4AAAAAAAAAAAAAAAAALgIAAGRycy9l&#10;Mm9Eb2MueG1sUEsBAi0AFAAGAAgAAAAhAMzOlrjfAAAACQEAAA8AAAAAAAAAAAAAAAAAEQQAAGRy&#10;cy9kb3ducmV2LnhtbFBLBQYAAAAABAAEAPMAAAAdBQAAAAA=&#10;" strokecolor="#220d5c [3044]">
              <w10:wrap anchorx="page" anchory="page"/>
              <w10:anchorlock/>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220A3F" w14:textId="561F5D73" w:rsidR="00FD385D" w:rsidRDefault="00FD385D" w:rsidP="009E168B">
    <w:pPr>
      <w:pStyle w:val="Headerlandscape"/>
    </w:pPr>
    <w:r>
      <w:drawing>
        <wp:anchor distT="0" distB="0" distL="114300" distR="114300" simplePos="0" relativeHeight="251673600" behindDoc="1" locked="1" layoutInCell="1" allowOverlap="1" wp14:anchorId="0C50F686" wp14:editId="2B8C1AF8">
          <wp:simplePos x="0" y="0"/>
          <wp:positionH relativeFrom="page">
            <wp:align>right</wp:align>
          </wp:positionH>
          <wp:positionV relativeFrom="page">
            <wp:align>top</wp:align>
          </wp:positionV>
          <wp:extent cx="3798000" cy="1184400"/>
          <wp:effectExtent l="0" t="0" r="0" b="0"/>
          <wp:wrapNone/>
          <wp:docPr id="38" name="Picture 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A7F18" w14:textId="58F2560C" w:rsidR="00FD385D" w:rsidRDefault="00FD385D" w:rsidP="007C7ADA">
    <w:pPr>
      <w:pStyle w:val="Header"/>
    </w:pPr>
    <w:r>
      <w:rPr>
        <w:noProof/>
        <w:lang w:eastAsia="en-AU"/>
      </w:rPr>
      <mc:AlternateContent>
        <mc:Choice Requires="wps">
          <w:drawing>
            <wp:anchor distT="0" distB="0" distL="114300" distR="114300" simplePos="0" relativeHeight="251665408" behindDoc="0" locked="1" layoutInCell="1" allowOverlap="1" wp14:anchorId="63DBE1E0" wp14:editId="73C2BDB4">
              <wp:simplePos x="0" y="0"/>
              <wp:positionH relativeFrom="page">
                <wp:posOffset>0</wp:posOffset>
              </wp:positionH>
              <wp:positionV relativeFrom="page">
                <wp:posOffset>1080135</wp:posOffset>
              </wp:positionV>
              <wp:extent cx="15156000" cy="0"/>
              <wp:effectExtent l="0" t="0" r="0" b="0"/>
              <wp:wrapNone/>
              <wp:docPr id="7" name="Straight Connector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568CA65" id="Straight Connector 7" o:spid="_x0000_s1026" style="position:absolute;z-index:2516654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Eol56O3AQAAxAMAAA4AAAAAAAAAAAAAAAAALgIAAGRycy9l&#10;Mm9Eb2MueG1sUEsBAi0AFAAGAAgAAAAhAMzOlrjfAAAACQEAAA8AAAAAAAAAAAAAAAAAEQQAAGRy&#10;cy9kb3ducmV2LnhtbFBLBQYAAAAABAAEAPMAAAAdBQAAAAA=&#10;" strokecolor="#220d5c [3044]">
              <w10:wrap anchorx="page" anchory="page"/>
              <w10:anchorlock/>
            </v:line>
          </w:pict>
        </mc:Fallback>
      </mc:AlternateContent>
    </w:r>
    <w:r>
      <w:t>Public Environment Report</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D1AD3" w14:textId="77777777" w:rsidR="00FD385D" w:rsidRDefault="00FD385D" w:rsidP="005810A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DECC2" w14:textId="65D20639" w:rsidR="00FD385D" w:rsidRDefault="00FD385D" w:rsidP="009E168B">
    <w:pPr>
      <w:pStyle w:val="Headerlandscape"/>
    </w:pPr>
    <w:r>
      <w:t>Public Environment Report</w:t>
    </w:r>
    <w:r>
      <mc:AlternateContent>
        <mc:Choice Requires="wps">
          <w:drawing>
            <wp:anchor distT="0" distB="0" distL="114300" distR="114300" simplePos="0" relativeHeight="251689984" behindDoc="0" locked="1" layoutInCell="1" allowOverlap="1" wp14:anchorId="45459492" wp14:editId="16ED4AD2">
              <wp:simplePos x="0" y="0"/>
              <wp:positionH relativeFrom="page">
                <wp:posOffset>0</wp:posOffset>
              </wp:positionH>
              <wp:positionV relativeFrom="page">
                <wp:posOffset>1080135</wp:posOffset>
              </wp:positionV>
              <wp:extent cx="15156000" cy="0"/>
              <wp:effectExtent l="0" t="0" r="0" b="0"/>
              <wp:wrapNone/>
              <wp:docPr id="22" name="Straight Connector 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4469EFC" id="Straight Connector 22" o:spid="_x0000_s1026" style="position:absolute;z-index:25168998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N4uAEAAMY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" strokecolor="#220d5c [3044]">
              <w10:wrap anchorx="page" anchory="page"/>
              <w10:anchorlock/>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69D4F" w14:textId="0DBD0D8A" w:rsidR="00FD385D" w:rsidRDefault="00FD385D" w:rsidP="009E168B">
    <w:pPr>
      <w:pStyle w:val="Headerlandscape"/>
    </w:pPr>
    <w:r>
      <w:drawing>
        <wp:anchor distT="0" distB="0" distL="114300" distR="114300" simplePos="0" relativeHeight="251675648" behindDoc="1" locked="1" layoutInCell="1" allowOverlap="1" wp14:anchorId="28BD2E8B" wp14:editId="6575CAB4">
          <wp:simplePos x="0" y="0"/>
          <wp:positionH relativeFrom="page">
            <wp:align>right</wp:align>
          </wp:positionH>
          <wp:positionV relativeFrom="page">
            <wp:align>top</wp:align>
          </wp:positionV>
          <wp:extent cx="3798000" cy="1184400"/>
          <wp:effectExtent l="0" t="0" r="0" b="0"/>
          <wp:wrapNone/>
          <wp:docPr id="39" name="Picture 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F9FAA6C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9A345818"/>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470AD38E"/>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5C8246D4"/>
    <w:lvl w:ilvl="0">
      <w:start w:val="8"/>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250E62" w:themeColor="accent1"/>
      </w:rPr>
    </w:lvl>
    <w:lvl w:ilvl="2">
      <w:start w:val="1"/>
      <w:numFmt w:val="decimal"/>
      <w:pStyle w:val="Heading3"/>
      <w:lvlText w:val="%1.%2.%3"/>
      <w:lvlJc w:val="left"/>
      <w:pPr>
        <w:ind w:left="1418" w:hanging="1418"/>
      </w:pPr>
      <w:rPr>
        <w:rFonts w:hint="default"/>
        <w:color w:val="009A44"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5E675BD1"/>
    <w:multiLevelType w:val="hybridMultilevel"/>
    <w:tmpl w:val="329877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250E62" w:themeColor="accent1"/>
      </w:rPr>
    </w:lvl>
    <w:lvl w:ilvl="2">
      <w:start w:val="1"/>
      <w:numFmt w:val="lowerLetter"/>
      <w:lvlText w:val="%3"/>
      <w:lvlJc w:val="left"/>
      <w:pPr>
        <w:ind w:left="680" w:hanging="340"/>
      </w:pPr>
      <w:rPr>
        <w:rFonts w:hint="default"/>
        <w:color w:val="250E62" w:themeColor="accent1"/>
      </w:rPr>
    </w:lvl>
    <w:lvl w:ilvl="3">
      <w:start w:val="1"/>
      <w:numFmt w:val="lowerRoman"/>
      <w:lvlText w:val="%4"/>
      <w:lvlJc w:val="left"/>
      <w:pPr>
        <w:ind w:left="1021" w:hanging="341"/>
      </w:pPr>
      <w:rPr>
        <w:rFonts w:hint="default"/>
        <w:color w:val="250E62"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250E62"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8"/>
  </w:num>
  <w:num w:numId="2">
    <w:abstractNumId w:val="5"/>
  </w:num>
  <w:num w:numId="3">
    <w:abstractNumId w:val="4"/>
  </w:num>
  <w:num w:numId="4">
    <w:abstractNumId w:val="2"/>
  </w:num>
  <w:num w:numId="5">
    <w:abstractNumId w:val="1"/>
  </w:num>
  <w:num w:numId="6">
    <w:abstractNumId w:val="0"/>
  </w:num>
  <w:num w:numId="7">
    <w:abstractNumId w:val="7"/>
  </w:num>
  <w:num w:numId="8">
    <w:abstractNumId w:val="3"/>
  </w:num>
  <w:num w:numId="9">
    <w:abstractNumId w:val="6"/>
  </w:num>
  <w:num w:numId="10">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fr-FR" w:vendorID="64" w:dllVersion="0" w:nlCheck="1" w:checkStyle="0"/>
  <w:activeWritingStyle w:appName="MSWord" w:lang="en-AU" w:vendorID="64" w:dllVersion="0" w:nlCheck="1" w:checkStyle="0"/>
  <w:activeWritingStyle w:appName="MSWord" w:lang="en-AU" w:vendorID="64" w:dllVersion="131078" w:nlCheck="1" w:checkStyle="1"/>
  <w:activeWritingStyle w:appName="MSWord" w:lang="fr-FR" w:vendorID="64" w:dllVersion="131078" w:nlCheck="1" w:checkStyle="0"/>
  <w:activeWritingStyle w:appName="MSWord" w:lang="en-US" w:vendorID="64" w:dllVersion="131078" w:nlCheck="1" w:checkStyle="1"/>
  <w:proofState w:spelling="clean" w:grammar="clean"/>
  <w:stylePaneSortMethod w:val="0000"/>
  <w:documentProtection w:formatting="1" w:enforcement="1"/>
  <w:defaultTabStop w:val="720"/>
  <w:evenAndOddHeaders/>
  <w:characterSpacingControl w:val="doNotCompress"/>
  <w:hdrShapeDefaults>
    <o:shapedefaults v:ext="edit" spidmax="35841"/>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1AC7"/>
    <w:rsid w:val="00003622"/>
    <w:rsid w:val="0000415F"/>
    <w:rsid w:val="000058C3"/>
    <w:rsid w:val="00007E73"/>
    <w:rsid w:val="00013A54"/>
    <w:rsid w:val="00013C24"/>
    <w:rsid w:val="00014A01"/>
    <w:rsid w:val="0001553D"/>
    <w:rsid w:val="00016936"/>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776D"/>
    <w:rsid w:val="00047F4F"/>
    <w:rsid w:val="00050AF0"/>
    <w:rsid w:val="00052CFD"/>
    <w:rsid w:val="00053E1F"/>
    <w:rsid w:val="00053ED4"/>
    <w:rsid w:val="00054ED4"/>
    <w:rsid w:val="0005668D"/>
    <w:rsid w:val="00056FDF"/>
    <w:rsid w:val="00062416"/>
    <w:rsid w:val="000639E5"/>
    <w:rsid w:val="00070A2B"/>
    <w:rsid w:val="0007669C"/>
    <w:rsid w:val="00080123"/>
    <w:rsid w:val="00083077"/>
    <w:rsid w:val="00095E7F"/>
    <w:rsid w:val="000A247E"/>
    <w:rsid w:val="000A2DFD"/>
    <w:rsid w:val="000A4DFB"/>
    <w:rsid w:val="000A554C"/>
    <w:rsid w:val="000A661C"/>
    <w:rsid w:val="000A6F16"/>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B71"/>
    <w:rsid w:val="000E0DC4"/>
    <w:rsid w:val="000E1DAB"/>
    <w:rsid w:val="000E1F0E"/>
    <w:rsid w:val="000F0446"/>
    <w:rsid w:val="000F060A"/>
    <w:rsid w:val="000F1992"/>
    <w:rsid w:val="000F2147"/>
    <w:rsid w:val="000F3515"/>
    <w:rsid w:val="000F42C0"/>
    <w:rsid w:val="000F5477"/>
    <w:rsid w:val="000F6123"/>
    <w:rsid w:val="000F65AF"/>
    <w:rsid w:val="00105B32"/>
    <w:rsid w:val="001078E8"/>
    <w:rsid w:val="00110203"/>
    <w:rsid w:val="001130DB"/>
    <w:rsid w:val="0011570F"/>
    <w:rsid w:val="00116DDF"/>
    <w:rsid w:val="00117B0A"/>
    <w:rsid w:val="00120813"/>
    <w:rsid w:val="00120DF1"/>
    <w:rsid w:val="00122255"/>
    <w:rsid w:val="001229F0"/>
    <w:rsid w:val="00122FCC"/>
    <w:rsid w:val="00123162"/>
    <w:rsid w:val="001234E9"/>
    <w:rsid w:val="00124A1C"/>
    <w:rsid w:val="0012791D"/>
    <w:rsid w:val="001320D7"/>
    <w:rsid w:val="0013218F"/>
    <w:rsid w:val="001331C9"/>
    <w:rsid w:val="00135C7F"/>
    <w:rsid w:val="00142291"/>
    <w:rsid w:val="00144BBA"/>
    <w:rsid w:val="00147E56"/>
    <w:rsid w:val="001503D3"/>
    <w:rsid w:val="00150B50"/>
    <w:rsid w:val="00150F46"/>
    <w:rsid w:val="00153CF5"/>
    <w:rsid w:val="00154355"/>
    <w:rsid w:val="001574D4"/>
    <w:rsid w:val="00157ECB"/>
    <w:rsid w:val="00161FE6"/>
    <w:rsid w:val="00163CED"/>
    <w:rsid w:val="001656FF"/>
    <w:rsid w:val="001668AB"/>
    <w:rsid w:val="00172168"/>
    <w:rsid w:val="00172886"/>
    <w:rsid w:val="00173811"/>
    <w:rsid w:val="00174C76"/>
    <w:rsid w:val="00174E12"/>
    <w:rsid w:val="001775A3"/>
    <w:rsid w:val="00177AA5"/>
    <w:rsid w:val="00181925"/>
    <w:rsid w:val="00181A7E"/>
    <w:rsid w:val="00192F51"/>
    <w:rsid w:val="0019472B"/>
    <w:rsid w:val="00196EC8"/>
    <w:rsid w:val="001976D2"/>
    <w:rsid w:val="00197EFB"/>
    <w:rsid w:val="001A181E"/>
    <w:rsid w:val="001A3A9D"/>
    <w:rsid w:val="001A7160"/>
    <w:rsid w:val="001A75E1"/>
    <w:rsid w:val="001A76AF"/>
    <w:rsid w:val="001A7776"/>
    <w:rsid w:val="001B2DD5"/>
    <w:rsid w:val="001B30F7"/>
    <w:rsid w:val="001B4565"/>
    <w:rsid w:val="001B515C"/>
    <w:rsid w:val="001B662E"/>
    <w:rsid w:val="001B7703"/>
    <w:rsid w:val="001C1A26"/>
    <w:rsid w:val="001C1AC7"/>
    <w:rsid w:val="001C1E5B"/>
    <w:rsid w:val="001C3F61"/>
    <w:rsid w:val="001C5EC2"/>
    <w:rsid w:val="001C6171"/>
    <w:rsid w:val="001D15FC"/>
    <w:rsid w:val="001D1BDA"/>
    <w:rsid w:val="001D25DA"/>
    <w:rsid w:val="001D3B17"/>
    <w:rsid w:val="001D5F37"/>
    <w:rsid w:val="001D6464"/>
    <w:rsid w:val="001D6F2D"/>
    <w:rsid w:val="001E013A"/>
    <w:rsid w:val="001E11E4"/>
    <w:rsid w:val="001E2899"/>
    <w:rsid w:val="001E4C74"/>
    <w:rsid w:val="001E7FC7"/>
    <w:rsid w:val="001F3F88"/>
    <w:rsid w:val="001F571B"/>
    <w:rsid w:val="001F6DF9"/>
    <w:rsid w:val="001F76EB"/>
    <w:rsid w:val="00201900"/>
    <w:rsid w:val="002021BF"/>
    <w:rsid w:val="00204EE2"/>
    <w:rsid w:val="00207206"/>
    <w:rsid w:val="00207F25"/>
    <w:rsid w:val="00212BA8"/>
    <w:rsid w:val="002134B1"/>
    <w:rsid w:val="00213EDF"/>
    <w:rsid w:val="002142B2"/>
    <w:rsid w:val="00217987"/>
    <w:rsid w:val="00217DF3"/>
    <w:rsid w:val="00220CDD"/>
    <w:rsid w:val="002215C7"/>
    <w:rsid w:val="00222DEB"/>
    <w:rsid w:val="00224E65"/>
    <w:rsid w:val="00231721"/>
    <w:rsid w:val="00237873"/>
    <w:rsid w:val="00237A77"/>
    <w:rsid w:val="0024199C"/>
    <w:rsid w:val="002428EE"/>
    <w:rsid w:val="0024444C"/>
    <w:rsid w:val="00245DF1"/>
    <w:rsid w:val="00247065"/>
    <w:rsid w:val="00247807"/>
    <w:rsid w:val="002500AE"/>
    <w:rsid w:val="0025023D"/>
    <w:rsid w:val="00253B4A"/>
    <w:rsid w:val="0025542C"/>
    <w:rsid w:val="002561AD"/>
    <w:rsid w:val="0025787E"/>
    <w:rsid w:val="002609FD"/>
    <w:rsid w:val="00261F88"/>
    <w:rsid w:val="00265073"/>
    <w:rsid w:val="0027245C"/>
    <w:rsid w:val="00277AF5"/>
    <w:rsid w:val="002811F9"/>
    <w:rsid w:val="00281BBF"/>
    <w:rsid w:val="0028273B"/>
    <w:rsid w:val="00282B57"/>
    <w:rsid w:val="00283B87"/>
    <w:rsid w:val="002867A7"/>
    <w:rsid w:val="00287D24"/>
    <w:rsid w:val="00292D2A"/>
    <w:rsid w:val="0029345C"/>
    <w:rsid w:val="00294914"/>
    <w:rsid w:val="0029614E"/>
    <w:rsid w:val="002A05B1"/>
    <w:rsid w:val="002A47DC"/>
    <w:rsid w:val="002A4AF1"/>
    <w:rsid w:val="002A6398"/>
    <w:rsid w:val="002B282F"/>
    <w:rsid w:val="002B4B77"/>
    <w:rsid w:val="002B65E9"/>
    <w:rsid w:val="002B6EF0"/>
    <w:rsid w:val="002C1713"/>
    <w:rsid w:val="002C2990"/>
    <w:rsid w:val="002C4834"/>
    <w:rsid w:val="002C555F"/>
    <w:rsid w:val="002C6E43"/>
    <w:rsid w:val="002D1CB1"/>
    <w:rsid w:val="002D22A6"/>
    <w:rsid w:val="002D22B9"/>
    <w:rsid w:val="002D23B2"/>
    <w:rsid w:val="002D310F"/>
    <w:rsid w:val="002D3A61"/>
    <w:rsid w:val="002D6B00"/>
    <w:rsid w:val="002D6BA2"/>
    <w:rsid w:val="002E0392"/>
    <w:rsid w:val="002E2BC7"/>
    <w:rsid w:val="002E3267"/>
    <w:rsid w:val="002E3E20"/>
    <w:rsid w:val="002E6F57"/>
    <w:rsid w:val="002F12AE"/>
    <w:rsid w:val="002F2EB9"/>
    <w:rsid w:val="002F30E8"/>
    <w:rsid w:val="002F4826"/>
    <w:rsid w:val="00302352"/>
    <w:rsid w:val="00302F49"/>
    <w:rsid w:val="00306EF7"/>
    <w:rsid w:val="003103FD"/>
    <w:rsid w:val="003108F5"/>
    <w:rsid w:val="003109B3"/>
    <w:rsid w:val="00312040"/>
    <w:rsid w:val="0031364F"/>
    <w:rsid w:val="0031559F"/>
    <w:rsid w:val="00315FBA"/>
    <w:rsid w:val="00317037"/>
    <w:rsid w:val="0031787A"/>
    <w:rsid w:val="00320807"/>
    <w:rsid w:val="00320991"/>
    <w:rsid w:val="00320D25"/>
    <w:rsid w:val="00321B47"/>
    <w:rsid w:val="00322D89"/>
    <w:rsid w:val="00323E9D"/>
    <w:rsid w:val="00330D1A"/>
    <w:rsid w:val="0033435B"/>
    <w:rsid w:val="00335809"/>
    <w:rsid w:val="003365C1"/>
    <w:rsid w:val="00341E0F"/>
    <w:rsid w:val="00344BFD"/>
    <w:rsid w:val="00345701"/>
    <w:rsid w:val="003461B7"/>
    <w:rsid w:val="003524A6"/>
    <w:rsid w:val="00353BBB"/>
    <w:rsid w:val="003547C0"/>
    <w:rsid w:val="00355BCD"/>
    <w:rsid w:val="00355C68"/>
    <w:rsid w:val="003565B0"/>
    <w:rsid w:val="00356F63"/>
    <w:rsid w:val="0036083B"/>
    <w:rsid w:val="00364A14"/>
    <w:rsid w:val="0036631A"/>
    <w:rsid w:val="00367FF9"/>
    <w:rsid w:val="00370C55"/>
    <w:rsid w:val="003727C6"/>
    <w:rsid w:val="003759DA"/>
    <w:rsid w:val="00376061"/>
    <w:rsid w:val="0037677C"/>
    <w:rsid w:val="00377F14"/>
    <w:rsid w:val="00380F3F"/>
    <w:rsid w:val="00383BEB"/>
    <w:rsid w:val="003851FB"/>
    <w:rsid w:val="00390E2D"/>
    <w:rsid w:val="00393047"/>
    <w:rsid w:val="00395162"/>
    <w:rsid w:val="003975FE"/>
    <w:rsid w:val="003A004E"/>
    <w:rsid w:val="003A3039"/>
    <w:rsid w:val="003A3A68"/>
    <w:rsid w:val="003A7BBB"/>
    <w:rsid w:val="003A7F4E"/>
    <w:rsid w:val="003B1121"/>
    <w:rsid w:val="003B21EE"/>
    <w:rsid w:val="003B2660"/>
    <w:rsid w:val="003B34B4"/>
    <w:rsid w:val="003B4537"/>
    <w:rsid w:val="003C0DA8"/>
    <w:rsid w:val="003C1A84"/>
    <w:rsid w:val="003C5558"/>
    <w:rsid w:val="003D10B7"/>
    <w:rsid w:val="003D16CA"/>
    <w:rsid w:val="003D266F"/>
    <w:rsid w:val="003D303F"/>
    <w:rsid w:val="003D4975"/>
    <w:rsid w:val="003D71C8"/>
    <w:rsid w:val="003D7E5A"/>
    <w:rsid w:val="003E1380"/>
    <w:rsid w:val="003E15AE"/>
    <w:rsid w:val="003E1CBD"/>
    <w:rsid w:val="003E6522"/>
    <w:rsid w:val="003E7DA4"/>
    <w:rsid w:val="003F1CA7"/>
    <w:rsid w:val="003F3E13"/>
    <w:rsid w:val="003F4093"/>
    <w:rsid w:val="003F420F"/>
    <w:rsid w:val="003F47AB"/>
    <w:rsid w:val="003F6A1C"/>
    <w:rsid w:val="003F7727"/>
    <w:rsid w:val="003F7E5E"/>
    <w:rsid w:val="004026FB"/>
    <w:rsid w:val="00402D0A"/>
    <w:rsid w:val="00402D84"/>
    <w:rsid w:val="0040469E"/>
    <w:rsid w:val="00405331"/>
    <w:rsid w:val="00406CA3"/>
    <w:rsid w:val="00406CDC"/>
    <w:rsid w:val="00411981"/>
    <w:rsid w:val="00411AF1"/>
    <w:rsid w:val="0041259D"/>
    <w:rsid w:val="00415AEA"/>
    <w:rsid w:val="00417616"/>
    <w:rsid w:val="00421148"/>
    <w:rsid w:val="0042310B"/>
    <w:rsid w:val="004242AE"/>
    <w:rsid w:val="00424A7C"/>
    <w:rsid w:val="00426DFE"/>
    <w:rsid w:val="00432957"/>
    <w:rsid w:val="00443EA8"/>
    <w:rsid w:val="00444EF7"/>
    <w:rsid w:val="00445489"/>
    <w:rsid w:val="004466F3"/>
    <w:rsid w:val="00446C4A"/>
    <w:rsid w:val="00446F27"/>
    <w:rsid w:val="00446F35"/>
    <w:rsid w:val="0044779F"/>
    <w:rsid w:val="00447F9D"/>
    <w:rsid w:val="00452575"/>
    <w:rsid w:val="00453041"/>
    <w:rsid w:val="00455F4F"/>
    <w:rsid w:val="00462270"/>
    <w:rsid w:val="00464C87"/>
    <w:rsid w:val="004655E6"/>
    <w:rsid w:val="004700A2"/>
    <w:rsid w:val="004733D1"/>
    <w:rsid w:val="0047403B"/>
    <w:rsid w:val="00477850"/>
    <w:rsid w:val="00483363"/>
    <w:rsid w:val="004837F4"/>
    <w:rsid w:val="00483C20"/>
    <w:rsid w:val="00483FAB"/>
    <w:rsid w:val="00485503"/>
    <w:rsid w:val="00485C9D"/>
    <w:rsid w:val="00486313"/>
    <w:rsid w:val="00486CBB"/>
    <w:rsid w:val="00486F0E"/>
    <w:rsid w:val="00487846"/>
    <w:rsid w:val="00491F1B"/>
    <w:rsid w:val="00492B8B"/>
    <w:rsid w:val="0049399E"/>
    <w:rsid w:val="00495B17"/>
    <w:rsid w:val="00497842"/>
    <w:rsid w:val="004A1755"/>
    <w:rsid w:val="004A1A93"/>
    <w:rsid w:val="004A216D"/>
    <w:rsid w:val="004A25A9"/>
    <w:rsid w:val="004A32BF"/>
    <w:rsid w:val="004A505C"/>
    <w:rsid w:val="004A55F8"/>
    <w:rsid w:val="004A635F"/>
    <w:rsid w:val="004A71F6"/>
    <w:rsid w:val="004B02C2"/>
    <w:rsid w:val="004B4494"/>
    <w:rsid w:val="004B5A0E"/>
    <w:rsid w:val="004B6B78"/>
    <w:rsid w:val="004C02F1"/>
    <w:rsid w:val="004C08B2"/>
    <w:rsid w:val="004C1CD1"/>
    <w:rsid w:val="004C3157"/>
    <w:rsid w:val="004C3C0E"/>
    <w:rsid w:val="004C5028"/>
    <w:rsid w:val="004C5A88"/>
    <w:rsid w:val="004C6EBF"/>
    <w:rsid w:val="004C72D8"/>
    <w:rsid w:val="004D3D6E"/>
    <w:rsid w:val="004D5078"/>
    <w:rsid w:val="004D56AE"/>
    <w:rsid w:val="004D5DF5"/>
    <w:rsid w:val="004D7310"/>
    <w:rsid w:val="004D7600"/>
    <w:rsid w:val="004D7995"/>
    <w:rsid w:val="004E2E10"/>
    <w:rsid w:val="004E3A1F"/>
    <w:rsid w:val="004E4524"/>
    <w:rsid w:val="004E593B"/>
    <w:rsid w:val="004F283A"/>
    <w:rsid w:val="004F487D"/>
    <w:rsid w:val="004F6FF0"/>
    <w:rsid w:val="004F7D42"/>
    <w:rsid w:val="00501622"/>
    <w:rsid w:val="00504AB8"/>
    <w:rsid w:val="00504BC3"/>
    <w:rsid w:val="00505DE8"/>
    <w:rsid w:val="00506AF3"/>
    <w:rsid w:val="00507661"/>
    <w:rsid w:val="00514AD3"/>
    <w:rsid w:val="00514F08"/>
    <w:rsid w:val="005151D9"/>
    <w:rsid w:val="0051542F"/>
    <w:rsid w:val="005210AD"/>
    <w:rsid w:val="00521453"/>
    <w:rsid w:val="005217F5"/>
    <w:rsid w:val="005248A1"/>
    <w:rsid w:val="00526B45"/>
    <w:rsid w:val="00526CCC"/>
    <w:rsid w:val="00530CE8"/>
    <w:rsid w:val="00533A6E"/>
    <w:rsid w:val="00536EAB"/>
    <w:rsid w:val="005442EC"/>
    <w:rsid w:val="005469E6"/>
    <w:rsid w:val="00546B28"/>
    <w:rsid w:val="00546C0D"/>
    <w:rsid w:val="005479BA"/>
    <w:rsid w:val="00553022"/>
    <w:rsid w:val="005555EB"/>
    <w:rsid w:val="005560B6"/>
    <w:rsid w:val="00557167"/>
    <w:rsid w:val="00560C70"/>
    <w:rsid w:val="0056128E"/>
    <w:rsid w:val="00561EE9"/>
    <w:rsid w:val="00562578"/>
    <w:rsid w:val="00564ED5"/>
    <w:rsid w:val="005667A7"/>
    <w:rsid w:val="00570CCB"/>
    <w:rsid w:val="005726F5"/>
    <w:rsid w:val="005730C7"/>
    <w:rsid w:val="00574218"/>
    <w:rsid w:val="005769EB"/>
    <w:rsid w:val="00577DDE"/>
    <w:rsid w:val="00577E17"/>
    <w:rsid w:val="005804B5"/>
    <w:rsid w:val="005810AD"/>
    <w:rsid w:val="0058165F"/>
    <w:rsid w:val="00584114"/>
    <w:rsid w:val="005850C2"/>
    <w:rsid w:val="0059127D"/>
    <w:rsid w:val="00593B97"/>
    <w:rsid w:val="0059442A"/>
    <w:rsid w:val="0059789D"/>
    <w:rsid w:val="005A1F81"/>
    <w:rsid w:val="005A4ABD"/>
    <w:rsid w:val="005A4F3A"/>
    <w:rsid w:val="005A70AD"/>
    <w:rsid w:val="005B4698"/>
    <w:rsid w:val="005B500B"/>
    <w:rsid w:val="005C0108"/>
    <w:rsid w:val="005C097A"/>
    <w:rsid w:val="005C0ABF"/>
    <w:rsid w:val="005C2F2C"/>
    <w:rsid w:val="005C3AB9"/>
    <w:rsid w:val="005C40D6"/>
    <w:rsid w:val="005C44B4"/>
    <w:rsid w:val="005C4602"/>
    <w:rsid w:val="005C50AF"/>
    <w:rsid w:val="005C65BD"/>
    <w:rsid w:val="005D0C80"/>
    <w:rsid w:val="005D1392"/>
    <w:rsid w:val="005D1A47"/>
    <w:rsid w:val="005D222A"/>
    <w:rsid w:val="005D4B62"/>
    <w:rsid w:val="005D57B1"/>
    <w:rsid w:val="005D5C68"/>
    <w:rsid w:val="005D699B"/>
    <w:rsid w:val="005D6F64"/>
    <w:rsid w:val="005E3228"/>
    <w:rsid w:val="005E3F1B"/>
    <w:rsid w:val="005E4B51"/>
    <w:rsid w:val="005E5AA8"/>
    <w:rsid w:val="005F0552"/>
    <w:rsid w:val="005F06E7"/>
    <w:rsid w:val="005F21D1"/>
    <w:rsid w:val="005F323C"/>
    <w:rsid w:val="005F4F6C"/>
    <w:rsid w:val="005F5C12"/>
    <w:rsid w:val="005F6DAD"/>
    <w:rsid w:val="00602D49"/>
    <w:rsid w:val="00603A97"/>
    <w:rsid w:val="0060421B"/>
    <w:rsid w:val="00606B19"/>
    <w:rsid w:val="00615C9A"/>
    <w:rsid w:val="006162DA"/>
    <w:rsid w:val="00616446"/>
    <w:rsid w:val="006165E2"/>
    <w:rsid w:val="00617357"/>
    <w:rsid w:val="00617423"/>
    <w:rsid w:val="006174CB"/>
    <w:rsid w:val="00617D69"/>
    <w:rsid w:val="00620023"/>
    <w:rsid w:val="00622B87"/>
    <w:rsid w:val="006234D0"/>
    <w:rsid w:val="006274A2"/>
    <w:rsid w:val="00631854"/>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631EA"/>
    <w:rsid w:val="00664BB6"/>
    <w:rsid w:val="00665069"/>
    <w:rsid w:val="0066659B"/>
    <w:rsid w:val="00666B0A"/>
    <w:rsid w:val="00667E68"/>
    <w:rsid w:val="006706F1"/>
    <w:rsid w:val="00671047"/>
    <w:rsid w:val="0067178E"/>
    <w:rsid w:val="00673E79"/>
    <w:rsid w:val="00681821"/>
    <w:rsid w:val="006838DC"/>
    <w:rsid w:val="006852A5"/>
    <w:rsid w:val="00685655"/>
    <w:rsid w:val="006873EF"/>
    <w:rsid w:val="0069118A"/>
    <w:rsid w:val="00691591"/>
    <w:rsid w:val="00691E3B"/>
    <w:rsid w:val="006920C8"/>
    <w:rsid w:val="006953AF"/>
    <w:rsid w:val="006A000F"/>
    <w:rsid w:val="006A2BB7"/>
    <w:rsid w:val="006A39BE"/>
    <w:rsid w:val="006A5BC5"/>
    <w:rsid w:val="006A616C"/>
    <w:rsid w:val="006A67BE"/>
    <w:rsid w:val="006A76CA"/>
    <w:rsid w:val="006A7B89"/>
    <w:rsid w:val="006B113C"/>
    <w:rsid w:val="006B2BBF"/>
    <w:rsid w:val="006B310A"/>
    <w:rsid w:val="006B3813"/>
    <w:rsid w:val="006B475B"/>
    <w:rsid w:val="006B4EBB"/>
    <w:rsid w:val="006B5506"/>
    <w:rsid w:val="006C0F69"/>
    <w:rsid w:val="006C3C2E"/>
    <w:rsid w:val="006C6A18"/>
    <w:rsid w:val="006C6A97"/>
    <w:rsid w:val="006D1AD8"/>
    <w:rsid w:val="006D28B3"/>
    <w:rsid w:val="006D2A06"/>
    <w:rsid w:val="006D4E71"/>
    <w:rsid w:val="006D59BE"/>
    <w:rsid w:val="006E1AA6"/>
    <w:rsid w:val="006E2B12"/>
    <w:rsid w:val="006E3512"/>
    <w:rsid w:val="006E6FF6"/>
    <w:rsid w:val="006E7C63"/>
    <w:rsid w:val="006F6275"/>
    <w:rsid w:val="006F7967"/>
    <w:rsid w:val="00702EE7"/>
    <w:rsid w:val="00702F7E"/>
    <w:rsid w:val="00704277"/>
    <w:rsid w:val="0070496E"/>
    <w:rsid w:val="0071013B"/>
    <w:rsid w:val="00711022"/>
    <w:rsid w:val="00711873"/>
    <w:rsid w:val="00711895"/>
    <w:rsid w:val="00712AC1"/>
    <w:rsid w:val="00712C09"/>
    <w:rsid w:val="007149BB"/>
    <w:rsid w:val="007157A0"/>
    <w:rsid w:val="00715BAA"/>
    <w:rsid w:val="00716B85"/>
    <w:rsid w:val="00716F4C"/>
    <w:rsid w:val="00717A28"/>
    <w:rsid w:val="0072195F"/>
    <w:rsid w:val="00721A8F"/>
    <w:rsid w:val="007234F3"/>
    <w:rsid w:val="00725095"/>
    <w:rsid w:val="00725229"/>
    <w:rsid w:val="00726DE4"/>
    <w:rsid w:val="007310BC"/>
    <w:rsid w:val="00733DC9"/>
    <w:rsid w:val="007355DF"/>
    <w:rsid w:val="00741C47"/>
    <w:rsid w:val="00743757"/>
    <w:rsid w:val="00743987"/>
    <w:rsid w:val="00744227"/>
    <w:rsid w:val="00746949"/>
    <w:rsid w:val="00750425"/>
    <w:rsid w:val="007530D3"/>
    <w:rsid w:val="00753FD1"/>
    <w:rsid w:val="00756604"/>
    <w:rsid w:val="007578B7"/>
    <w:rsid w:val="00757D65"/>
    <w:rsid w:val="007606DC"/>
    <w:rsid w:val="00761A4B"/>
    <w:rsid w:val="00761B1C"/>
    <w:rsid w:val="00763BE2"/>
    <w:rsid w:val="007642D3"/>
    <w:rsid w:val="0076637A"/>
    <w:rsid w:val="007704B8"/>
    <w:rsid w:val="00770981"/>
    <w:rsid w:val="00771FF4"/>
    <w:rsid w:val="00774880"/>
    <w:rsid w:val="007767A6"/>
    <w:rsid w:val="00780259"/>
    <w:rsid w:val="00780E00"/>
    <w:rsid w:val="007830DB"/>
    <w:rsid w:val="007838AF"/>
    <w:rsid w:val="007872EC"/>
    <w:rsid w:val="007913F5"/>
    <w:rsid w:val="007931FE"/>
    <w:rsid w:val="00793760"/>
    <w:rsid w:val="00793BE0"/>
    <w:rsid w:val="007A0505"/>
    <w:rsid w:val="007A4768"/>
    <w:rsid w:val="007A4B3B"/>
    <w:rsid w:val="007A63FE"/>
    <w:rsid w:val="007A6620"/>
    <w:rsid w:val="007A6909"/>
    <w:rsid w:val="007A708E"/>
    <w:rsid w:val="007B0A75"/>
    <w:rsid w:val="007B1248"/>
    <w:rsid w:val="007B127D"/>
    <w:rsid w:val="007B1C66"/>
    <w:rsid w:val="007B35DB"/>
    <w:rsid w:val="007B76AD"/>
    <w:rsid w:val="007C20B1"/>
    <w:rsid w:val="007C45F9"/>
    <w:rsid w:val="007C4C28"/>
    <w:rsid w:val="007C4D71"/>
    <w:rsid w:val="007C7ADA"/>
    <w:rsid w:val="007D167B"/>
    <w:rsid w:val="007D61D9"/>
    <w:rsid w:val="007E1530"/>
    <w:rsid w:val="007E157D"/>
    <w:rsid w:val="007E343E"/>
    <w:rsid w:val="007E5E8F"/>
    <w:rsid w:val="007E6CAC"/>
    <w:rsid w:val="007E7836"/>
    <w:rsid w:val="007E7B44"/>
    <w:rsid w:val="007F008C"/>
    <w:rsid w:val="007F13D0"/>
    <w:rsid w:val="007F5380"/>
    <w:rsid w:val="007F7872"/>
    <w:rsid w:val="00800505"/>
    <w:rsid w:val="0080127F"/>
    <w:rsid w:val="00801F81"/>
    <w:rsid w:val="00804DC5"/>
    <w:rsid w:val="00805A32"/>
    <w:rsid w:val="00806010"/>
    <w:rsid w:val="00807365"/>
    <w:rsid w:val="0081374A"/>
    <w:rsid w:val="008150C4"/>
    <w:rsid w:val="00815685"/>
    <w:rsid w:val="008170C3"/>
    <w:rsid w:val="00817212"/>
    <w:rsid w:val="008206F9"/>
    <w:rsid w:val="008207E8"/>
    <w:rsid w:val="008213EB"/>
    <w:rsid w:val="00821F0A"/>
    <w:rsid w:val="0082264F"/>
    <w:rsid w:val="00823DC4"/>
    <w:rsid w:val="00824E4B"/>
    <w:rsid w:val="00825B8D"/>
    <w:rsid w:val="00826856"/>
    <w:rsid w:val="008277B6"/>
    <w:rsid w:val="00830076"/>
    <w:rsid w:val="008300D1"/>
    <w:rsid w:val="00832F82"/>
    <w:rsid w:val="00835370"/>
    <w:rsid w:val="0083670B"/>
    <w:rsid w:val="00836EA3"/>
    <w:rsid w:val="008374CF"/>
    <w:rsid w:val="00840AE2"/>
    <w:rsid w:val="0084174D"/>
    <w:rsid w:val="0084205A"/>
    <w:rsid w:val="0084307D"/>
    <w:rsid w:val="00845449"/>
    <w:rsid w:val="0084698F"/>
    <w:rsid w:val="00850450"/>
    <w:rsid w:val="00850AB0"/>
    <w:rsid w:val="00850FAD"/>
    <w:rsid w:val="00851BB7"/>
    <w:rsid w:val="00852095"/>
    <w:rsid w:val="0085261C"/>
    <w:rsid w:val="00853623"/>
    <w:rsid w:val="00853807"/>
    <w:rsid w:val="008549CB"/>
    <w:rsid w:val="00855449"/>
    <w:rsid w:val="00860178"/>
    <w:rsid w:val="008632CB"/>
    <w:rsid w:val="00864B28"/>
    <w:rsid w:val="00864C2A"/>
    <w:rsid w:val="00870635"/>
    <w:rsid w:val="00872159"/>
    <w:rsid w:val="0087637A"/>
    <w:rsid w:val="0087697F"/>
    <w:rsid w:val="00877542"/>
    <w:rsid w:val="008821C2"/>
    <w:rsid w:val="0088751D"/>
    <w:rsid w:val="00887BF1"/>
    <w:rsid w:val="008912F0"/>
    <w:rsid w:val="0089291A"/>
    <w:rsid w:val="00892BBD"/>
    <w:rsid w:val="00893314"/>
    <w:rsid w:val="00895E25"/>
    <w:rsid w:val="0089785B"/>
    <w:rsid w:val="008978E0"/>
    <w:rsid w:val="008A6602"/>
    <w:rsid w:val="008A6729"/>
    <w:rsid w:val="008A7A62"/>
    <w:rsid w:val="008B0140"/>
    <w:rsid w:val="008B14FC"/>
    <w:rsid w:val="008B15B0"/>
    <w:rsid w:val="008B2733"/>
    <w:rsid w:val="008B7734"/>
    <w:rsid w:val="008B7C2E"/>
    <w:rsid w:val="008C22A7"/>
    <w:rsid w:val="008C22EF"/>
    <w:rsid w:val="008C277F"/>
    <w:rsid w:val="008C4729"/>
    <w:rsid w:val="008C5248"/>
    <w:rsid w:val="008D0DEB"/>
    <w:rsid w:val="008D14E7"/>
    <w:rsid w:val="008D1A44"/>
    <w:rsid w:val="008D1B5A"/>
    <w:rsid w:val="008D2F19"/>
    <w:rsid w:val="008D512A"/>
    <w:rsid w:val="008E3694"/>
    <w:rsid w:val="008E4249"/>
    <w:rsid w:val="008E506E"/>
    <w:rsid w:val="008E70EE"/>
    <w:rsid w:val="008E746F"/>
    <w:rsid w:val="008E78B4"/>
    <w:rsid w:val="008F0161"/>
    <w:rsid w:val="008F1C78"/>
    <w:rsid w:val="008F3EDC"/>
    <w:rsid w:val="008F6AD5"/>
    <w:rsid w:val="008F6C75"/>
    <w:rsid w:val="008F705C"/>
    <w:rsid w:val="009010B7"/>
    <w:rsid w:val="00902548"/>
    <w:rsid w:val="00902DB7"/>
    <w:rsid w:val="00903886"/>
    <w:rsid w:val="0090405B"/>
    <w:rsid w:val="009049B4"/>
    <w:rsid w:val="009061AD"/>
    <w:rsid w:val="0090765B"/>
    <w:rsid w:val="009105B7"/>
    <w:rsid w:val="00911E39"/>
    <w:rsid w:val="00912409"/>
    <w:rsid w:val="00913058"/>
    <w:rsid w:val="0091346B"/>
    <w:rsid w:val="0091417F"/>
    <w:rsid w:val="009161E0"/>
    <w:rsid w:val="0092081B"/>
    <w:rsid w:val="0092334E"/>
    <w:rsid w:val="009255E3"/>
    <w:rsid w:val="009260C9"/>
    <w:rsid w:val="00930539"/>
    <w:rsid w:val="009311BB"/>
    <w:rsid w:val="00931C71"/>
    <w:rsid w:val="00935367"/>
    <w:rsid w:val="0093617F"/>
    <w:rsid w:val="009372CC"/>
    <w:rsid w:val="00943408"/>
    <w:rsid w:val="00943FAB"/>
    <w:rsid w:val="00944625"/>
    <w:rsid w:val="00945112"/>
    <w:rsid w:val="009468A1"/>
    <w:rsid w:val="00946D02"/>
    <w:rsid w:val="00951032"/>
    <w:rsid w:val="00951AD0"/>
    <w:rsid w:val="00953922"/>
    <w:rsid w:val="0095520B"/>
    <w:rsid w:val="00955709"/>
    <w:rsid w:val="0096036F"/>
    <w:rsid w:val="00961505"/>
    <w:rsid w:val="00962732"/>
    <w:rsid w:val="00962D32"/>
    <w:rsid w:val="00963E90"/>
    <w:rsid w:val="00965C20"/>
    <w:rsid w:val="0096644F"/>
    <w:rsid w:val="0097006C"/>
    <w:rsid w:val="009703BE"/>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1215"/>
    <w:rsid w:val="009A0854"/>
    <w:rsid w:val="009A2890"/>
    <w:rsid w:val="009A3A36"/>
    <w:rsid w:val="009A44C4"/>
    <w:rsid w:val="009B2312"/>
    <w:rsid w:val="009B282F"/>
    <w:rsid w:val="009B4B26"/>
    <w:rsid w:val="009B5232"/>
    <w:rsid w:val="009B588C"/>
    <w:rsid w:val="009C0DE0"/>
    <w:rsid w:val="009C1260"/>
    <w:rsid w:val="009C1824"/>
    <w:rsid w:val="009C4301"/>
    <w:rsid w:val="009C739D"/>
    <w:rsid w:val="009C7B60"/>
    <w:rsid w:val="009D2807"/>
    <w:rsid w:val="009D283F"/>
    <w:rsid w:val="009D4306"/>
    <w:rsid w:val="009E168B"/>
    <w:rsid w:val="009E3121"/>
    <w:rsid w:val="009E34A7"/>
    <w:rsid w:val="009E7EA5"/>
    <w:rsid w:val="009F1726"/>
    <w:rsid w:val="009F183C"/>
    <w:rsid w:val="009F1D4F"/>
    <w:rsid w:val="009F2E9A"/>
    <w:rsid w:val="009F3608"/>
    <w:rsid w:val="009F472C"/>
    <w:rsid w:val="009F59A0"/>
    <w:rsid w:val="009F5A57"/>
    <w:rsid w:val="009F69AD"/>
    <w:rsid w:val="009F72C5"/>
    <w:rsid w:val="00A00706"/>
    <w:rsid w:val="00A00F62"/>
    <w:rsid w:val="00A0110B"/>
    <w:rsid w:val="00A01D41"/>
    <w:rsid w:val="00A02194"/>
    <w:rsid w:val="00A02FC6"/>
    <w:rsid w:val="00A058C4"/>
    <w:rsid w:val="00A064E5"/>
    <w:rsid w:val="00A11179"/>
    <w:rsid w:val="00A12388"/>
    <w:rsid w:val="00A12627"/>
    <w:rsid w:val="00A1327C"/>
    <w:rsid w:val="00A145AF"/>
    <w:rsid w:val="00A15D84"/>
    <w:rsid w:val="00A209E3"/>
    <w:rsid w:val="00A21E0D"/>
    <w:rsid w:val="00A224A4"/>
    <w:rsid w:val="00A2261B"/>
    <w:rsid w:val="00A22B98"/>
    <w:rsid w:val="00A25A03"/>
    <w:rsid w:val="00A31D20"/>
    <w:rsid w:val="00A3469A"/>
    <w:rsid w:val="00A349B2"/>
    <w:rsid w:val="00A34BAA"/>
    <w:rsid w:val="00A36DC4"/>
    <w:rsid w:val="00A373C6"/>
    <w:rsid w:val="00A374A6"/>
    <w:rsid w:val="00A40693"/>
    <w:rsid w:val="00A409D8"/>
    <w:rsid w:val="00A41067"/>
    <w:rsid w:val="00A42BD0"/>
    <w:rsid w:val="00A43503"/>
    <w:rsid w:val="00A4391C"/>
    <w:rsid w:val="00A43F61"/>
    <w:rsid w:val="00A45887"/>
    <w:rsid w:val="00A47194"/>
    <w:rsid w:val="00A5235D"/>
    <w:rsid w:val="00A527A9"/>
    <w:rsid w:val="00A63B36"/>
    <w:rsid w:val="00A642EE"/>
    <w:rsid w:val="00A653D2"/>
    <w:rsid w:val="00A65917"/>
    <w:rsid w:val="00A66376"/>
    <w:rsid w:val="00A70753"/>
    <w:rsid w:val="00A72141"/>
    <w:rsid w:val="00A72817"/>
    <w:rsid w:val="00A81785"/>
    <w:rsid w:val="00A81E86"/>
    <w:rsid w:val="00A821E5"/>
    <w:rsid w:val="00A82CC6"/>
    <w:rsid w:val="00A86B9C"/>
    <w:rsid w:val="00A92DA5"/>
    <w:rsid w:val="00A930EC"/>
    <w:rsid w:val="00A93270"/>
    <w:rsid w:val="00A93576"/>
    <w:rsid w:val="00A93C5B"/>
    <w:rsid w:val="00A94885"/>
    <w:rsid w:val="00A9687B"/>
    <w:rsid w:val="00A97DCF"/>
    <w:rsid w:val="00AA0467"/>
    <w:rsid w:val="00AA19B7"/>
    <w:rsid w:val="00AA2126"/>
    <w:rsid w:val="00AA2C45"/>
    <w:rsid w:val="00AA3AFE"/>
    <w:rsid w:val="00AA59D2"/>
    <w:rsid w:val="00AB3193"/>
    <w:rsid w:val="00AB4956"/>
    <w:rsid w:val="00AB5E9C"/>
    <w:rsid w:val="00AB69B8"/>
    <w:rsid w:val="00AB70D6"/>
    <w:rsid w:val="00AB7CED"/>
    <w:rsid w:val="00AC177A"/>
    <w:rsid w:val="00AC1D86"/>
    <w:rsid w:val="00AC1FE8"/>
    <w:rsid w:val="00AC2835"/>
    <w:rsid w:val="00AC2BA8"/>
    <w:rsid w:val="00AC6DDB"/>
    <w:rsid w:val="00AC7E2F"/>
    <w:rsid w:val="00AD2646"/>
    <w:rsid w:val="00AD2928"/>
    <w:rsid w:val="00AD3E8C"/>
    <w:rsid w:val="00AD5EF7"/>
    <w:rsid w:val="00AD6412"/>
    <w:rsid w:val="00AE00EF"/>
    <w:rsid w:val="00AE1F6B"/>
    <w:rsid w:val="00AE5454"/>
    <w:rsid w:val="00AE5928"/>
    <w:rsid w:val="00AE5F6E"/>
    <w:rsid w:val="00AE60DC"/>
    <w:rsid w:val="00AE6E88"/>
    <w:rsid w:val="00AE7158"/>
    <w:rsid w:val="00AE7A21"/>
    <w:rsid w:val="00AE7C9A"/>
    <w:rsid w:val="00AF186F"/>
    <w:rsid w:val="00AF6F27"/>
    <w:rsid w:val="00AF6FF1"/>
    <w:rsid w:val="00B004F3"/>
    <w:rsid w:val="00B0184D"/>
    <w:rsid w:val="00B0199D"/>
    <w:rsid w:val="00B02E61"/>
    <w:rsid w:val="00B0327D"/>
    <w:rsid w:val="00B0331B"/>
    <w:rsid w:val="00B03B71"/>
    <w:rsid w:val="00B11BFA"/>
    <w:rsid w:val="00B14267"/>
    <w:rsid w:val="00B170BB"/>
    <w:rsid w:val="00B178B3"/>
    <w:rsid w:val="00B20B0F"/>
    <w:rsid w:val="00B21569"/>
    <w:rsid w:val="00B22782"/>
    <w:rsid w:val="00B27B52"/>
    <w:rsid w:val="00B27BAE"/>
    <w:rsid w:val="00B30404"/>
    <w:rsid w:val="00B31244"/>
    <w:rsid w:val="00B31931"/>
    <w:rsid w:val="00B31985"/>
    <w:rsid w:val="00B3796B"/>
    <w:rsid w:val="00B414DB"/>
    <w:rsid w:val="00B41887"/>
    <w:rsid w:val="00B4291F"/>
    <w:rsid w:val="00B44102"/>
    <w:rsid w:val="00B463E0"/>
    <w:rsid w:val="00B46926"/>
    <w:rsid w:val="00B50D5E"/>
    <w:rsid w:val="00B50F40"/>
    <w:rsid w:val="00B516CC"/>
    <w:rsid w:val="00B558CD"/>
    <w:rsid w:val="00B55B2F"/>
    <w:rsid w:val="00B55DE3"/>
    <w:rsid w:val="00B660DC"/>
    <w:rsid w:val="00B66BAE"/>
    <w:rsid w:val="00B70DD1"/>
    <w:rsid w:val="00B71618"/>
    <w:rsid w:val="00B71C7C"/>
    <w:rsid w:val="00B74694"/>
    <w:rsid w:val="00B74B18"/>
    <w:rsid w:val="00B76314"/>
    <w:rsid w:val="00B77254"/>
    <w:rsid w:val="00B826DD"/>
    <w:rsid w:val="00B86E9C"/>
    <w:rsid w:val="00B92677"/>
    <w:rsid w:val="00B968DA"/>
    <w:rsid w:val="00B976EE"/>
    <w:rsid w:val="00BA10E3"/>
    <w:rsid w:val="00BA2CC4"/>
    <w:rsid w:val="00BA3CB2"/>
    <w:rsid w:val="00BA3E89"/>
    <w:rsid w:val="00BA576B"/>
    <w:rsid w:val="00BA76CF"/>
    <w:rsid w:val="00BB001C"/>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4684"/>
    <w:rsid w:val="00BD530F"/>
    <w:rsid w:val="00BD5C44"/>
    <w:rsid w:val="00BE00B4"/>
    <w:rsid w:val="00BE2FA8"/>
    <w:rsid w:val="00BE3D55"/>
    <w:rsid w:val="00BF4334"/>
    <w:rsid w:val="00BF76FE"/>
    <w:rsid w:val="00C017E3"/>
    <w:rsid w:val="00C02937"/>
    <w:rsid w:val="00C03FBD"/>
    <w:rsid w:val="00C0430C"/>
    <w:rsid w:val="00C15EFF"/>
    <w:rsid w:val="00C16B84"/>
    <w:rsid w:val="00C219C7"/>
    <w:rsid w:val="00C25765"/>
    <w:rsid w:val="00C263F9"/>
    <w:rsid w:val="00C26C2F"/>
    <w:rsid w:val="00C26D10"/>
    <w:rsid w:val="00C31352"/>
    <w:rsid w:val="00C31356"/>
    <w:rsid w:val="00C3356C"/>
    <w:rsid w:val="00C33647"/>
    <w:rsid w:val="00C3526C"/>
    <w:rsid w:val="00C353C9"/>
    <w:rsid w:val="00C37580"/>
    <w:rsid w:val="00C40841"/>
    <w:rsid w:val="00C4122F"/>
    <w:rsid w:val="00C42B66"/>
    <w:rsid w:val="00C44A77"/>
    <w:rsid w:val="00C46BED"/>
    <w:rsid w:val="00C47080"/>
    <w:rsid w:val="00C472F3"/>
    <w:rsid w:val="00C47EE9"/>
    <w:rsid w:val="00C518D7"/>
    <w:rsid w:val="00C52836"/>
    <w:rsid w:val="00C52A70"/>
    <w:rsid w:val="00C534AA"/>
    <w:rsid w:val="00C55312"/>
    <w:rsid w:val="00C5571C"/>
    <w:rsid w:val="00C55C67"/>
    <w:rsid w:val="00C6162E"/>
    <w:rsid w:val="00C6187C"/>
    <w:rsid w:val="00C62B71"/>
    <w:rsid w:val="00C62EA3"/>
    <w:rsid w:val="00C71F85"/>
    <w:rsid w:val="00C72B3A"/>
    <w:rsid w:val="00C72FF6"/>
    <w:rsid w:val="00C76305"/>
    <w:rsid w:val="00C77935"/>
    <w:rsid w:val="00C77D6A"/>
    <w:rsid w:val="00C800CB"/>
    <w:rsid w:val="00C83CC9"/>
    <w:rsid w:val="00C85043"/>
    <w:rsid w:val="00C85399"/>
    <w:rsid w:val="00C85590"/>
    <w:rsid w:val="00C859B4"/>
    <w:rsid w:val="00C85E67"/>
    <w:rsid w:val="00C91D01"/>
    <w:rsid w:val="00C95375"/>
    <w:rsid w:val="00CA2A41"/>
    <w:rsid w:val="00CA3446"/>
    <w:rsid w:val="00CA5972"/>
    <w:rsid w:val="00CB1EE3"/>
    <w:rsid w:val="00CB5811"/>
    <w:rsid w:val="00CC0064"/>
    <w:rsid w:val="00CC2F28"/>
    <w:rsid w:val="00CC34A3"/>
    <w:rsid w:val="00CD0767"/>
    <w:rsid w:val="00CD120F"/>
    <w:rsid w:val="00CD15BB"/>
    <w:rsid w:val="00CD444B"/>
    <w:rsid w:val="00CD717E"/>
    <w:rsid w:val="00CE051B"/>
    <w:rsid w:val="00CE2600"/>
    <w:rsid w:val="00CE4C15"/>
    <w:rsid w:val="00CE7B18"/>
    <w:rsid w:val="00CF0ED3"/>
    <w:rsid w:val="00CF2FBA"/>
    <w:rsid w:val="00CF5F56"/>
    <w:rsid w:val="00CF6C30"/>
    <w:rsid w:val="00CF7D0F"/>
    <w:rsid w:val="00D00064"/>
    <w:rsid w:val="00D0045F"/>
    <w:rsid w:val="00D01359"/>
    <w:rsid w:val="00D02B32"/>
    <w:rsid w:val="00D035F4"/>
    <w:rsid w:val="00D05E04"/>
    <w:rsid w:val="00D1020B"/>
    <w:rsid w:val="00D13FC1"/>
    <w:rsid w:val="00D16013"/>
    <w:rsid w:val="00D171C1"/>
    <w:rsid w:val="00D171F1"/>
    <w:rsid w:val="00D17D99"/>
    <w:rsid w:val="00D208C0"/>
    <w:rsid w:val="00D262F0"/>
    <w:rsid w:val="00D3135D"/>
    <w:rsid w:val="00D3233E"/>
    <w:rsid w:val="00D3334B"/>
    <w:rsid w:val="00D356F0"/>
    <w:rsid w:val="00D35F46"/>
    <w:rsid w:val="00D36A22"/>
    <w:rsid w:val="00D41B83"/>
    <w:rsid w:val="00D420A3"/>
    <w:rsid w:val="00D4521B"/>
    <w:rsid w:val="00D47176"/>
    <w:rsid w:val="00D51252"/>
    <w:rsid w:val="00D514CE"/>
    <w:rsid w:val="00D51805"/>
    <w:rsid w:val="00D518CD"/>
    <w:rsid w:val="00D52CCE"/>
    <w:rsid w:val="00D53835"/>
    <w:rsid w:val="00D552DD"/>
    <w:rsid w:val="00D55ED4"/>
    <w:rsid w:val="00D56A15"/>
    <w:rsid w:val="00D57DCB"/>
    <w:rsid w:val="00D6069A"/>
    <w:rsid w:val="00D606B9"/>
    <w:rsid w:val="00D63B9D"/>
    <w:rsid w:val="00D63E2C"/>
    <w:rsid w:val="00D65832"/>
    <w:rsid w:val="00D6706F"/>
    <w:rsid w:val="00D674DB"/>
    <w:rsid w:val="00D67A35"/>
    <w:rsid w:val="00D67BCF"/>
    <w:rsid w:val="00D705B9"/>
    <w:rsid w:val="00D74883"/>
    <w:rsid w:val="00D765E3"/>
    <w:rsid w:val="00D77C17"/>
    <w:rsid w:val="00D77E74"/>
    <w:rsid w:val="00D80906"/>
    <w:rsid w:val="00D80997"/>
    <w:rsid w:val="00D8151A"/>
    <w:rsid w:val="00D82F25"/>
    <w:rsid w:val="00D84383"/>
    <w:rsid w:val="00D8597A"/>
    <w:rsid w:val="00D85F45"/>
    <w:rsid w:val="00D8735A"/>
    <w:rsid w:val="00D87450"/>
    <w:rsid w:val="00D9174B"/>
    <w:rsid w:val="00D929EC"/>
    <w:rsid w:val="00D9689F"/>
    <w:rsid w:val="00DA10CC"/>
    <w:rsid w:val="00DA41C9"/>
    <w:rsid w:val="00DA48B1"/>
    <w:rsid w:val="00DA499F"/>
    <w:rsid w:val="00DA5177"/>
    <w:rsid w:val="00DB3A07"/>
    <w:rsid w:val="00DB71E4"/>
    <w:rsid w:val="00DB7F1B"/>
    <w:rsid w:val="00DC6C94"/>
    <w:rsid w:val="00DD2341"/>
    <w:rsid w:val="00DD3DED"/>
    <w:rsid w:val="00DD73FD"/>
    <w:rsid w:val="00DD7808"/>
    <w:rsid w:val="00DE0B43"/>
    <w:rsid w:val="00DE3A99"/>
    <w:rsid w:val="00DE4F55"/>
    <w:rsid w:val="00DE5836"/>
    <w:rsid w:val="00DE7485"/>
    <w:rsid w:val="00DE7618"/>
    <w:rsid w:val="00DF3777"/>
    <w:rsid w:val="00DF7376"/>
    <w:rsid w:val="00DF7D0D"/>
    <w:rsid w:val="00E01A5B"/>
    <w:rsid w:val="00E01B62"/>
    <w:rsid w:val="00E054C4"/>
    <w:rsid w:val="00E0740A"/>
    <w:rsid w:val="00E13C03"/>
    <w:rsid w:val="00E1418C"/>
    <w:rsid w:val="00E14641"/>
    <w:rsid w:val="00E16027"/>
    <w:rsid w:val="00E170F8"/>
    <w:rsid w:val="00E171FE"/>
    <w:rsid w:val="00E175A2"/>
    <w:rsid w:val="00E21BC5"/>
    <w:rsid w:val="00E21E1D"/>
    <w:rsid w:val="00E244B6"/>
    <w:rsid w:val="00E24F7B"/>
    <w:rsid w:val="00E2632C"/>
    <w:rsid w:val="00E30143"/>
    <w:rsid w:val="00E31A95"/>
    <w:rsid w:val="00E34258"/>
    <w:rsid w:val="00E3664A"/>
    <w:rsid w:val="00E36E63"/>
    <w:rsid w:val="00E41D1C"/>
    <w:rsid w:val="00E42F92"/>
    <w:rsid w:val="00E4320F"/>
    <w:rsid w:val="00E43A9F"/>
    <w:rsid w:val="00E44CE9"/>
    <w:rsid w:val="00E450CA"/>
    <w:rsid w:val="00E451D4"/>
    <w:rsid w:val="00E45CFF"/>
    <w:rsid w:val="00E4751B"/>
    <w:rsid w:val="00E509EA"/>
    <w:rsid w:val="00E50D72"/>
    <w:rsid w:val="00E52808"/>
    <w:rsid w:val="00E54238"/>
    <w:rsid w:val="00E551D8"/>
    <w:rsid w:val="00E579E6"/>
    <w:rsid w:val="00E6021A"/>
    <w:rsid w:val="00E609D9"/>
    <w:rsid w:val="00E636D7"/>
    <w:rsid w:val="00E63D65"/>
    <w:rsid w:val="00E6411A"/>
    <w:rsid w:val="00E64CD7"/>
    <w:rsid w:val="00E65AB8"/>
    <w:rsid w:val="00E661CA"/>
    <w:rsid w:val="00E67B55"/>
    <w:rsid w:val="00E7001F"/>
    <w:rsid w:val="00E701BE"/>
    <w:rsid w:val="00E73B5A"/>
    <w:rsid w:val="00E778D8"/>
    <w:rsid w:val="00E834A5"/>
    <w:rsid w:val="00E836EF"/>
    <w:rsid w:val="00E845A2"/>
    <w:rsid w:val="00E8589D"/>
    <w:rsid w:val="00E86E6A"/>
    <w:rsid w:val="00E90A97"/>
    <w:rsid w:val="00E93884"/>
    <w:rsid w:val="00E9526C"/>
    <w:rsid w:val="00E96AF4"/>
    <w:rsid w:val="00EA112B"/>
    <w:rsid w:val="00EA209C"/>
    <w:rsid w:val="00EA3D6B"/>
    <w:rsid w:val="00EA433B"/>
    <w:rsid w:val="00EA695F"/>
    <w:rsid w:val="00EA6CE1"/>
    <w:rsid w:val="00EB43A9"/>
    <w:rsid w:val="00EB4513"/>
    <w:rsid w:val="00EB5462"/>
    <w:rsid w:val="00EC0BA5"/>
    <w:rsid w:val="00EC1F16"/>
    <w:rsid w:val="00EC3F5C"/>
    <w:rsid w:val="00EC41C4"/>
    <w:rsid w:val="00EC51A2"/>
    <w:rsid w:val="00EC77F8"/>
    <w:rsid w:val="00EC7CD5"/>
    <w:rsid w:val="00ED1245"/>
    <w:rsid w:val="00ED2E64"/>
    <w:rsid w:val="00EE0090"/>
    <w:rsid w:val="00EE2212"/>
    <w:rsid w:val="00EE3896"/>
    <w:rsid w:val="00EE4B79"/>
    <w:rsid w:val="00EE6105"/>
    <w:rsid w:val="00EE7CFF"/>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597D"/>
    <w:rsid w:val="00F2620E"/>
    <w:rsid w:val="00F27836"/>
    <w:rsid w:val="00F32D28"/>
    <w:rsid w:val="00F335D9"/>
    <w:rsid w:val="00F3468F"/>
    <w:rsid w:val="00F351F8"/>
    <w:rsid w:val="00F3643C"/>
    <w:rsid w:val="00F41845"/>
    <w:rsid w:val="00F41A2D"/>
    <w:rsid w:val="00F428BE"/>
    <w:rsid w:val="00F4467A"/>
    <w:rsid w:val="00F449E9"/>
    <w:rsid w:val="00F4529D"/>
    <w:rsid w:val="00F4595E"/>
    <w:rsid w:val="00F45A48"/>
    <w:rsid w:val="00F47F1C"/>
    <w:rsid w:val="00F503CA"/>
    <w:rsid w:val="00F53939"/>
    <w:rsid w:val="00F53DD8"/>
    <w:rsid w:val="00F56B64"/>
    <w:rsid w:val="00F56DB8"/>
    <w:rsid w:val="00F61252"/>
    <w:rsid w:val="00F616D0"/>
    <w:rsid w:val="00F620FD"/>
    <w:rsid w:val="00F627A5"/>
    <w:rsid w:val="00F6393A"/>
    <w:rsid w:val="00F63EC4"/>
    <w:rsid w:val="00F64F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1526"/>
    <w:rsid w:val="00F92394"/>
    <w:rsid w:val="00F92F0B"/>
    <w:rsid w:val="00F955B8"/>
    <w:rsid w:val="00F955BB"/>
    <w:rsid w:val="00F95622"/>
    <w:rsid w:val="00F95FF6"/>
    <w:rsid w:val="00F97413"/>
    <w:rsid w:val="00FA1677"/>
    <w:rsid w:val="00FA3721"/>
    <w:rsid w:val="00FA6E7C"/>
    <w:rsid w:val="00FA7C0A"/>
    <w:rsid w:val="00FB0BE2"/>
    <w:rsid w:val="00FB48E9"/>
    <w:rsid w:val="00FB5AC1"/>
    <w:rsid w:val="00FB72DB"/>
    <w:rsid w:val="00FC3068"/>
    <w:rsid w:val="00FC4237"/>
    <w:rsid w:val="00FC7288"/>
    <w:rsid w:val="00FC78D9"/>
    <w:rsid w:val="00FD2A06"/>
    <w:rsid w:val="00FD3805"/>
    <w:rsid w:val="00FD385D"/>
    <w:rsid w:val="00FD4E0B"/>
    <w:rsid w:val="00FD6446"/>
    <w:rsid w:val="00FD6E16"/>
    <w:rsid w:val="00FE1263"/>
    <w:rsid w:val="00FE4C36"/>
    <w:rsid w:val="00FE5491"/>
    <w:rsid w:val="00FE5EAB"/>
    <w:rsid w:val="00FE6536"/>
    <w:rsid w:val="00FF0A56"/>
    <w:rsid w:val="00FF18A8"/>
    <w:rsid w:val="00FF1B49"/>
    <w:rsid w:val="00FF4A5B"/>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5841"/>
    <o:shapelayout v:ext="edit">
      <o:idmap v:ext="edit" data="1"/>
    </o:shapelayout>
  </w:shapeDefaults>
  <w:decimalSymbol w:val="."/>
  <w:listSeparator w:val=","/>
  <w14:docId w14:val="65741906"/>
  <w15:docId w15:val="{569EF990-D2BF-4A1D-803F-395B08BA6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9" w:qFormat="1"/>
    <w:lsdException w:name="heading 1" w:uiPriority="5" w:qFormat="1"/>
    <w:lsdException w:name="heading 2" w:uiPriority="5" w:qFormat="1"/>
    <w:lsdException w:name="heading 3" w:uiPriority="5"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
    <w:qFormat/>
    <w:rsid w:val="00774880"/>
    <w:pPr>
      <w:spacing w:before="240" w:after="120" w:line="240" w:lineRule="atLeast"/>
    </w:pPr>
    <w:rPr>
      <w:sz w:val="20"/>
    </w:rPr>
  </w:style>
  <w:style w:type="paragraph" w:styleId="Heading1">
    <w:name w:val="heading 1"/>
    <w:next w:val="BodyText"/>
    <w:link w:val="Heading1Char"/>
    <w:uiPriority w:val="5"/>
    <w:qFormat/>
    <w:rsid w:val="00C52A70"/>
    <w:pPr>
      <w:keepNext/>
      <w:keepLines/>
      <w:numPr>
        <w:numId w:val="2"/>
      </w:numPr>
      <w:spacing w:after="360" w:line="840" w:lineRule="atLeast"/>
      <w:outlineLvl w:val="0"/>
    </w:pPr>
    <w:rPr>
      <w:rFonts w:asciiTheme="majorHAnsi" w:eastAsiaTheme="majorEastAsia" w:hAnsiTheme="majorHAnsi" w:cstheme="majorBidi"/>
      <w:bCs/>
      <w:color w:val="009A44" w:themeColor="accent2"/>
      <w:sz w:val="72"/>
      <w:szCs w:val="40"/>
    </w:rPr>
  </w:style>
  <w:style w:type="paragraph" w:styleId="Heading2">
    <w:name w:val="heading 2"/>
    <w:basedOn w:val="Heading1"/>
    <w:next w:val="BodyText"/>
    <w:link w:val="Heading2Char"/>
    <w:uiPriority w:val="5"/>
    <w:qFormat/>
    <w:rsid w:val="00C52A70"/>
    <w:pPr>
      <w:numPr>
        <w:ilvl w:val="1"/>
      </w:numPr>
      <w:spacing w:before="360" w:after="240" w:line="240" w:lineRule="auto"/>
      <w:outlineLvl w:val="1"/>
    </w:pPr>
    <w:rPr>
      <w:b/>
      <w:bCs w:val="0"/>
      <w:color w:val="250E62" w:themeColor="accent1"/>
      <w:sz w:val="48"/>
      <w:szCs w:val="32"/>
    </w:rPr>
  </w:style>
  <w:style w:type="paragraph" w:styleId="Heading3">
    <w:name w:val="heading 3"/>
    <w:basedOn w:val="Heading2"/>
    <w:next w:val="BodyText"/>
    <w:link w:val="Heading3Char"/>
    <w:uiPriority w:val="5"/>
    <w:qFormat/>
    <w:rsid w:val="00C52A70"/>
    <w:pPr>
      <w:numPr>
        <w:ilvl w:val="2"/>
      </w:numPr>
      <w:outlineLvl w:val="2"/>
    </w:pPr>
    <w:rPr>
      <w:bCs/>
      <w:color w:val="009A44" w:themeColor="accent2"/>
      <w:sz w:val="32"/>
      <w:szCs w:val="28"/>
    </w:rPr>
  </w:style>
  <w:style w:type="paragraph" w:styleId="Heading4">
    <w:name w:val="heading 4"/>
    <w:basedOn w:val="Heading3"/>
    <w:next w:val="BodyText"/>
    <w:link w:val="Heading4Char"/>
    <w:uiPriority w:val="7"/>
    <w:qFormat/>
    <w:rsid w:val="00C52A70"/>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C52A70"/>
    <w:pPr>
      <w:numPr>
        <w:ilvl w:val="4"/>
      </w:numPr>
      <w:outlineLvl w:val="4"/>
    </w:pPr>
    <w:rPr>
      <w:rFonts w:cstheme="minorHAnsi"/>
      <w:color w:val="009A44" w:themeColor="accent2"/>
      <w:sz w:val="24"/>
      <w:szCs w:val="24"/>
    </w:rPr>
  </w:style>
  <w:style w:type="paragraph" w:styleId="Heading6">
    <w:name w:val="heading 6"/>
    <w:basedOn w:val="Heading5"/>
    <w:next w:val="BodyText"/>
    <w:link w:val="Heading6Char"/>
    <w:uiPriority w:val="7"/>
    <w:semiHidden/>
    <w:qFormat/>
    <w:rsid w:val="00C52A70"/>
    <w:pPr>
      <w:numPr>
        <w:ilvl w:val="5"/>
      </w:numPr>
      <w:outlineLvl w:val="5"/>
    </w:pPr>
    <w:rPr>
      <w:b w:val="0"/>
      <w:iCs w:val="0"/>
      <w:szCs w:val="22"/>
    </w:rPr>
  </w:style>
  <w:style w:type="paragraph" w:styleId="Heading7">
    <w:name w:val="heading 7"/>
    <w:basedOn w:val="Heading1"/>
    <w:next w:val="BodyText"/>
    <w:link w:val="Heading7Char"/>
    <w:uiPriority w:val="8"/>
    <w:semiHidden/>
    <w:rsid w:val="00C52A70"/>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C52A70"/>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C52A70"/>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C52A70"/>
    <w:rPr>
      <w:rFonts w:asciiTheme="majorHAnsi" w:eastAsiaTheme="majorEastAsia" w:hAnsiTheme="majorHAnsi" w:cstheme="majorBidi"/>
      <w:bCs/>
      <w:color w:val="009A44" w:themeColor="accent2"/>
      <w:sz w:val="72"/>
      <w:szCs w:val="40"/>
    </w:rPr>
  </w:style>
  <w:style w:type="character" w:customStyle="1" w:styleId="Heading2Char">
    <w:name w:val="Heading 2 Char"/>
    <w:basedOn w:val="DefaultParagraphFont"/>
    <w:link w:val="Heading2"/>
    <w:uiPriority w:val="5"/>
    <w:rsid w:val="00C52A70"/>
    <w:rPr>
      <w:rFonts w:asciiTheme="majorHAnsi" w:eastAsiaTheme="majorEastAsia" w:hAnsiTheme="majorHAnsi" w:cstheme="majorBidi"/>
      <w:b/>
      <w:color w:val="250E62" w:themeColor="accent1"/>
      <w:sz w:val="48"/>
      <w:szCs w:val="32"/>
    </w:rPr>
  </w:style>
  <w:style w:type="character" w:customStyle="1" w:styleId="Heading3Char">
    <w:name w:val="Heading 3 Char"/>
    <w:basedOn w:val="DefaultParagraphFont"/>
    <w:link w:val="Heading3"/>
    <w:uiPriority w:val="5"/>
    <w:rsid w:val="00C52A70"/>
    <w:rPr>
      <w:rFonts w:asciiTheme="majorHAnsi" w:eastAsiaTheme="majorEastAsia" w:hAnsiTheme="majorHAnsi" w:cstheme="majorBidi"/>
      <w:b/>
      <w:bCs/>
      <w:color w:val="009A44" w:themeColor="accent2"/>
      <w:sz w:val="32"/>
      <w:szCs w:val="28"/>
    </w:rPr>
  </w:style>
  <w:style w:type="paragraph" w:styleId="Caption">
    <w:name w:val="caption"/>
    <w:basedOn w:val="Normal"/>
    <w:next w:val="Object"/>
    <w:uiPriority w:val="4"/>
    <w:qFormat/>
    <w:rsid w:val="00C52A70"/>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C52A70"/>
    <w:pPr>
      <w:keepLines/>
    </w:pPr>
  </w:style>
  <w:style w:type="character" w:customStyle="1" w:styleId="BodyTextChar">
    <w:name w:val="Body Text Char"/>
    <w:basedOn w:val="DefaultParagraphFont"/>
    <w:link w:val="BodyText"/>
    <w:rsid w:val="00C52A70"/>
    <w:rPr>
      <w:sz w:val="20"/>
    </w:rPr>
  </w:style>
  <w:style w:type="paragraph" w:styleId="TOC1">
    <w:name w:val="toc 1"/>
    <w:basedOn w:val="Normal"/>
    <w:next w:val="BodyText"/>
    <w:uiPriority w:val="39"/>
    <w:rsid w:val="00C52A70"/>
    <w:pPr>
      <w:keepLines/>
      <w:tabs>
        <w:tab w:val="left" w:pos="1418"/>
        <w:tab w:val="right" w:leader="dot" w:pos="9044"/>
      </w:tabs>
      <w:spacing w:after="80" w:line="260" w:lineRule="atLeast"/>
      <w:ind w:left="1418" w:right="1134" w:hanging="1418"/>
    </w:pPr>
    <w:rPr>
      <w:noProof/>
      <w:color w:val="009A44" w:themeColor="accent2"/>
      <w:sz w:val="22"/>
    </w:rPr>
  </w:style>
  <w:style w:type="paragraph" w:styleId="TOC2">
    <w:name w:val="toc 2"/>
    <w:basedOn w:val="TOC1"/>
    <w:next w:val="BodyText"/>
    <w:uiPriority w:val="39"/>
    <w:rsid w:val="00C52A70"/>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C52A70"/>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C52A70"/>
    <w:pPr>
      <w:spacing w:after="240"/>
      <w:ind w:left="0" w:firstLine="0"/>
    </w:pPr>
  </w:style>
  <w:style w:type="paragraph" w:styleId="TOC5">
    <w:name w:val="toc 5"/>
    <w:basedOn w:val="TOC2"/>
    <w:next w:val="BodyText"/>
    <w:uiPriority w:val="99"/>
    <w:rsid w:val="00C52A70"/>
  </w:style>
  <w:style w:type="paragraph" w:styleId="TOC6">
    <w:name w:val="toc 6"/>
    <w:basedOn w:val="TOC3"/>
    <w:next w:val="BodyText"/>
    <w:uiPriority w:val="99"/>
    <w:rsid w:val="00C52A70"/>
  </w:style>
  <w:style w:type="character" w:customStyle="1" w:styleId="Heading4Char">
    <w:name w:val="Heading 4 Char"/>
    <w:basedOn w:val="DefaultParagraphFont"/>
    <w:link w:val="Heading4"/>
    <w:uiPriority w:val="7"/>
    <w:rsid w:val="00C52A70"/>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C52A70"/>
  </w:style>
  <w:style w:type="character" w:customStyle="1" w:styleId="Heading5Char">
    <w:name w:val="Heading 5 Char"/>
    <w:basedOn w:val="DefaultParagraphFont"/>
    <w:link w:val="Heading5"/>
    <w:uiPriority w:val="7"/>
    <w:rsid w:val="00C52A70"/>
    <w:rPr>
      <w:rFonts w:asciiTheme="majorHAnsi" w:eastAsiaTheme="majorEastAsia" w:hAnsiTheme="majorHAnsi" w:cstheme="minorHAnsi"/>
      <w:b/>
      <w:iCs/>
      <w:color w:val="009A44" w:themeColor="accent2"/>
      <w:sz w:val="24"/>
      <w:szCs w:val="24"/>
    </w:rPr>
  </w:style>
  <w:style w:type="paragraph" w:styleId="TOC8">
    <w:name w:val="toc 8"/>
    <w:basedOn w:val="TOC7"/>
    <w:next w:val="BodyText"/>
    <w:uiPriority w:val="39"/>
    <w:rsid w:val="00C52A70"/>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C52A70"/>
    <w:rPr>
      <w:rFonts w:asciiTheme="majorHAnsi" w:eastAsiaTheme="majorEastAsia" w:hAnsiTheme="majorHAnsi" w:cstheme="minorHAnsi"/>
      <w:color w:val="009A44" w:themeColor="accent2"/>
      <w:sz w:val="24"/>
    </w:rPr>
  </w:style>
  <w:style w:type="paragraph" w:styleId="TOC9">
    <w:name w:val="toc 9"/>
    <w:basedOn w:val="TOC8"/>
    <w:next w:val="BodyText"/>
    <w:uiPriority w:val="39"/>
    <w:rsid w:val="00C52A70"/>
    <w:pPr>
      <w:tabs>
        <w:tab w:val="clear" w:pos="851"/>
        <w:tab w:val="left" w:pos="1531"/>
      </w:tabs>
      <w:ind w:left="1531" w:hanging="680"/>
    </w:pPr>
  </w:style>
  <w:style w:type="paragraph" w:styleId="TOCHeading">
    <w:name w:val="TOC Heading"/>
    <w:basedOn w:val="Heading1"/>
    <w:next w:val="BodyText"/>
    <w:uiPriority w:val="99"/>
    <w:qFormat/>
    <w:rsid w:val="00C52A70"/>
    <w:pPr>
      <w:pageBreakBefore/>
      <w:numPr>
        <w:numId w:val="0"/>
      </w:numPr>
      <w:outlineLvl w:val="9"/>
    </w:pPr>
  </w:style>
  <w:style w:type="paragraph" w:customStyle="1" w:styleId="BodyIndent2">
    <w:name w:val="Body Indent 2"/>
    <w:basedOn w:val="BodyBullet2"/>
    <w:uiPriority w:val="9"/>
    <w:qFormat/>
    <w:rsid w:val="00C52A70"/>
    <w:pPr>
      <w:numPr>
        <w:ilvl w:val="0"/>
        <w:numId w:val="0"/>
      </w:numPr>
      <w:ind w:left="680"/>
    </w:pPr>
  </w:style>
  <w:style w:type="paragraph" w:customStyle="1" w:styleId="BodyIndent3">
    <w:name w:val="Body Indent 3"/>
    <w:basedOn w:val="BodyBullet3"/>
    <w:uiPriority w:val="9"/>
    <w:qFormat/>
    <w:rsid w:val="00C52A70"/>
    <w:pPr>
      <w:numPr>
        <w:ilvl w:val="0"/>
        <w:numId w:val="0"/>
      </w:numPr>
      <w:ind w:left="1021"/>
    </w:pPr>
  </w:style>
  <w:style w:type="character" w:styleId="EndnoteReference">
    <w:name w:val="endnote reference"/>
    <w:basedOn w:val="DefaultParagraphFont"/>
    <w:uiPriority w:val="14"/>
    <w:qFormat/>
    <w:rsid w:val="00C52A70"/>
    <w:rPr>
      <w:rFonts w:asciiTheme="minorHAnsi" w:hAnsiTheme="minorHAnsi"/>
      <w:vertAlign w:val="superscript"/>
    </w:rPr>
  </w:style>
  <w:style w:type="paragraph" w:styleId="ListBullet">
    <w:name w:val="List Bullet"/>
    <w:basedOn w:val="BodyText"/>
    <w:uiPriority w:val="99"/>
    <w:semiHidden/>
    <w:rsid w:val="00C52A70"/>
    <w:pPr>
      <w:numPr>
        <w:numId w:val="3"/>
      </w:numPr>
      <w:spacing w:before="120"/>
      <w:contextualSpacing/>
    </w:pPr>
  </w:style>
  <w:style w:type="table" w:styleId="TableGrid">
    <w:name w:val="Table Grid"/>
    <w:basedOn w:val="TableNormal"/>
    <w:uiPriority w:val="59"/>
    <w:rsid w:val="00C52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1"/>
    <w:qFormat/>
    <w:rsid w:val="00C52A70"/>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C52A70"/>
    <w:pPr>
      <w:numPr>
        <w:ilvl w:val="1"/>
      </w:numPr>
    </w:pPr>
  </w:style>
  <w:style w:type="paragraph" w:customStyle="1" w:styleId="TableText">
    <w:name w:val="Table Text"/>
    <w:basedOn w:val="Normal"/>
    <w:uiPriority w:val="3"/>
    <w:qFormat/>
    <w:rsid w:val="00C52A70"/>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C52A70"/>
    <w:pPr>
      <w:ind w:left="340" w:hanging="340"/>
    </w:pPr>
    <w:rPr>
      <w:sz w:val="18"/>
      <w:szCs w:val="18"/>
    </w:rPr>
  </w:style>
  <w:style w:type="paragraph" w:styleId="ListBullet3">
    <w:name w:val="List Bullet 3"/>
    <w:basedOn w:val="ListBullet2"/>
    <w:uiPriority w:val="99"/>
    <w:semiHidden/>
    <w:rsid w:val="00C52A70"/>
    <w:pPr>
      <w:numPr>
        <w:ilvl w:val="2"/>
      </w:numPr>
    </w:pPr>
  </w:style>
  <w:style w:type="character" w:customStyle="1" w:styleId="EndnoteTextChar">
    <w:name w:val="Endnote Text Char"/>
    <w:basedOn w:val="DefaultParagraphFont"/>
    <w:link w:val="EndnoteText"/>
    <w:uiPriority w:val="14"/>
    <w:rsid w:val="00C52A70"/>
    <w:rPr>
      <w:sz w:val="18"/>
      <w:szCs w:val="18"/>
    </w:rPr>
  </w:style>
  <w:style w:type="paragraph" w:styleId="Footer">
    <w:name w:val="footer"/>
    <w:basedOn w:val="Normal"/>
    <w:link w:val="FooterChar"/>
    <w:uiPriority w:val="99"/>
    <w:qFormat/>
    <w:rsid w:val="00C52A7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C52A70"/>
    <w:rPr>
      <w:rFonts w:cstheme="minorHAnsi"/>
      <w:noProof/>
      <w:color w:val="636569" w:themeColor="text2"/>
      <w:sz w:val="18"/>
      <w:szCs w:val="18"/>
    </w:rPr>
  </w:style>
  <w:style w:type="character" w:styleId="FootnoteReference">
    <w:name w:val="footnote reference"/>
    <w:basedOn w:val="DefaultParagraphFont"/>
    <w:uiPriority w:val="10"/>
    <w:qFormat/>
    <w:rsid w:val="00C52A70"/>
    <w:rPr>
      <w:vertAlign w:val="superscript"/>
    </w:rPr>
  </w:style>
  <w:style w:type="paragraph" w:styleId="FootnoteText">
    <w:name w:val="footnote text"/>
    <w:basedOn w:val="Normal"/>
    <w:link w:val="FootnoteTextChar"/>
    <w:uiPriority w:val="10"/>
    <w:qFormat/>
    <w:rsid w:val="00C52A70"/>
    <w:pPr>
      <w:ind w:left="340" w:hanging="340"/>
    </w:pPr>
    <w:rPr>
      <w:sz w:val="18"/>
      <w:szCs w:val="18"/>
    </w:rPr>
  </w:style>
  <w:style w:type="character" w:customStyle="1" w:styleId="FootnoteTextChar">
    <w:name w:val="Footnote Text Char"/>
    <w:basedOn w:val="DefaultParagraphFont"/>
    <w:link w:val="FootnoteText"/>
    <w:uiPriority w:val="10"/>
    <w:rsid w:val="00C52A70"/>
    <w:rPr>
      <w:sz w:val="18"/>
      <w:szCs w:val="18"/>
    </w:rPr>
  </w:style>
  <w:style w:type="paragraph" w:styleId="Header">
    <w:name w:val="header"/>
    <w:basedOn w:val="Normal"/>
    <w:link w:val="HeaderChar"/>
    <w:uiPriority w:val="99"/>
    <w:qFormat/>
    <w:rsid w:val="00C52A70"/>
    <w:pPr>
      <w:spacing w:before="80" w:after="1800" w:line="280" w:lineRule="atLeast"/>
    </w:pPr>
    <w:rPr>
      <w:color w:val="009A44" w:themeColor="accent2"/>
      <w:sz w:val="24"/>
      <w:szCs w:val="18"/>
    </w:rPr>
  </w:style>
  <w:style w:type="character" w:customStyle="1" w:styleId="HeaderChar">
    <w:name w:val="Header Char"/>
    <w:basedOn w:val="DefaultParagraphFont"/>
    <w:link w:val="Header"/>
    <w:uiPriority w:val="99"/>
    <w:rsid w:val="00C52A70"/>
    <w:rPr>
      <w:color w:val="009A44" w:themeColor="accent2"/>
      <w:sz w:val="24"/>
      <w:szCs w:val="18"/>
    </w:rPr>
  </w:style>
  <w:style w:type="character" w:styleId="Hyperlink">
    <w:name w:val="Hyperlink"/>
    <w:basedOn w:val="DefaultParagraphFont"/>
    <w:uiPriority w:val="99"/>
    <w:qFormat/>
    <w:rsid w:val="00C52A70"/>
    <w:rPr>
      <w:color w:val="250E62" w:themeColor="accent1"/>
    </w:rPr>
  </w:style>
  <w:style w:type="paragraph" w:styleId="ListNumber">
    <w:name w:val="List Number"/>
    <w:basedOn w:val="BodyText"/>
    <w:uiPriority w:val="99"/>
    <w:semiHidden/>
    <w:rsid w:val="00C52A70"/>
    <w:pPr>
      <w:numPr>
        <w:numId w:val="4"/>
      </w:numPr>
      <w:contextualSpacing/>
    </w:pPr>
  </w:style>
  <w:style w:type="paragraph" w:styleId="ListNumber2">
    <w:name w:val="List Number 2"/>
    <w:basedOn w:val="ListNumber"/>
    <w:uiPriority w:val="99"/>
    <w:semiHidden/>
    <w:rsid w:val="00C52A70"/>
    <w:pPr>
      <w:numPr>
        <w:numId w:val="5"/>
      </w:numPr>
    </w:pPr>
  </w:style>
  <w:style w:type="paragraph" w:styleId="ListNumber3">
    <w:name w:val="List Number 3"/>
    <w:basedOn w:val="List2"/>
    <w:uiPriority w:val="99"/>
    <w:semiHidden/>
    <w:rsid w:val="00C52A70"/>
    <w:pPr>
      <w:numPr>
        <w:numId w:val="6"/>
      </w:numPr>
    </w:pPr>
  </w:style>
  <w:style w:type="character" w:styleId="PageNumber">
    <w:name w:val="page number"/>
    <w:basedOn w:val="DefaultParagraphFont"/>
    <w:uiPriority w:val="99"/>
    <w:semiHidden/>
    <w:rsid w:val="00C52A70"/>
  </w:style>
  <w:style w:type="paragraph" w:styleId="List2">
    <w:name w:val="List 2"/>
    <w:basedOn w:val="Normal"/>
    <w:uiPriority w:val="99"/>
    <w:semiHidden/>
    <w:rsid w:val="00C52A70"/>
    <w:pPr>
      <w:ind w:left="566" w:hanging="283"/>
      <w:contextualSpacing/>
    </w:pPr>
  </w:style>
  <w:style w:type="paragraph" w:styleId="TableofFigures">
    <w:name w:val="table of figures"/>
    <w:basedOn w:val="TOC1"/>
    <w:next w:val="BodyText"/>
    <w:uiPriority w:val="99"/>
    <w:rsid w:val="00C52A70"/>
    <w:pPr>
      <w:spacing w:before="60"/>
    </w:pPr>
    <w:rPr>
      <w:color w:val="000000" w:themeColor="text1"/>
      <w:sz w:val="20"/>
    </w:rPr>
  </w:style>
  <w:style w:type="character" w:customStyle="1" w:styleId="Heading7Char">
    <w:name w:val="Heading 7 Char"/>
    <w:basedOn w:val="DefaultParagraphFont"/>
    <w:link w:val="Heading7"/>
    <w:uiPriority w:val="8"/>
    <w:semiHidden/>
    <w:rsid w:val="00C52A70"/>
    <w:rPr>
      <w:rFonts w:asciiTheme="majorHAnsi" w:eastAsiaTheme="majorEastAsia" w:hAnsiTheme="majorHAnsi" w:cstheme="majorBidi"/>
      <w:bCs/>
      <w:iCs/>
      <w:color w:val="009A44" w:themeColor="accent2"/>
      <w:sz w:val="72"/>
      <w:szCs w:val="40"/>
    </w:rPr>
  </w:style>
  <w:style w:type="paragraph" w:customStyle="1" w:styleId="TableBullet1">
    <w:name w:val="Table Bullet 1"/>
    <w:basedOn w:val="TableText"/>
    <w:uiPriority w:val="3"/>
    <w:qFormat/>
    <w:rsid w:val="00C52A70"/>
    <w:pPr>
      <w:numPr>
        <w:numId w:val="8"/>
      </w:numPr>
    </w:pPr>
  </w:style>
  <w:style w:type="paragraph" w:customStyle="1" w:styleId="TableBullet2">
    <w:name w:val="Table Bullet 2"/>
    <w:basedOn w:val="TableBullet1"/>
    <w:uiPriority w:val="3"/>
    <w:qFormat/>
    <w:rsid w:val="00C52A70"/>
    <w:pPr>
      <w:numPr>
        <w:ilvl w:val="1"/>
      </w:numPr>
    </w:pPr>
  </w:style>
  <w:style w:type="paragraph" w:customStyle="1" w:styleId="BodyNumbering1">
    <w:name w:val="Body Numbering 1"/>
    <w:basedOn w:val="BodyBullet1"/>
    <w:uiPriority w:val="9"/>
    <w:qFormat/>
    <w:rsid w:val="00C52A70"/>
    <w:pPr>
      <w:numPr>
        <w:ilvl w:val="3"/>
      </w:numPr>
    </w:pPr>
  </w:style>
  <w:style w:type="paragraph" w:customStyle="1" w:styleId="BodyNumbering2">
    <w:name w:val="Body Numbering 2"/>
    <w:basedOn w:val="BodyNumbering1"/>
    <w:uiPriority w:val="9"/>
    <w:qFormat/>
    <w:rsid w:val="00C52A70"/>
    <w:pPr>
      <w:numPr>
        <w:ilvl w:val="4"/>
      </w:numPr>
    </w:pPr>
  </w:style>
  <w:style w:type="paragraph" w:customStyle="1" w:styleId="BodyBullet1">
    <w:name w:val="Body Bullet 1"/>
    <w:basedOn w:val="BodyText"/>
    <w:uiPriority w:val="1"/>
    <w:qFormat/>
    <w:rsid w:val="00C52A70"/>
    <w:pPr>
      <w:numPr>
        <w:numId w:val="1"/>
      </w:numPr>
      <w:spacing w:before="120"/>
    </w:pPr>
  </w:style>
  <w:style w:type="paragraph" w:customStyle="1" w:styleId="BodyBullet2">
    <w:name w:val="Body Bullet 2"/>
    <w:basedOn w:val="BodyBullet1"/>
    <w:uiPriority w:val="1"/>
    <w:qFormat/>
    <w:rsid w:val="00C52A70"/>
    <w:pPr>
      <w:numPr>
        <w:ilvl w:val="1"/>
      </w:numPr>
    </w:pPr>
  </w:style>
  <w:style w:type="paragraph" w:customStyle="1" w:styleId="BodyBullet3">
    <w:name w:val="Body Bullet 3"/>
    <w:basedOn w:val="BodyBullet2"/>
    <w:uiPriority w:val="1"/>
    <w:qFormat/>
    <w:rsid w:val="00C52A70"/>
    <w:pPr>
      <w:numPr>
        <w:ilvl w:val="2"/>
      </w:numPr>
    </w:pPr>
  </w:style>
  <w:style w:type="paragraph" w:customStyle="1" w:styleId="BodyNumbering3">
    <w:name w:val="Body Numbering 3"/>
    <w:basedOn w:val="BodyNumbering2"/>
    <w:uiPriority w:val="9"/>
    <w:qFormat/>
    <w:rsid w:val="00C52A70"/>
    <w:pPr>
      <w:numPr>
        <w:ilvl w:val="5"/>
      </w:numPr>
    </w:pPr>
  </w:style>
  <w:style w:type="paragraph" w:customStyle="1" w:styleId="BodyIndent1">
    <w:name w:val="Body Indent 1"/>
    <w:basedOn w:val="BodyBullet1"/>
    <w:uiPriority w:val="9"/>
    <w:qFormat/>
    <w:rsid w:val="00C52A70"/>
    <w:pPr>
      <w:numPr>
        <w:numId w:val="0"/>
      </w:numPr>
      <w:ind w:left="340"/>
    </w:pPr>
  </w:style>
  <w:style w:type="paragraph" w:customStyle="1" w:styleId="TableBullet3">
    <w:name w:val="Table Bullet 3"/>
    <w:basedOn w:val="TableBullet2"/>
    <w:uiPriority w:val="3"/>
    <w:qFormat/>
    <w:rsid w:val="00C52A70"/>
    <w:pPr>
      <w:numPr>
        <w:ilvl w:val="2"/>
      </w:numPr>
    </w:pPr>
  </w:style>
  <w:style w:type="paragraph" w:customStyle="1" w:styleId="TableNumbering1">
    <w:name w:val="Table Numbering 1"/>
    <w:basedOn w:val="TableBullet1"/>
    <w:uiPriority w:val="9"/>
    <w:qFormat/>
    <w:rsid w:val="00C52A70"/>
    <w:pPr>
      <w:numPr>
        <w:ilvl w:val="3"/>
      </w:numPr>
    </w:pPr>
  </w:style>
  <w:style w:type="paragraph" w:customStyle="1" w:styleId="TableNumbering2">
    <w:name w:val="Table Numbering 2"/>
    <w:basedOn w:val="TableNumbering1"/>
    <w:uiPriority w:val="9"/>
    <w:qFormat/>
    <w:rsid w:val="00C52A70"/>
    <w:pPr>
      <w:numPr>
        <w:ilvl w:val="4"/>
      </w:numPr>
    </w:pPr>
  </w:style>
  <w:style w:type="paragraph" w:customStyle="1" w:styleId="TableNumbering3">
    <w:name w:val="Table Numbering 3"/>
    <w:basedOn w:val="TableNumbering2"/>
    <w:uiPriority w:val="9"/>
    <w:qFormat/>
    <w:rsid w:val="00C52A70"/>
    <w:pPr>
      <w:numPr>
        <w:ilvl w:val="5"/>
      </w:numPr>
    </w:pPr>
  </w:style>
  <w:style w:type="paragraph" w:customStyle="1" w:styleId="TableIndent1">
    <w:name w:val="Table Indent 1"/>
    <w:basedOn w:val="TableBullet1"/>
    <w:uiPriority w:val="9"/>
    <w:qFormat/>
    <w:rsid w:val="00C52A70"/>
    <w:pPr>
      <w:numPr>
        <w:numId w:val="0"/>
      </w:numPr>
      <w:ind w:left="340"/>
    </w:pPr>
  </w:style>
  <w:style w:type="paragraph" w:customStyle="1" w:styleId="TableIndent2">
    <w:name w:val="Table Indent 2"/>
    <w:basedOn w:val="TableBullet2"/>
    <w:uiPriority w:val="9"/>
    <w:qFormat/>
    <w:rsid w:val="00C52A70"/>
    <w:pPr>
      <w:numPr>
        <w:ilvl w:val="0"/>
        <w:numId w:val="0"/>
      </w:numPr>
      <w:ind w:left="680"/>
    </w:pPr>
  </w:style>
  <w:style w:type="paragraph" w:customStyle="1" w:styleId="TableIndent3">
    <w:name w:val="Table Indent 3"/>
    <w:basedOn w:val="TableBullet3"/>
    <w:uiPriority w:val="9"/>
    <w:qFormat/>
    <w:rsid w:val="00C52A70"/>
    <w:pPr>
      <w:numPr>
        <w:ilvl w:val="0"/>
        <w:numId w:val="0"/>
      </w:numPr>
      <w:ind w:left="1021"/>
    </w:pPr>
  </w:style>
  <w:style w:type="table" w:customStyle="1" w:styleId="MainTableStyle">
    <w:name w:val="Main Table Style"/>
    <w:basedOn w:val="TableNormal"/>
    <w:uiPriority w:val="99"/>
    <w:rsid w:val="00A72817"/>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A44" w:themeFill="accent2"/>
        <w:vAlign w:val="bottom"/>
      </w:tcPr>
    </w:tblStylePr>
    <w:tblStylePr w:type="lastRow">
      <w:pPr>
        <w:keepLines/>
        <w:widowControl/>
        <w:wordWrap/>
        <w:jc w:val="left"/>
      </w:pPr>
      <w:rPr>
        <w:b/>
      </w:rPr>
      <w:tblPr/>
      <w:tcPr>
        <w:shd w:val="clear" w:color="auto" w:fill="DFE0E1" w:themeFill="text2" w:themeFillTint="33"/>
      </w:tcPr>
    </w:tblStylePr>
    <w:tblStylePr w:type="firstCol">
      <w:tblPr/>
      <w:tcPr>
        <w:tcBorders>
          <w:top w:val="single" w:sz="4" w:space="0" w:color="636569" w:themeColor="text2"/>
          <w:left w:val="nil"/>
          <w:bottom w:val="single" w:sz="4" w:space="0" w:color="636569" w:themeColor="text2"/>
          <w:right w:val="single" w:sz="4" w:space="0" w:color="636569" w:themeColor="text2"/>
          <w:insideH w:val="single" w:sz="4" w:space="0" w:color="636569" w:themeColor="text2"/>
          <w:insideV w:val="nil"/>
          <w:tl2br w:val="nil"/>
          <w:tr2bl w:val="nil"/>
        </w:tcBorders>
        <w:shd w:val="clear" w:color="auto" w:fill="E5F4EA"/>
      </w:tcPr>
    </w:tblStylePr>
  </w:style>
  <w:style w:type="paragraph" w:customStyle="1" w:styleId="BodyTextSingleSpacing">
    <w:name w:val="Body Text Single Spacing"/>
    <w:basedOn w:val="BodyText"/>
    <w:uiPriority w:val="14"/>
    <w:qFormat/>
    <w:rsid w:val="00C52A70"/>
    <w:pPr>
      <w:spacing w:before="0" w:after="0" w:line="252" w:lineRule="auto"/>
    </w:pPr>
  </w:style>
  <w:style w:type="table" w:customStyle="1" w:styleId="RowTableStyle">
    <w:name w:val="Row Table Style"/>
    <w:basedOn w:val="TableNormal"/>
    <w:uiPriority w:val="99"/>
    <w:rsid w:val="00C52A70"/>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A44" w:themeColor="accent2"/>
      </w:rPr>
      <w:tblPr/>
      <w:trPr>
        <w:cantSplit/>
        <w:tblHeader/>
      </w:trPr>
      <w:tcPr>
        <w:tcBorders>
          <w:top w:val="nil"/>
          <w:left w:val="nil"/>
          <w:bottom w:val="single" w:sz="12" w:space="0" w:color="009A44"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DFE0E1" w:themeFill="text2" w:themeFillTint="33"/>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A44" w:themeFill="accent2"/>
      </w:tcPr>
    </w:tblStylePr>
    <w:tblStylePr w:type="lastCol">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E5F4EA"/>
      </w:tcPr>
    </w:tblStylePr>
    <w:tblStylePr w:type="swCell">
      <w:rPr>
        <w:b/>
        <w:i w:val="0"/>
        <w:color w:val="auto"/>
      </w:rPr>
      <w:tblPr/>
      <w:tcPr>
        <w:shd w:val="clear" w:color="auto" w:fill="DFE0E1" w:themeFill="text2" w:themeFillTint="33"/>
      </w:tcPr>
    </w:tblStylePr>
  </w:style>
  <w:style w:type="character" w:customStyle="1" w:styleId="CharacterStyle-BaseColour">
    <w:name w:val="Character Style - Base Colour"/>
    <w:basedOn w:val="DefaultParagraphFont"/>
    <w:uiPriority w:val="5"/>
    <w:qFormat/>
    <w:rsid w:val="00C52A70"/>
    <w:rPr>
      <w:color w:val="250E62" w:themeColor="accent1"/>
    </w:rPr>
  </w:style>
  <w:style w:type="character" w:customStyle="1" w:styleId="CharacterStyle-BrightColour">
    <w:name w:val="Character Style - Bright Colour"/>
    <w:uiPriority w:val="5"/>
    <w:qFormat/>
    <w:rsid w:val="00C52A70"/>
    <w:rPr>
      <w:color w:val="009A44" w:themeColor="accent2"/>
    </w:rPr>
  </w:style>
  <w:style w:type="paragraph" w:customStyle="1" w:styleId="CalloutHeader">
    <w:name w:val="Callout Header"/>
    <w:basedOn w:val="TableText"/>
    <w:uiPriority w:val="9"/>
    <w:qFormat/>
    <w:rsid w:val="00C52A70"/>
    <w:pPr>
      <w:keepNext/>
      <w:keepLines/>
      <w:numPr>
        <w:numId w:val="0"/>
      </w:numPr>
      <w:spacing w:before="0"/>
    </w:pPr>
    <w:rPr>
      <w:rFonts w:ascii="Nunito SemiBold" w:hAnsi="Nunito SemiBold"/>
      <w:color w:val="009A44" w:themeColor="accent2"/>
      <w:sz w:val="24"/>
    </w:rPr>
  </w:style>
  <w:style w:type="paragraph" w:customStyle="1" w:styleId="Spacer">
    <w:name w:val="Spacer"/>
    <w:basedOn w:val="BodyTextSingleSpacing"/>
    <w:uiPriority w:val="9"/>
    <w:qFormat/>
    <w:rsid w:val="00C52A70"/>
  </w:style>
  <w:style w:type="paragraph" w:styleId="BalloonText">
    <w:name w:val="Balloon Text"/>
    <w:basedOn w:val="Normal"/>
    <w:link w:val="BalloonTextChar"/>
    <w:uiPriority w:val="99"/>
    <w:semiHidden/>
    <w:rsid w:val="00C52A7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2A70"/>
    <w:rPr>
      <w:rFonts w:ascii="Tahoma" w:hAnsi="Tahoma" w:cs="Tahoma"/>
      <w:sz w:val="16"/>
      <w:szCs w:val="16"/>
    </w:rPr>
  </w:style>
  <w:style w:type="paragraph" w:styleId="Date">
    <w:name w:val="Date"/>
    <w:basedOn w:val="BodyText"/>
    <w:next w:val="BodyTextSingleSpacing"/>
    <w:link w:val="DateChar"/>
    <w:uiPriority w:val="99"/>
    <w:semiHidden/>
    <w:rsid w:val="00C52A70"/>
    <w:pPr>
      <w:pageBreakBefore/>
      <w:spacing w:after="720"/>
    </w:pPr>
  </w:style>
  <w:style w:type="character" w:customStyle="1" w:styleId="DateChar">
    <w:name w:val="Date Char"/>
    <w:basedOn w:val="DefaultParagraphFont"/>
    <w:link w:val="Date"/>
    <w:uiPriority w:val="99"/>
    <w:semiHidden/>
    <w:rsid w:val="00C52A70"/>
    <w:rPr>
      <w:sz w:val="20"/>
    </w:rPr>
  </w:style>
  <w:style w:type="paragraph" w:styleId="Signature">
    <w:name w:val="Signature"/>
    <w:basedOn w:val="BodyText"/>
    <w:next w:val="BodyTextSingleSpacing"/>
    <w:link w:val="SignatureChar"/>
    <w:uiPriority w:val="99"/>
    <w:semiHidden/>
    <w:rsid w:val="00C52A70"/>
    <w:pPr>
      <w:keepNext/>
      <w:spacing w:before="360" w:after="360"/>
    </w:pPr>
  </w:style>
  <w:style w:type="character" w:customStyle="1" w:styleId="SignatureChar">
    <w:name w:val="Signature Char"/>
    <w:basedOn w:val="DefaultParagraphFont"/>
    <w:link w:val="Signature"/>
    <w:uiPriority w:val="99"/>
    <w:semiHidden/>
    <w:rsid w:val="00C52A70"/>
    <w:rPr>
      <w:sz w:val="20"/>
    </w:rPr>
  </w:style>
  <w:style w:type="paragraph" w:customStyle="1" w:styleId="SubjectLine">
    <w:name w:val="Subject Line"/>
    <w:basedOn w:val="BodyText"/>
    <w:next w:val="BodyText"/>
    <w:semiHidden/>
    <w:rsid w:val="00C52A70"/>
    <w:rPr>
      <w:b/>
      <w:caps/>
    </w:rPr>
  </w:style>
  <w:style w:type="paragraph" w:customStyle="1" w:styleId="Yourssincerely">
    <w:name w:val="Yours sincerely"/>
    <w:basedOn w:val="BodyText"/>
    <w:next w:val="Signature"/>
    <w:uiPriority w:val="99"/>
    <w:semiHidden/>
    <w:rsid w:val="00C52A70"/>
    <w:pPr>
      <w:keepNext/>
    </w:pPr>
  </w:style>
  <w:style w:type="paragraph" w:customStyle="1" w:styleId="Disclaimer">
    <w:name w:val="Disclaimer"/>
    <w:basedOn w:val="Normal"/>
    <w:next w:val="BodyText"/>
    <w:semiHidden/>
    <w:rsid w:val="00C52A70"/>
    <w:pPr>
      <w:spacing w:before="3000" w:line="240" w:lineRule="auto"/>
    </w:pPr>
    <w:rPr>
      <w:sz w:val="16"/>
      <w:szCs w:val="16"/>
    </w:rPr>
  </w:style>
  <w:style w:type="paragraph" w:styleId="TableofAuthorities">
    <w:name w:val="table of authorities"/>
    <w:basedOn w:val="TableofFigures"/>
    <w:next w:val="BodyText"/>
    <w:uiPriority w:val="99"/>
    <w:semiHidden/>
    <w:rsid w:val="00C52A70"/>
  </w:style>
  <w:style w:type="character" w:customStyle="1" w:styleId="Heading8Char">
    <w:name w:val="Heading 8 Char"/>
    <w:basedOn w:val="DefaultParagraphFont"/>
    <w:link w:val="Heading8"/>
    <w:uiPriority w:val="8"/>
    <w:semiHidden/>
    <w:rsid w:val="00C52A70"/>
    <w:rPr>
      <w:rFonts w:asciiTheme="majorHAnsi" w:eastAsiaTheme="majorEastAsia" w:hAnsiTheme="majorHAnsi" w:cstheme="majorBidi"/>
      <w:bCs/>
      <w:iCs/>
      <w:color w:val="009A44" w:themeColor="accent2"/>
      <w:sz w:val="72"/>
      <w:szCs w:val="20"/>
    </w:rPr>
  </w:style>
  <w:style w:type="character" w:customStyle="1" w:styleId="Heading9Char">
    <w:name w:val="Heading 9 Char"/>
    <w:basedOn w:val="DefaultParagraphFont"/>
    <w:link w:val="Heading9"/>
    <w:uiPriority w:val="8"/>
    <w:semiHidden/>
    <w:rsid w:val="00C52A70"/>
    <w:rPr>
      <w:rFonts w:asciiTheme="majorHAnsi" w:eastAsiaTheme="majorEastAsia" w:hAnsiTheme="majorHAnsi" w:cstheme="majorBidi"/>
      <w:bCs/>
      <w:color w:val="009A44" w:themeColor="accent2"/>
      <w:sz w:val="32"/>
      <w:szCs w:val="20"/>
    </w:rPr>
  </w:style>
  <w:style w:type="paragraph" w:customStyle="1" w:styleId="Object">
    <w:name w:val="Object"/>
    <w:basedOn w:val="BodyText"/>
    <w:next w:val="Source"/>
    <w:uiPriority w:val="4"/>
    <w:qFormat/>
    <w:rsid w:val="00C52A70"/>
    <w:pPr>
      <w:keepNext/>
      <w:spacing w:before="360" w:after="240" w:line="240" w:lineRule="auto"/>
    </w:pPr>
  </w:style>
  <w:style w:type="character" w:styleId="PlaceholderText">
    <w:name w:val="Placeholder Text"/>
    <w:basedOn w:val="DefaultParagraphFont"/>
    <w:uiPriority w:val="99"/>
    <w:rsid w:val="00C52A70"/>
    <w:rPr>
      <w:rFonts w:asciiTheme="minorHAnsi" w:hAnsiTheme="minorHAnsi"/>
      <w:vanish w:val="0"/>
      <w:color w:val="808080"/>
    </w:rPr>
  </w:style>
  <w:style w:type="paragraph" w:styleId="Quote">
    <w:name w:val="Quote"/>
    <w:basedOn w:val="BodyText"/>
    <w:next w:val="BodyText"/>
    <w:link w:val="QuoteChar"/>
    <w:uiPriority w:val="14"/>
    <w:qFormat/>
    <w:rsid w:val="00C52A70"/>
    <w:pPr>
      <w:pBdr>
        <w:top w:val="thickThinMediumGap" w:sz="18" w:space="6" w:color="250E62" w:themeColor="accent1"/>
        <w:bottom w:val="thinThickMediumGap" w:sz="18" w:space="6" w:color="250E62" w:themeColor="accent1"/>
      </w:pBdr>
      <w:spacing w:before="0" w:after="0"/>
      <w:ind w:left="567" w:right="2268"/>
    </w:pPr>
    <w:rPr>
      <w:i/>
      <w:iCs/>
      <w:color w:val="250E62" w:themeColor="accent1"/>
    </w:rPr>
  </w:style>
  <w:style w:type="character" w:customStyle="1" w:styleId="QuoteChar">
    <w:name w:val="Quote Char"/>
    <w:basedOn w:val="DefaultParagraphFont"/>
    <w:link w:val="Quote"/>
    <w:uiPriority w:val="14"/>
    <w:rsid w:val="00C52A70"/>
    <w:rPr>
      <w:i/>
      <w:iCs/>
      <w:color w:val="250E62" w:themeColor="accent1"/>
      <w:sz w:val="20"/>
    </w:rPr>
  </w:style>
  <w:style w:type="paragraph" w:customStyle="1" w:styleId="PageNo">
    <w:name w:val="Page No"/>
    <w:basedOn w:val="Normal"/>
    <w:link w:val="PageNoChar"/>
    <w:uiPriority w:val="99"/>
    <w:qFormat/>
    <w:rsid w:val="00C52A70"/>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C52A70"/>
    <w:rPr>
      <w:color w:val="FFFFFF" w:themeColor="background1"/>
    </w:rPr>
  </w:style>
  <w:style w:type="character" w:customStyle="1" w:styleId="PageNoChar">
    <w:name w:val="Page No Char"/>
    <w:basedOn w:val="FooterChar"/>
    <w:link w:val="PageNo"/>
    <w:uiPriority w:val="99"/>
    <w:rsid w:val="00C52A70"/>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C52A70"/>
    <w:pPr>
      <w:spacing w:before="1200" w:after="480"/>
    </w:pPr>
    <w:rPr>
      <w:rFonts w:asciiTheme="majorHAnsi" w:hAnsiTheme="majorHAnsi"/>
      <w:noProof/>
      <w:color w:val="250E62" w:themeColor="accent1"/>
      <w:sz w:val="36"/>
    </w:rPr>
  </w:style>
  <w:style w:type="paragraph" w:customStyle="1" w:styleId="CoverChapter">
    <w:name w:val="Cover Chapter"/>
    <w:basedOn w:val="Normal"/>
    <w:uiPriority w:val="9"/>
    <w:qFormat/>
    <w:rsid w:val="00C52A70"/>
    <w:pPr>
      <w:spacing w:after="0" w:line="264" w:lineRule="auto"/>
    </w:pPr>
    <w:rPr>
      <w:rFonts w:ascii="Nunito SemiBold" w:hAnsi="Nunito SemiBold"/>
      <w:color w:val="009A44" w:themeColor="accent2"/>
      <w:sz w:val="80"/>
    </w:rPr>
  </w:style>
  <w:style w:type="paragraph" w:customStyle="1" w:styleId="CoverTitle">
    <w:name w:val="Cover Title"/>
    <w:basedOn w:val="CoverChapter"/>
    <w:uiPriority w:val="9"/>
    <w:qFormat/>
    <w:rsid w:val="00C52A70"/>
    <w:pPr>
      <w:spacing w:before="0" w:line="880" w:lineRule="atLeast"/>
    </w:pPr>
    <w:rPr>
      <w:color w:val="250E62" w:themeColor="accent1"/>
    </w:rPr>
  </w:style>
  <w:style w:type="paragraph" w:customStyle="1" w:styleId="Evenfooter">
    <w:name w:val="Even footer"/>
    <w:basedOn w:val="Footer"/>
    <w:uiPriority w:val="9"/>
    <w:qFormat/>
    <w:rsid w:val="00C52A70"/>
    <w:pPr>
      <w:jc w:val="left"/>
    </w:pPr>
  </w:style>
  <w:style w:type="paragraph" w:customStyle="1" w:styleId="CalloutHeaderWhite">
    <w:name w:val="Callout Header White"/>
    <w:basedOn w:val="CalloutHeader"/>
    <w:uiPriority w:val="9"/>
    <w:qFormat/>
    <w:rsid w:val="00C52A70"/>
    <w:rPr>
      <w:color w:val="FFFFFF" w:themeColor="background1"/>
    </w:rPr>
  </w:style>
  <w:style w:type="character" w:customStyle="1" w:styleId="CalloutTextWhite">
    <w:name w:val="Callout Text White"/>
    <w:basedOn w:val="DefaultParagraphFont"/>
    <w:uiPriority w:val="1"/>
    <w:qFormat/>
    <w:rsid w:val="00C52A70"/>
    <w:rPr>
      <w:color w:val="FFFFFF" w:themeColor="background1"/>
    </w:rPr>
  </w:style>
  <w:style w:type="paragraph" w:customStyle="1" w:styleId="Chapternumber">
    <w:name w:val="Chapter number"/>
    <w:basedOn w:val="Heading1"/>
    <w:uiPriority w:val="9"/>
    <w:qFormat/>
    <w:rsid w:val="00C52A70"/>
    <w:pPr>
      <w:numPr>
        <w:numId w:val="0"/>
      </w:numPr>
      <w:spacing w:after="0"/>
    </w:pPr>
  </w:style>
  <w:style w:type="paragraph" w:customStyle="1" w:styleId="CaptionFigure">
    <w:name w:val="Caption Figure"/>
    <w:basedOn w:val="Caption"/>
    <w:next w:val="Source"/>
    <w:uiPriority w:val="9"/>
    <w:qFormat/>
    <w:rsid w:val="00C52A70"/>
    <w:pPr>
      <w:keepNext w:val="0"/>
      <w:spacing w:before="240" w:after="360"/>
    </w:pPr>
  </w:style>
  <w:style w:type="character" w:customStyle="1" w:styleId="Highlight">
    <w:name w:val="_Highlight"/>
    <w:basedOn w:val="DefaultParagraphFont"/>
    <w:uiPriority w:val="8"/>
    <w:qFormat/>
    <w:rsid w:val="00C52A70"/>
    <w:rPr>
      <w:bdr w:val="none" w:sz="0" w:space="0" w:color="auto"/>
      <w:shd w:val="clear" w:color="auto" w:fill="FFFF00"/>
    </w:rPr>
  </w:style>
  <w:style w:type="character" w:customStyle="1" w:styleId="Removedirectformatting">
    <w:name w:val="_ Remove direct formatting"/>
    <w:basedOn w:val="Highlight"/>
    <w:uiPriority w:val="8"/>
    <w:qFormat/>
    <w:rsid w:val="00C52A70"/>
    <w:rPr>
      <w:bdr w:val="none" w:sz="0" w:space="0" w:color="auto"/>
      <w:shd w:val="clear" w:color="auto" w:fill="auto"/>
    </w:rPr>
  </w:style>
  <w:style w:type="character" w:customStyle="1" w:styleId="Underline">
    <w:name w:val="_ Underline"/>
    <w:basedOn w:val="DefaultParagraphFont"/>
    <w:uiPriority w:val="8"/>
    <w:qFormat/>
    <w:rsid w:val="00C52A70"/>
    <w:rPr>
      <w:u w:val="single"/>
    </w:rPr>
  </w:style>
  <w:style w:type="character" w:customStyle="1" w:styleId="Bold">
    <w:name w:val="_Bold"/>
    <w:basedOn w:val="DefaultParagraphFont"/>
    <w:uiPriority w:val="8"/>
    <w:qFormat/>
    <w:rsid w:val="00C52A70"/>
    <w:rPr>
      <w:b/>
    </w:rPr>
  </w:style>
  <w:style w:type="character" w:customStyle="1" w:styleId="HighlightBlue">
    <w:name w:val="_Highlight_Blue"/>
    <w:basedOn w:val="DefaultParagraphFont"/>
    <w:uiPriority w:val="7"/>
    <w:qFormat/>
    <w:rsid w:val="00C52A70"/>
    <w:rPr>
      <w:bdr w:val="none" w:sz="0" w:space="0" w:color="auto"/>
      <w:shd w:val="clear" w:color="auto" w:fill="CCFFFF"/>
    </w:rPr>
  </w:style>
  <w:style w:type="character" w:customStyle="1" w:styleId="Italics">
    <w:name w:val="_Italics"/>
    <w:basedOn w:val="DefaultParagraphFont"/>
    <w:uiPriority w:val="8"/>
    <w:qFormat/>
    <w:rsid w:val="00C52A70"/>
    <w:rPr>
      <w:b w:val="0"/>
      <w:i/>
    </w:rPr>
  </w:style>
  <w:style w:type="character" w:customStyle="1" w:styleId="Strikethrough">
    <w:name w:val="_Strikethrough"/>
    <w:basedOn w:val="DefaultParagraphFont"/>
    <w:uiPriority w:val="8"/>
    <w:qFormat/>
    <w:rsid w:val="00C52A70"/>
    <w:rPr>
      <w:strike/>
      <w:dstrike w:val="0"/>
    </w:rPr>
  </w:style>
  <w:style w:type="character" w:customStyle="1" w:styleId="Subscript">
    <w:name w:val="_Subscript"/>
    <w:basedOn w:val="DefaultParagraphFont"/>
    <w:uiPriority w:val="8"/>
    <w:qFormat/>
    <w:rsid w:val="00C52A70"/>
    <w:rPr>
      <w:vertAlign w:val="subscript"/>
    </w:rPr>
  </w:style>
  <w:style w:type="character" w:customStyle="1" w:styleId="Superscript">
    <w:name w:val="_Superscript"/>
    <w:basedOn w:val="Subscript"/>
    <w:uiPriority w:val="8"/>
    <w:qFormat/>
    <w:rsid w:val="00C52A70"/>
    <w:rPr>
      <w:vertAlign w:val="superscript"/>
    </w:rPr>
  </w:style>
  <w:style w:type="character" w:customStyle="1" w:styleId="TextBlue">
    <w:name w:val="_Text Blue"/>
    <w:basedOn w:val="DefaultParagraphFont"/>
    <w:uiPriority w:val="7"/>
    <w:qFormat/>
    <w:rsid w:val="00C52A70"/>
    <w:rPr>
      <w:color w:val="0085CA" w:themeColor="accent4"/>
    </w:rPr>
  </w:style>
  <w:style w:type="character" w:customStyle="1" w:styleId="TextGreen">
    <w:name w:val="_Text Green"/>
    <w:uiPriority w:val="8"/>
    <w:qFormat/>
    <w:rsid w:val="00C52A70"/>
    <w:rPr>
      <w:color w:val="9BAE00" w:themeColor="accent3" w:themeShade="BF"/>
    </w:rPr>
  </w:style>
  <w:style w:type="character" w:customStyle="1" w:styleId="TextRed">
    <w:name w:val="_Text Red"/>
    <w:basedOn w:val="DefaultParagraphFont"/>
    <w:uiPriority w:val="8"/>
    <w:qFormat/>
    <w:rsid w:val="00C52A70"/>
    <w:rPr>
      <w:color w:val="CE0058" w:themeColor="accent6"/>
    </w:rPr>
  </w:style>
  <w:style w:type="paragraph" w:customStyle="1" w:styleId="CaptionObject">
    <w:name w:val="Caption Object"/>
    <w:basedOn w:val="BodyText"/>
    <w:next w:val="BodyText"/>
    <w:uiPriority w:val="6"/>
    <w:qFormat/>
    <w:rsid w:val="00C52A70"/>
    <w:pPr>
      <w:spacing w:before="120" w:after="240" w:line="240" w:lineRule="auto"/>
    </w:pPr>
  </w:style>
  <w:style w:type="paragraph" w:styleId="Bibliography">
    <w:name w:val="Bibliography"/>
    <w:basedOn w:val="Normal"/>
    <w:next w:val="Normal"/>
    <w:uiPriority w:val="37"/>
    <w:unhideWhenUsed/>
    <w:rsid w:val="00237873"/>
    <w:pPr>
      <w:spacing w:before="120" w:line="240" w:lineRule="auto"/>
    </w:pPr>
    <w:rPr>
      <w:rFonts w:ascii="Nunito" w:eastAsia="Times New Roman" w:hAnsi="Nunito" w:cs="Times New Roman"/>
      <w:i/>
      <w:szCs w:val="24"/>
      <w:lang w:eastAsia="en-AU"/>
    </w:rPr>
  </w:style>
  <w:style w:type="paragraph" w:customStyle="1" w:styleId="Headerlandscape">
    <w:name w:val="Header landscape"/>
    <w:basedOn w:val="Header"/>
    <w:uiPriority w:val="9"/>
    <w:qFormat/>
    <w:rsid w:val="00C52A70"/>
    <w:pPr>
      <w:spacing w:after="840"/>
    </w:pPr>
    <w:rPr>
      <w:noProof/>
      <w:lang w:eastAsia="en-AU"/>
    </w:rPr>
  </w:style>
  <w:style w:type="character" w:styleId="CommentReference">
    <w:name w:val="annotation reference"/>
    <w:basedOn w:val="DefaultParagraphFont"/>
    <w:uiPriority w:val="99"/>
    <w:unhideWhenUsed/>
    <w:rsid w:val="00CD0767"/>
    <w:rPr>
      <w:sz w:val="16"/>
      <w:szCs w:val="16"/>
    </w:rPr>
  </w:style>
  <w:style w:type="paragraph" w:styleId="CommentText">
    <w:name w:val="annotation text"/>
    <w:basedOn w:val="Normal"/>
    <w:link w:val="CommentTextChar"/>
    <w:uiPriority w:val="99"/>
    <w:unhideWhenUsed/>
    <w:rsid w:val="00CD0767"/>
    <w:pPr>
      <w:spacing w:line="240" w:lineRule="auto"/>
    </w:pPr>
    <w:rPr>
      <w:szCs w:val="20"/>
    </w:rPr>
  </w:style>
  <w:style w:type="character" w:customStyle="1" w:styleId="CommentTextChar">
    <w:name w:val="Comment Text Char"/>
    <w:basedOn w:val="DefaultParagraphFont"/>
    <w:link w:val="CommentText"/>
    <w:uiPriority w:val="99"/>
    <w:rsid w:val="00CD0767"/>
    <w:rPr>
      <w:sz w:val="20"/>
      <w:szCs w:val="20"/>
    </w:rPr>
  </w:style>
  <w:style w:type="paragraph" w:styleId="CommentSubject">
    <w:name w:val="annotation subject"/>
    <w:basedOn w:val="CommentText"/>
    <w:next w:val="CommentText"/>
    <w:link w:val="CommentSubjectChar"/>
    <w:uiPriority w:val="99"/>
    <w:semiHidden/>
    <w:unhideWhenUsed/>
    <w:rsid w:val="00CD0767"/>
    <w:rPr>
      <w:b/>
      <w:bCs/>
    </w:rPr>
  </w:style>
  <w:style w:type="character" w:customStyle="1" w:styleId="CommentSubjectChar">
    <w:name w:val="Comment Subject Char"/>
    <w:basedOn w:val="CommentTextChar"/>
    <w:link w:val="CommentSubject"/>
    <w:uiPriority w:val="99"/>
    <w:semiHidden/>
    <w:rsid w:val="00CD0767"/>
    <w:rPr>
      <w:b/>
      <w:bCs/>
      <w:sz w:val="20"/>
      <w:szCs w:val="20"/>
    </w:rPr>
  </w:style>
  <w:style w:type="paragraph" w:customStyle="1" w:styleId="Body">
    <w:name w:val="Body"/>
    <w:aliases w:val="b"/>
    <w:basedOn w:val="Normal"/>
    <w:link w:val="BodyChar"/>
    <w:rsid w:val="00B178B3"/>
    <w:pPr>
      <w:spacing w:before="60" w:line="280" w:lineRule="atLeast"/>
      <w:ind w:left="567"/>
    </w:pPr>
    <w:rPr>
      <w:rFonts w:ascii="Arial" w:eastAsia="Times New Roman" w:hAnsi="Arial" w:cs="Times New Roman"/>
      <w:szCs w:val="24"/>
    </w:rPr>
  </w:style>
  <w:style w:type="character" w:customStyle="1" w:styleId="BodyChar">
    <w:name w:val="Body Char"/>
    <w:aliases w:val="b Char"/>
    <w:link w:val="Body"/>
    <w:rsid w:val="00B178B3"/>
    <w:rPr>
      <w:rFonts w:ascii="Arial" w:eastAsia="Times New Roman" w:hAnsi="Arial" w:cs="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3003">
      <w:bodyDiv w:val="1"/>
      <w:marLeft w:val="0"/>
      <w:marRight w:val="0"/>
      <w:marTop w:val="0"/>
      <w:marBottom w:val="0"/>
      <w:divBdr>
        <w:top w:val="none" w:sz="0" w:space="0" w:color="auto"/>
        <w:left w:val="none" w:sz="0" w:space="0" w:color="auto"/>
        <w:bottom w:val="none" w:sz="0" w:space="0" w:color="auto"/>
        <w:right w:val="none" w:sz="0" w:space="0" w:color="auto"/>
      </w:divBdr>
    </w:div>
    <w:div w:id="16663619">
      <w:bodyDiv w:val="1"/>
      <w:marLeft w:val="0"/>
      <w:marRight w:val="0"/>
      <w:marTop w:val="0"/>
      <w:marBottom w:val="0"/>
      <w:divBdr>
        <w:top w:val="none" w:sz="0" w:space="0" w:color="auto"/>
        <w:left w:val="none" w:sz="0" w:space="0" w:color="auto"/>
        <w:bottom w:val="none" w:sz="0" w:space="0" w:color="auto"/>
        <w:right w:val="none" w:sz="0" w:space="0" w:color="auto"/>
      </w:divBdr>
    </w:div>
    <w:div w:id="21708756">
      <w:bodyDiv w:val="1"/>
      <w:marLeft w:val="0"/>
      <w:marRight w:val="0"/>
      <w:marTop w:val="0"/>
      <w:marBottom w:val="0"/>
      <w:divBdr>
        <w:top w:val="none" w:sz="0" w:space="0" w:color="auto"/>
        <w:left w:val="none" w:sz="0" w:space="0" w:color="auto"/>
        <w:bottom w:val="none" w:sz="0" w:space="0" w:color="auto"/>
        <w:right w:val="none" w:sz="0" w:space="0" w:color="auto"/>
      </w:divBdr>
    </w:div>
    <w:div w:id="27025545">
      <w:bodyDiv w:val="1"/>
      <w:marLeft w:val="0"/>
      <w:marRight w:val="0"/>
      <w:marTop w:val="0"/>
      <w:marBottom w:val="0"/>
      <w:divBdr>
        <w:top w:val="none" w:sz="0" w:space="0" w:color="auto"/>
        <w:left w:val="none" w:sz="0" w:space="0" w:color="auto"/>
        <w:bottom w:val="none" w:sz="0" w:space="0" w:color="auto"/>
        <w:right w:val="none" w:sz="0" w:space="0" w:color="auto"/>
      </w:divBdr>
    </w:div>
    <w:div w:id="29695130">
      <w:bodyDiv w:val="1"/>
      <w:marLeft w:val="0"/>
      <w:marRight w:val="0"/>
      <w:marTop w:val="0"/>
      <w:marBottom w:val="0"/>
      <w:divBdr>
        <w:top w:val="none" w:sz="0" w:space="0" w:color="auto"/>
        <w:left w:val="none" w:sz="0" w:space="0" w:color="auto"/>
        <w:bottom w:val="none" w:sz="0" w:space="0" w:color="auto"/>
        <w:right w:val="none" w:sz="0" w:space="0" w:color="auto"/>
      </w:divBdr>
    </w:div>
    <w:div w:id="31030756">
      <w:bodyDiv w:val="1"/>
      <w:marLeft w:val="0"/>
      <w:marRight w:val="0"/>
      <w:marTop w:val="0"/>
      <w:marBottom w:val="0"/>
      <w:divBdr>
        <w:top w:val="none" w:sz="0" w:space="0" w:color="auto"/>
        <w:left w:val="none" w:sz="0" w:space="0" w:color="auto"/>
        <w:bottom w:val="none" w:sz="0" w:space="0" w:color="auto"/>
        <w:right w:val="none" w:sz="0" w:space="0" w:color="auto"/>
      </w:divBdr>
    </w:div>
    <w:div w:id="34694684">
      <w:bodyDiv w:val="1"/>
      <w:marLeft w:val="0"/>
      <w:marRight w:val="0"/>
      <w:marTop w:val="0"/>
      <w:marBottom w:val="0"/>
      <w:divBdr>
        <w:top w:val="none" w:sz="0" w:space="0" w:color="auto"/>
        <w:left w:val="none" w:sz="0" w:space="0" w:color="auto"/>
        <w:bottom w:val="none" w:sz="0" w:space="0" w:color="auto"/>
        <w:right w:val="none" w:sz="0" w:space="0" w:color="auto"/>
      </w:divBdr>
    </w:div>
    <w:div w:id="35814650">
      <w:bodyDiv w:val="1"/>
      <w:marLeft w:val="0"/>
      <w:marRight w:val="0"/>
      <w:marTop w:val="0"/>
      <w:marBottom w:val="0"/>
      <w:divBdr>
        <w:top w:val="none" w:sz="0" w:space="0" w:color="auto"/>
        <w:left w:val="none" w:sz="0" w:space="0" w:color="auto"/>
        <w:bottom w:val="none" w:sz="0" w:space="0" w:color="auto"/>
        <w:right w:val="none" w:sz="0" w:space="0" w:color="auto"/>
      </w:divBdr>
    </w:div>
    <w:div w:id="47656078">
      <w:bodyDiv w:val="1"/>
      <w:marLeft w:val="0"/>
      <w:marRight w:val="0"/>
      <w:marTop w:val="0"/>
      <w:marBottom w:val="0"/>
      <w:divBdr>
        <w:top w:val="none" w:sz="0" w:space="0" w:color="auto"/>
        <w:left w:val="none" w:sz="0" w:space="0" w:color="auto"/>
        <w:bottom w:val="none" w:sz="0" w:space="0" w:color="auto"/>
        <w:right w:val="none" w:sz="0" w:space="0" w:color="auto"/>
      </w:divBdr>
    </w:div>
    <w:div w:id="49574597">
      <w:bodyDiv w:val="1"/>
      <w:marLeft w:val="0"/>
      <w:marRight w:val="0"/>
      <w:marTop w:val="0"/>
      <w:marBottom w:val="0"/>
      <w:divBdr>
        <w:top w:val="none" w:sz="0" w:space="0" w:color="auto"/>
        <w:left w:val="none" w:sz="0" w:space="0" w:color="auto"/>
        <w:bottom w:val="none" w:sz="0" w:space="0" w:color="auto"/>
        <w:right w:val="none" w:sz="0" w:space="0" w:color="auto"/>
      </w:divBdr>
    </w:div>
    <w:div w:id="51003752">
      <w:bodyDiv w:val="1"/>
      <w:marLeft w:val="0"/>
      <w:marRight w:val="0"/>
      <w:marTop w:val="0"/>
      <w:marBottom w:val="0"/>
      <w:divBdr>
        <w:top w:val="none" w:sz="0" w:space="0" w:color="auto"/>
        <w:left w:val="none" w:sz="0" w:space="0" w:color="auto"/>
        <w:bottom w:val="none" w:sz="0" w:space="0" w:color="auto"/>
        <w:right w:val="none" w:sz="0" w:space="0" w:color="auto"/>
      </w:divBdr>
    </w:div>
    <w:div w:id="54395096">
      <w:bodyDiv w:val="1"/>
      <w:marLeft w:val="0"/>
      <w:marRight w:val="0"/>
      <w:marTop w:val="0"/>
      <w:marBottom w:val="0"/>
      <w:divBdr>
        <w:top w:val="none" w:sz="0" w:space="0" w:color="auto"/>
        <w:left w:val="none" w:sz="0" w:space="0" w:color="auto"/>
        <w:bottom w:val="none" w:sz="0" w:space="0" w:color="auto"/>
        <w:right w:val="none" w:sz="0" w:space="0" w:color="auto"/>
      </w:divBdr>
    </w:div>
    <w:div w:id="60761879">
      <w:bodyDiv w:val="1"/>
      <w:marLeft w:val="0"/>
      <w:marRight w:val="0"/>
      <w:marTop w:val="0"/>
      <w:marBottom w:val="0"/>
      <w:divBdr>
        <w:top w:val="none" w:sz="0" w:space="0" w:color="auto"/>
        <w:left w:val="none" w:sz="0" w:space="0" w:color="auto"/>
        <w:bottom w:val="none" w:sz="0" w:space="0" w:color="auto"/>
        <w:right w:val="none" w:sz="0" w:space="0" w:color="auto"/>
      </w:divBdr>
    </w:div>
    <w:div w:id="64845123">
      <w:bodyDiv w:val="1"/>
      <w:marLeft w:val="0"/>
      <w:marRight w:val="0"/>
      <w:marTop w:val="0"/>
      <w:marBottom w:val="0"/>
      <w:divBdr>
        <w:top w:val="none" w:sz="0" w:space="0" w:color="auto"/>
        <w:left w:val="none" w:sz="0" w:space="0" w:color="auto"/>
        <w:bottom w:val="none" w:sz="0" w:space="0" w:color="auto"/>
        <w:right w:val="none" w:sz="0" w:space="0" w:color="auto"/>
      </w:divBdr>
    </w:div>
    <w:div w:id="70083986">
      <w:bodyDiv w:val="1"/>
      <w:marLeft w:val="0"/>
      <w:marRight w:val="0"/>
      <w:marTop w:val="0"/>
      <w:marBottom w:val="0"/>
      <w:divBdr>
        <w:top w:val="none" w:sz="0" w:space="0" w:color="auto"/>
        <w:left w:val="none" w:sz="0" w:space="0" w:color="auto"/>
        <w:bottom w:val="none" w:sz="0" w:space="0" w:color="auto"/>
        <w:right w:val="none" w:sz="0" w:space="0" w:color="auto"/>
      </w:divBdr>
    </w:div>
    <w:div w:id="74211288">
      <w:bodyDiv w:val="1"/>
      <w:marLeft w:val="0"/>
      <w:marRight w:val="0"/>
      <w:marTop w:val="0"/>
      <w:marBottom w:val="0"/>
      <w:divBdr>
        <w:top w:val="none" w:sz="0" w:space="0" w:color="auto"/>
        <w:left w:val="none" w:sz="0" w:space="0" w:color="auto"/>
        <w:bottom w:val="none" w:sz="0" w:space="0" w:color="auto"/>
        <w:right w:val="none" w:sz="0" w:space="0" w:color="auto"/>
      </w:divBdr>
    </w:div>
    <w:div w:id="79183568">
      <w:bodyDiv w:val="1"/>
      <w:marLeft w:val="0"/>
      <w:marRight w:val="0"/>
      <w:marTop w:val="0"/>
      <w:marBottom w:val="0"/>
      <w:divBdr>
        <w:top w:val="none" w:sz="0" w:space="0" w:color="auto"/>
        <w:left w:val="none" w:sz="0" w:space="0" w:color="auto"/>
        <w:bottom w:val="none" w:sz="0" w:space="0" w:color="auto"/>
        <w:right w:val="none" w:sz="0" w:space="0" w:color="auto"/>
      </w:divBdr>
    </w:div>
    <w:div w:id="90930891">
      <w:bodyDiv w:val="1"/>
      <w:marLeft w:val="0"/>
      <w:marRight w:val="0"/>
      <w:marTop w:val="0"/>
      <w:marBottom w:val="0"/>
      <w:divBdr>
        <w:top w:val="none" w:sz="0" w:space="0" w:color="auto"/>
        <w:left w:val="none" w:sz="0" w:space="0" w:color="auto"/>
        <w:bottom w:val="none" w:sz="0" w:space="0" w:color="auto"/>
        <w:right w:val="none" w:sz="0" w:space="0" w:color="auto"/>
      </w:divBdr>
    </w:div>
    <w:div w:id="92895300">
      <w:bodyDiv w:val="1"/>
      <w:marLeft w:val="0"/>
      <w:marRight w:val="0"/>
      <w:marTop w:val="0"/>
      <w:marBottom w:val="0"/>
      <w:divBdr>
        <w:top w:val="none" w:sz="0" w:space="0" w:color="auto"/>
        <w:left w:val="none" w:sz="0" w:space="0" w:color="auto"/>
        <w:bottom w:val="none" w:sz="0" w:space="0" w:color="auto"/>
        <w:right w:val="none" w:sz="0" w:space="0" w:color="auto"/>
      </w:divBdr>
    </w:div>
    <w:div w:id="98064413">
      <w:bodyDiv w:val="1"/>
      <w:marLeft w:val="0"/>
      <w:marRight w:val="0"/>
      <w:marTop w:val="0"/>
      <w:marBottom w:val="0"/>
      <w:divBdr>
        <w:top w:val="none" w:sz="0" w:space="0" w:color="auto"/>
        <w:left w:val="none" w:sz="0" w:space="0" w:color="auto"/>
        <w:bottom w:val="none" w:sz="0" w:space="0" w:color="auto"/>
        <w:right w:val="none" w:sz="0" w:space="0" w:color="auto"/>
      </w:divBdr>
    </w:div>
    <w:div w:id="99763068">
      <w:bodyDiv w:val="1"/>
      <w:marLeft w:val="0"/>
      <w:marRight w:val="0"/>
      <w:marTop w:val="0"/>
      <w:marBottom w:val="0"/>
      <w:divBdr>
        <w:top w:val="none" w:sz="0" w:space="0" w:color="auto"/>
        <w:left w:val="none" w:sz="0" w:space="0" w:color="auto"/>
        <w:bottom w:val="none" w:sz="0" w:space="0" w:color="auto"/>
        <w:right w:val="none" w:sz="0" w:space="0" w:color="auto"/>
      </w:divBdr>
    </w:div>
    <w:div w:id="101922210">
      <w:bodyDiv w:val="1"/>
      <w:marLeft w:val="0"/>
      <w:marRight w:val="0"/>
      <w:marTop w:val="0"/>
      <w:marBottom w:val="0"/>
      <w:divBdr>
        <w:top w:val="none" w:sz="0" w:space="0" w:color="auto"/>
        <w:left w:val="none" w:sz="0" w:space="0" w:color="auto"/>
        <w:bottom w:val="none" w:sz="0" w:space="0" w:color="auto"/>
        <w:right w:val="none" w:sz="0" w:space="0" w:color="auto"/>
      </w:divBdr>
    </w:div>
    <w:div w:id="103505273">
      <w:bodyDiv w:val="1"/>
      <w:marLeft w:val="0"/>
      <w:marRight w:val="0"/>
      <w:marTop w:val="0"/>
      <w:marBottom w:val="0"/>
      <w:divBdr>
        <w:top w:val="none" w:sz="0" w:space="0" w:color="auto"/>
        <w:left w:val="none" w:sz="0" w:space="0" w:color="auto"/>
        <w:bottom w:val="none" w:sz="0" w:space="0" w:color="auto"/>
        <w:right w:val="none" w:sz="0" w:space="0" w:color="auto"/>
      </w:divBdr>
    </w:div>
    <w:div w:id="123349514">
      <w:bodyDiv w:val="1"/>
      <w:marLeft w:val="0"/>
      <w:marRight w:val="0"/>
      <w:marTop w:val="0"/>
      <w:marBottom w:val="0"/>
      <w:divBdr>
        <w:top w:val="none" w:sz="0" w:space="0" w:color="auto"/>
        <w:left w:val="none" w:sz="0" w:space="0" w:color="auto"/>
        <w:bottom w:val="none" w:sz="0" w:space="0" w:color="auto"/>
        <w:right w:val="none" w:sz="0" w:space="0" w:color="auto"/>
      </w:divBdr>
    </w:div>
    <w:div w:id="124199586">
      <w:bodyDiv w:val="1"/>
      <w:marLeft w:val="0"/>
      <w:marRight w:val="0"/>
      <w:marTop w:val="0"/>
      <w:marBottom w:val="0"/>
      <w:divBdr>
        <w:top w:val="none" w:sz="0" w:space="0" w:color="auto"/>
        <w:left w:val="none" w:sz="0" w:space="0" w:color="auto"/>
        <w:bottom w:val="none" w:sz="0" w:space="0" w:color="auto"/>
        <w:right w:val="none" w:sz="0" w:space="0" w:color="auto"/>
      </w:divBdr>
    </w:div>
    <w:div w:id="130099005">
      <w:bodyDiv w:val="1"/>
      <w:marLeft w:val="0"/>
      <w:marRight w:val="0"/>
      <w:marTop w:val="0"/>
      <w:marBottom w:val="0"/>
      <w:divBdr>
        <w:top w:val="none" w:sz="0" w:space="0" w:color="auto"/>
        <w:left w:val="none" w:sz="0" w:space="0" w:color="auto"/>
        <w:bottom w:val="none" w:sz="0" w:space="0" w:color="auto"/>
        <w:right w:val="none" w:sz="0" w:space="0" w:color="auto"/>
      </w:divBdr>
    </w:div>
    <w:div w:id="132411862">
      <w:bodyDiv w:val="1"/>
      <w:marLeft w:val="0"/>
      <w:marRight w:val="0"/>
      <w:marTop w:val="0"/>
      <w:marBottom w:val="0"/>
      <w:divBdr>
        <w:top w:val="none" w:sz="0" w:space="0" w:color="auto"/>
        <w:left w:val="none" w:sz="0" w:space="0" w:color="auto"/>
        <w:bottom w:val="none" w:sz="0" w:space="0" w:color="auto"/>
        <w:right w:val="none" w:sz="0" w:space="0" w:color="auto"/>
      </w:divBdr>
    </w:div>
    <w:div w:id="133833497">
      <w:bodyDiv w:val="1"/>
      <w:marLeft w:val="0"/>
      <w:marRight w:val="0"/>
      <w:marTop w:val="0"/>
      <w:marBottom w:val="0"/>
      <w:divBdr>
        <w:top w:val="none" w:sz="0" w:space="0" w:color="auto"/>
        <w:left w:val="none" w:sz="0" w:space="0" w:color="auto"/>
        <w:bottom w:val="none" w:sz="0" w:space="0" w:color="auto"/>
        <w:right w:val="none" w:sz="0" w:space="0" w:color="auto"/>
      </w:divBdr>
    </w:div>
    <w:div w:id="140775331">
      <w:bodyDiv w:val="1"/>
      <w:marLeft w:val="0"/>
      <w:marRight w:val="0"/>
      <w:marTop w:val="0"/>
      <w:marBottom w:val="0"/>
      <w:divBdr>
        <w:top w:val="none" w:sz="0" w:space="0" w:color="auto"/>
        <w:left w:val="none" w:sz="0" w:space="0" w:color="auto"/>
        <w:bottom w:val="none" w:sz="0" w:space="0" w:color="auto"/>
        <w:right w:val="none" w:sz="0" w:space="0" w:color="auto"/>
      </w:divBdr>
    </w:div>
    <w:div w:id="144318930">
      <w:bodyDiv w:val="1"/>
      <w:marLeft w:val="0"/>
      <w:marRight w:val="0"/>
      <w:marTop w:val="0"/>
      <w:marBottom w:val="0"/>
      <w:divBdr>
        <w:top w:val="none" w:sz="0" w:space="0" w:color="auto"/>
        <w:left w:val="none" w:sz="0" w:space="0" w:color="auto"/>
        <w:bottom w:val="none" w:sz="0" w:space="0" w:color="auto"/>
        <w:right w:val="none" w:sz="0" w:space="0" w:color="auto"/>
      </w:divBdr>
    </w:div>
    <w:div w:id="145439859">
      <w:bodyDiv w:val="1"/>
      <w:marLeft w:val="0"/>
      <w:marRight w:val="0"/>
      <w:marTop w:val="0"/>
      <w:marBottom w:val="0"/>
      <w:divBdr>
        <w:top w:val="none" w:sz="0" w:space="0" w:color="auto"/>
        <w:left w:val="none" w:sz="0" w:space="0" w:color="auto"/>
        <w:bottom w:val="none" w:sz="0" w:space="0" w:color="auto"/>
        <w:right w:val="none" w:sz="0" w:space="0" w:color="auto"/>
      </w:divBdr>
    </w:div>
    <w:div w:id="147285537">
      <w:bodyDiv w:val="1"/>
      <w:marLeft w:val="0"/>
      <w:marRight w:val="0"/>
      <w:marTop w:val="0"/>
      <w:marBottom w:val="0"/>
      <w:divBdr>
        <w:top w:val="none" w:sz="0" w:space="0" w:color="auto"/>
        <w:left w:val="none" w:sz="0" w:space="0" w:color="auto"/>
        <w:bottom w:val="none" w:sz="0" w:space="0" w:color="auto"/>
        <w:right w:val="none" w:sz="0" w:space="0" w:color="auto"/>
      </w:divBdr>
    </w:div>
    <w:div w:id="148523427">
      <w:bodyDiv w:val="1"/>
      <w:marLeft w:val="0"/>
      <w:marRight w:val="0"/>
      <w:marTop w:val="0"/>
      <w:marBottom w:val="0"/>
      <w:divBdr>
        <w:top w:val="none" w:sz="0" w:space="0" w:color="auto"/>
        <w:left w:val="none" w:sz="0" w:space="0" w:color="auto"/>
        <w:bottom w:val="none" w:sz="0" w:space="0" w:color="auto"/>
        <w:right w:val="none" w:sz="0" w:space="0" w:color="auto"/>
      </w:divBdr>
    </w:div>
    <w:div w:id="150950691">
      <w:bodyDiv w:val="1"/>
      <w:marLeft w:val="0"/>
      <w:marRight w:val="0"/>
      <w:marTop w:val="0"/>
      <w:marBottom w:val="0"/>
      <w:divBdr>
        <w:top w:val="none" w:sz="0" w:space="0" w:color="auto"/>
        <w:left w:val="none" w:sz="0" w:space="0" w:color="auto"/>
        <w:bottom w:val="none" w:sz="0" w:space="0" w:color="auto"/>
        <w:right w:val="none" w:sz="0" w:space="0" w:color="auto"/>
      </w:divBdr>
    </w:div>
    <w:div w:id="161700174">
      <w:bodyDiv w:val="1"/>
      <w:marLeft w:val="0"/>
      <w:marRight w:val="0"/>
      <w:marTop w:val="0"/>
      <w:marBottom w:val="0"/>
      <w:divBdr>
        <w:top w:val="none" w:sz="0" w:space="0" w:color="auto"/>
        <w:left w:val="none" w:sz="0" w:space="0" w:color="auto"/>
        <w:bottom w:val="none" w:sz="0" w:space="0" w:color="auto"/>
        <w:right w:val="none" w:sz="0" w:space="0" w:color="auto"/>
      </w:divBdr>
    </w:div>
    <w:div w:id="165482538">
      <w:bodyDiv w:val="1"/>
      <w:marLeft w:val="0"/>
      <w:marRight w:val="0"/>
      <w:marTop w:val="0"/>
      <w:marBottom w:val="0"/>
      <w:divBdr>
        <w:top w:val="none" w:sz="0" w:space="0" w:color="auto"/>
        <w:left w:val="none" w:sz="0" w:space="0" w:color="auto"/>
        <w:bottom w:val="none" w:sz="0" w:space="0" w:color="auto"/>
        <w:right w:val="none" w:sz="0" w:space="0" w:color="auto"/>
      </w:divBdr>
    </w:div>
    <w:div w:id="177895594">
      <w:bodyDiv w:val="1"/>
      <w:marLeft w:val="0"/>
      <w:marRight w:val="0"/>
      <w:marTop w:val="0"/>
      <w:marBottom w:val="0"/>
      <w:divBdr>
        <w:top w:val="none" w:sz="0" w:space="0" w:color="auto"/>
        <w:left w:val="none" w:sz="0" w:space="0" w:color="auto"/>
        <w:bottom w:val="none" w:sz="0" w:space="0" w:color="auto"/>
        <w:right w:val="none" w:sz="0" w:space="0" w:color="auto"/>
      </w:divBdr>
    </w:div>
    <w:div w:id="180780039">
      <w:bodyDiv w:val="1"/>
      <w:marLeft w:val="0"/>
      <w:marRight w:val="0"/>
      <w:marTop w:val="0"/>
      <w:marBottom w:val="0"/>
      <w:divBdr>
        <w:top w:val="none" w:sz="0" w:space="0" w:color="auto"/>
        <w:left w:val="none" w:sz="0" w:space="0" w:color="auto"/>
        <w:bottom w:val="none" w:sz="0" w:space="0" w:color="auto"/>
        <w:right w:val="none" w:sz="0" w:space="0" w:color="auto"/>
      </w:divBdr>
    </w:div>
    <w:div w:id="182675974">
      <w:bodyDiv w:val="1"/>
      <w:marLeft w:val="0"/>
      <w:marRight w:val="0"/>
      <w:marTop w:val="0"/>
      <w:marBottom w:val="0"/>
      <w:divBdr>
        <w:top w:val="none" w:sz="0" w:space="0" w:color="auto"/>
        <w:left w:val="none" w:sz="0" w:space="0" w:color="auto"/>
        <w:bottom w:val="none" w:sz="0" w:space="0" w:color="auto"/>
        <w:right w:val="none" w:sz="0" w:space="0" w:color="auto"/>
      </w:divBdr>
    </w:div>
    <w:div w:id="186481598">
      <w:bodyDiv w:val="1"/>
      <w:marLeft w:val="0"/>
      <w:marRight w:val="0"/>
      <w:marTop w:val="0"/>
      <w:marBottom w:val="0"/>
      <w:divBdr>
        <w:top w:val="none" w:sz="0" w:space="0" w:color="auto"/>
        <w:left w:val="none" w:sz="0" w:space="0" w:color="auto"/>
        <w:bottom w:val="none" w:sz="0" w:space="0" w:color="auto"/>
        <w:right w:val="none" w:sz="0" w:space="0" w:color="auto"/>
      </w:divBdr>
    </w:div>
    <w:div w:id="199633681">
      <w:bodyDiv w:val="1"/>
      <w:marLeft w:val="0"/>
      <w:marRight w:val="0"/>
      <w:marTop w:val="0"/>
      <w:marBottom w:val="0"/>
      <w:divBdr>
        <w:top w:val="none" w:sz="0" w:space="0" w:color="auto"/>
        <w:left w:val="none" w:sz="0" w:space="0" w:color="auto"/>
        <w:bottom w:val="none" w:sz="0" w:space="0" w:color="auto"/>
        <w:right w:val="none" w:sz="0" w:space="0" w:color="auto"/>
      </w:divBdr>
    </w:div>
    <w:div w:id="203449263">
      <w:bodyDiv w:val="1"/>
      <w:marLeft w:val="0"/>
      <w:marRight w:val="0"/>
      <w:marTop w:val="0"/>
      <w:marBottom w:val="0"/>
      <w:divBdr>
        <w:top w:val="none" w:sz="0" w:space="0" w:color="auto"/>
        <w:left w:val="none" w:sz="0" w:space="0" w:color="auto"/>
        <w:bottom w:val="none" w:sz="0" w:space="0" w:color="auto"/>
        <w:right w:val="none" w:sz="0" w:space="0" w:color="auto"/>
      </w:divBdr>
    </w:div>
    <w:div w:id="208342865">
      <w:bodyDiv w:val="1"/>
      <w:marLeft w:val="0"/>
      <w:marRight w:val="0"/>
      <w:marTop w:val="0"/>
      <w:marBottom w:val="0"/>
      <w:divBdr>
        <w:top w:val="none" w:sz="0" w:space="0" w:color="auto"/>
        <w:left w:val="none" w:sz="0" w:space="0" w:color="auto"/>
        <w:bottom w:val="none" w:sz="0" w:space="0" w:color="auto"/>
        <w:right w:val="none" w:sz="0" w:space="0" w:color="auto"/>
      </w:divBdr>
    </w:div>
    <w:div w:id="210965064">
      <w:bodyDiv w:val="1"/>
      <w:marLeft w:val="0"/>
      <w:marRight w:val="0"/>
      <w:marTop w:val="0"/>
      <w:marBottom w:val="0"/>
      <w:divBdr>
        <w:top w:val="none" w:sz="0" w:space="0" w:color="auto"/>
        <w:left w:val="none" w:sz="0" w:space="0" w:color="auto"/>
        <w:bottom w:val="none" w:sz="0" w:space="0" w:color="auto"/>
        <w:right w:val="none" w:sz="0" w:space="0" w:color="auto"/>
      </w:divBdr>
    </w:div>
    <w:div w:id="220799626">
      <w:bodyDiv w:val="1"/>
      <w:marLeft w:val="0"/>
      <w:marRight w:val="0"/>
      <w:marTop w:val="0"/>
      <w:marBottom w:val="0"/>
      <w:divBdr>
        <w:top w:val="none" w:sz="0" w:space="0" w:color="auto"/>
        <w:left w:val="none" w:sz="0" w:space="0" w:color="auto"/>
        <w:bottom w:val="none" w:sz="0" w:space="0" w:color="auto"/>
        <w:right w:val="none" w:sz="0" w:space="0" w:color="auto"/>
      </w:divBdr>
    </w:div>
    <w:div w:id="221794253">
      <w:bodyDiv w:val="1"/>
      <w:marLeft w:val="0"/>
      <w:marRight w:val="0"/>
      <w:marTop w:val="0"/>
      <w:marBottom w:val="0"/>
      <w:divBdr>
        <w:top w:val="none" w:sz="0" w:space="0" w:color="auto"/>
        <w:left w:val="none" w:sz="0" w:space="0" w:color="auto"/>
        <w:bottom w:val="none" w:sz="0" w:space="0" w:color="auto"/>
        <w:right w:val="none" w:sz="0" w:space="0" w:color="auto"/>
      </w:divBdr>
    </w:div>
    <w:div w:id="221989175">
      <w:bodyDiv w:val="1"/>
      <w:marLeft w:val="0"/>
      <w:marRight w:val="0"/>
      <w:marTop w:val="0"/>
      <w:marBottom w:val="0"/>
      <w:divBdr>
        <w:top w:val="none" w:sz="0" w:space="0" w:color="auto"/>
        <w:left w:val="none" w:sz="0" w:space="0" w:color="auto"/>
        <w:bottom w:val="none" w:sz="0" w:space="0" w:color="auto"/>
        <w:right w:val="none" w:sz="0" w:space="0" w:color="auto"/>
      </w:divBdr>
    </w:div>
    <w:div w:id="228882463">
      <w:bodyDiv w:val="1"/>
      <w:marLeft w:val="0"/>
      <w:marRight w:val="0"/>
      <w:marTop w:val="0"/>
      <w:marBottom w:val="0"/>
      <w:divBdr>
        <w:top w:val="none" w:sz="0" w:space="0" w:color="auto"/>
        <w:left w:val="none" w:sz="0" w:space="0" w:color="auto"/>
        <w:bottom w:val="none" w:sz="0" w:space="0" w:color="auto"/>
        <w:right w:val="none" w:sz="0" w:space="0" w:color="auto"/>
      </w:divBdr>
    </w:div>
    <w:div w:id="233588004">
      <w:bodyDiv w:val="1"/>
      <w:marLeft w:val="0"/>
      <w:marRight w:val="0"/>
      <w:marTop w:val="0"/>
      <w:marBottom w:val="0"/>
      <w:divBdr>
        <w:top w:val="none" w:sz="0" w:space="0" w:color="auto"/>
        <w:left w:val="none" w:sz="0" w:space="0" w:color="auto"/>
        <w:bottom w:val="none" w:sz="0" w:space="0" w:color="auto"/>
        <w:right w:val="none" w:sz="0" w:space="0" w:color="auto"/>
      </w:divBdr>
    </w:div>
    <w:div w:id="246967073">
      <w:bodyDiv w:val="1"/>
      <w:marLeft w:val="0"/>
      <w:marRight w:val="0"/>
      <w:marTop w:val="0"/>
      <w:marBottom w:val="0"/>
      <w:divBdr>
        <w:top w:val="none" w:sz="0" w:space="0" w:color="auto"/>
        <w:left w:val="none" w:sz="0" w:space="0" w:color="auto"/>
        <w:bottom w:val="none" w:sz="0" w:space="0" w:color="auto"/>
        <w:right w:val="none" w:sz="0" w:space="0" w:color="auto"/>
      </w:divBdr>
    </w:div>
    <w:div w:id="251159113">
      <w:bodyDiv w:val="1"/>
      <w:marLeft w:val="0"/>
      <w:marRight w:val="0"/>
      <w:marTop w:val="0"/>
      <w:marBottom w:val="0"/>
      <w:divBdr>
        <w:top w:val="none" w:sz="0" w:space="0" w:color="auto"/>
        <w:left w:val="none" w:sz="0" w:space="0" w:color="auto"/>
        <w:bottom w:val="none" w:sz="0" w:space="0" w:color="auto"/>
        <w:right w:val="none" w:sz="0" w:space="0" w:color="auto"/>
      </w:divBdr>
    </w:div>
    <w:div w:id="265115416">
      <w:bodyDiv w:val="1"/>
      <w:marLeft w:val="0"/>
      <w:marRight w:val="0"/>
      <w:marTop w:val="0"/>
      <w:marBottom w:val="0"/>
      <w:divBdr>
        <w:top w:val="none" w:sz="0" w:space="0" w:color="auto"/>
        <w:left w:val="none" w:sz="0" w:space="0" w:color="auto"/>
        <w:bottom w:val="none" w:sz="0" w:space="0" w:color="auto"/>
        <w:right w:val="none" w:sz="0" w:space="0" w:color="auto"/>
      </w:divBdr>
    </w:div>
    <w:div w:id="277415216">
      <w:bodyDiv w:val="1"/>
      <w:marLeft w:val="0"/>
      <w:marRight w:val="0"/>
      <w:marTop w:val="0"/>
      <w:marBottom w:val="0"/>
      <w:divBdr>
        <w:top w:val="none" w:sz="0" w:space="0" w:color="auto"/>
        <w:left w:val="none" w:sz="0" w:space="0" w:color="auto"/>
        <w:bottom w:val="none" w:sz="0" w:space="0" w:color="auto"/>
        <w:right w:val="none" w:sz="0" w:space="0" w:color="auto"/>
      </w:divBdr>
    </w:div>
    <w:div w:id="277567430">
      <w:bodyDiv w:val="1"/>
      <w:marLeft w:val="0"/>
      <w:marRight w:val="0"/>
      <w:marTop w:val="0"/>
      <w:marBottom w:val="0"/>
      <w:divBdr>
        <w:top w:val="none" w:sz="0" w:space="0" w:color="auto"/>
        <w:left w:val="none" w:sz="0" w:space="0" w:color="auto"/>
        <w:bottom w:val="none" w:sz="0" w:space="0" w:color="auto"/>
        <w:right w:val="none" w:sz="0" w:space="0" w:color="auto"/>
      </w:divBdr>
    </w:div>
    <w:div w:id="278486846">
      <w:bodyDiv w:val="1"/>
      <w:marLeft w:val="0"/>
      <w:marRight w:val="0"/>
      <w:marTop w:val="0"/>
      <w:marBottom w:val="0"/>
      <w:divBdr>
        <w:top w:val="none" w:sz="0" w:space="0" w:color="auto"/>
        <w:left w:val="none" w:sz="0" w:space="0" w:color="auto"/>
        <w:bottom w:val="none" w:sz="0" w:space="0" w:color="auto"/>
        <w:right w:val="none" w:sz="0" w:space="0" w:color="auto"/>
      </w:divBdr>
    </w:div>
    <w:div w:id="278685093">
      <w:bodyDiv w:val="1"/>
      <w:marLeft w:val="0"/>
      <w:marRight w:val="0"/>
      <w:marTop w:val="0"/>
      <w:marBottom w:val="0"/>
      <w:divBdr>
        <w:top w:val="none" w:sz="0" w:space="0" w:color="auto"/>
        <w:left w:val="none" w:sz="0" w:space="0" w:color="auto"/>
        <w:bottom w:val="none" w:sz="0" w:space="0" w:color="auto"/>
        <w:right w:val="none" w:sz="0" w:space="0" w:color="auto"/>
      </w:divBdr>
    </w:div>
    <w:div w:id="281544908">
      <w:bodyDiv w:val="1"/>
      <w:marLeft w:val="0"/>
      <w:marRight w:val="0"/>
      <w:marTop w:val="0"/>
      <w:marBottom w:val="0"/>
      <w:divBdr>
        <w:top w:val="none" w:sz="0" w:space="0" w:color="auto"/>
        <w:left w:val="none" w:sz="0" w:space="0" w:color="auto"/>
        <w:bottom w:val="none" w:sz="0" w:space="0" w:color="auto"/>
        <w:right w:val="none" w:sz="0" w:space="0" w:color="auto"/>
      </w:divBdr>
    </w:div>
    <w:div w:id="290483643">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294335094">
      <w:bodyDiv w:val="1"/>
      <w:marLeft w:val="0"/>
      <w:marRight w:val="0"/>
      <w:marTop w:val="0"/>
      <w:marBottom w:val="0"/>
      <w:divBdr>
        <w:top w:val="none" w:sz="0" w:space="0" w:color="auto"/>
        <w:left w:val="none" w:sz="0" w:space="0" w:color="auto"/>
        <w:bottom w:val="none" w:sz="0" w:space="0" w:color="auto"/>
        <w:right w:val="none" w:sz="0" w:space="0" w:color="auto"/>
      </w:divBdr>
    </w:div>
    <w:div w:id="299384293">
      <w:bodyDiv w:val="1"/>
      <w:marLeft w:val="0"/>
      <w:marRight w:val="0"/>
      <w:marTop w:val="0"/>
      <w:marBottom w:val="0"/>
      <w:divBdr>
        <w:top w:val="none" w:sz="0" w:space="0" w:color="auto"/>
        <w:left w:val="none" w:sz="0" w:space="0" w:color="auto"/>
        <w:bottom w:val="none" w:sz="0" w:space="0" w:color="auto"/>
        <w:right w:val="none" w:sz="0" w:space="0" w:color="auto"/>
      </w:divBdr>
    </w:div>
    <w:div w:id="303581312">
      <w:bodyDiv w:val="1"/>
      <w:marLeft w:val="0"/>
      <w:marRight w:val="0"/>
      <w:marTop w:val="0"/>
      <w:marBottom w:val="0"/>
      <w:divBdr>
        <w:top w:val="none" w:sz="0" w:space="0" w:color="auto"/>
        <w:left w:val="none" w:sz="0" w:space="0" w:color="auto"/>
        <w:bottom w:val="none" w:sz="0" w:space="0" w:color="auto"/>
        <w:right w:val="none" w:sz="0" w:space="0" w:color="auto"/>
      </w:divBdr>
    </w:div>
    <w:div w:id="315496819">
      <w:bodyDiv w:val="1"/>
      <w:marLeft w:val="0"/>
      <w:marRight w:val="0"/>
      <w:marTop w:val="0"/>
      <w:marBottom w:val="0"/>
      <w:divBdr>
        <w:top w:val="none" w:sz="0" w:space="0" w:color="auto"/>
        <w:left w:val="none" w:sz="0" w:space="0" w:color="auto"/>
        <w:bottom w:val="none" w:sz="0" w:space="0" w:color="auto"/>
        <w:right w:val="none" w:sz="0" w:space="0" w:color="auto"/>
      </w:divBdr>
    </w:div>
    <w:div w:id="328489314">
      <w:bodyDiv w:val="1"/>
      <w:marLeft w:val="0"/>
      <w:marRight w:val="0"/>
      <w:marTop w:val="0"/>
      <w:marBottom w:val="0"/>
      <w:divBdr>
        <w:top w:val="none" w:sz="0" w:space="0" w:color="auto"/>
        <w:left w:val="none" w:sz="0" w:space="0" w:color="auto"/>
        <w:bottom w:val="none" w:sz="0" w:space="0" w:color="auto"/>
        <w:right w:val="none" w:sz="0" w:space="0" w:color="auto"/>
      </w:divBdr>
    </w:div>
    <w:div w:id="330447120">
      <w:bodyDiv w:val="1"/>
      <w:marLeft w:val="0"/>
      <w:marRight w:val="0"/>
      <w:marTop w:val="0"/>
      <w:marBottom w:val="0"/>
      <w:divBdr>
        <w:top w:val="none" w:sz="0" w:space="0" w:color="auto"/>
        <w:left w:val="none" w:sz="0" w:space="0" w:color="auto"/>
        <w:bottom w:val="none" w:sz="0" w:space="0" w:color="auto"/>
        <w:right w:val="none" w:sz="0" w:space="0" w:color="auto"/>
      </w:divBdr>
    </w:div>
    <w:div w:id="332339361">
      <w:bodyDiv w:val="1"/>
      <w:marLeft w:val="0"/>
      <w:marRight w:val="0"/>
      <w:marTop w:val="0"/>
      <w:marBottom w:val="0"/>
      <w:divBdr>
        <w:top w:val="none" w:sz="0" w:space="0" w:color="auto"/>
        <w:left w:val="none" w:sz="0" w:space="0" w:color="auto"/>
        <w:bottom w:val="none" w:sz="0" w:space="0" w:color="auto"/>
        <w:right w:val="none" w:sz="0" w:space="0" w:color="auto"/>
      </w:divBdr>
    </w:div>
    <w:div w:id="336812421">
      <w:bodyDiv w:val="1"/>
      <w:marLeft w:val="0"/>
      <w:marRight w:val="0"/>
      <w:marTop w:val="0"/>
      <w:marBottom w:val="0"/>
      <w:divBdr>
        <w:top w:val="none" w:sz="0" w:space="0" w:color="auto"/>
        <w:left w:val="none" w:sz="0" w:space="0" w:color="auto"/>
        <w:bottom w:val="none" w:sz="0" w:space="0" w:color="auto"/>
        <w:right w:val="none" w:sz="0" w:space="0" w:color="auto"/>
      </w:divBdr>
    </w:div>
    <w:div w:id="339889053">
      <w:bodyDiv w:val="1"/>
      <w:marLeft w:val="0"/>
      <w:marRight w:val="0"/>
      <w:marTop w:val="0"/>
      <w:marBottom w:val="0"/>
      <w:divBdr>
        <w:top w:val="none" w:sz="0" w:space="0" w:color="auto"/>
        <w:left w:val="none" w:sz="0" w:space="0" w:color="auto"/>
        <w:bottom w:val="none" w:sz="0" w:space="0" w:color="auto"/>
        <w:right w:val="none" w:sz="0" w:space="0" w:color="auto"/>
      </w:divBdr>
    </w:div>
    <w:div w:id="349457806">
      <w:bodyDiv w:val="1"/>
      <w:marLeft w:val="0"/>
      <w:marRight w:val="0"/>
      <w:marTop w:val="0"/>
      <w:marBottom w:val="0"/>
      <w:divBdr>
        <w:top w:val="none" w:sz="0" w:space="0" w:color="auto"/>
        <w:left w:val="none" w:sz="0" w:space="0" w:color="auto"/>
        <w:bottom w:val="none" w:sz="0" w:space="0" w:color="auto"/>
        <w:right w:val="none" w:sz="0" w:space="0" w:color="auto"/>
      </w:divBdr>
    </w:div>
    <w:div w:id="355159766">
      <w:bodyDiv w:val="1"/>
      <w:marLeft w:val="0"/>
      <w:marRight w:val="0"/>
      <w:marTop w:val="0"/>
      <w:marBottom w:val="0"/>
      <w:divBdr>
        <w:top w:val="none" w:sz="0" w:space="0" w:color="auto"/>
        <w:left w:val="none" w:sz="0" w:space="0" w:color="auto"/>
        <w:bottom w:val="none" w:sz="0" w:space="0" w:color="auto"/>
        <w:right w:val="none" w:sz="0" w:space="0" w:color="auto"/>
      </w:divBdr>
    </w:div>
    <w:div w:id="358896442">
      <w:bodyDiv w:val="1"/>
      <w:marLeft w:val="0"/>
      <w:marRight w:val="0"/>
      <w:marTop w:val="0"/>
      <w:marBottom w:val="0"/>
      <w:divBdr>
        <w:top w:val="none" w:sz="0" w:space="0" w:color="auto"/>
        <w:left w:val="none" w:sz="0" w:space="0" w:color="auto"/>
        <w:bottom w:val="none" w:sz="0" w:space="0" w:color="auto"/>
        <w:right w:val="none" w:sz="0" w:space="0" w:color="auto"/>
      </w:divBdr>
    </w:div>
    <w:div w:id="360204221">
      <w:bodyDiv w:val="1"/>
      <w:marLeft w:val="0"/>
      <w:marRight w:val="0"/>
      <w:marTop w:val="0"/>
      <w:marBottom w:val="0"/>
      <w:divBdr>
        <w:top w:val="none" w:sz="0" w:space="0" w:color="auto"/>
        <w:left w:val="none" w:sz="0" w:space="0" w:color="auto"/>
        <w:bottom w:val="none" w:sz="0" w:space="0" w:color="auto"/>
        <w:right w:val="none" w:sz="0" w:space="0" w:color="auto"/>
      </w:divBdr>
    </w:div>
    <w:div w:id="360787943">
      <w:bodyDiv w:val="1"/>
      <w:marLeft w:val="0"/>
      <w:marRight w:val="0"/>
      <w:marTop w:val="0"/>
      <w:marBottom w:val="0"/>
      <w:divBdr>
        <w:top w:val="none" w:sz="0" w:space="0" w:color="auto"/>
        <w:left w:val="none" w:sz="0" w:space="0" w:color="auto"/>
        <w:bottom w:val="none" w:sz="0" w:space="0" w:color="auto"/>
        <w:right w:val="none" w:sz="0" w:space="0" w:color="auto"/>
      </w:divBdr>
    </w:div>
    <w:div w:id="370494425">
      <w:bodyDiv w:val="1"/>
      <w:marLeft w:val="0"/>
      <w:marRight w:val="0"/>
      <w:marTop w:val="0"/>
      <w:marBottom w:val="0"/>
      <w:divBdr>
        <w:top w:val="none" w:sz="0" w:space="0" w:color="auto"/>
        <w:left w:val="none" w:sz="0" w:space="0" w:color="auto"/>
        <w:bottom w:val="none" w:sz="0" w:space="0" w:color="auto"/>
        <w:right w:val="none" w:sz="0" w:space="0" w:color="auto"/>
      </w:divBdr>
    </w:div>
    <w:div w:id="374963776">
      <w:bodyDiv w:val="1"/>
      <w:marLeft w:val="0"/>
      <w:marRight w:val="0"/>
      <w:marTop w:val="0"/>
      <w:marBottom w:val="0"/>
      <w:divBdr>
        <w:top w:val="none" w:sz="0" w:space="0" w:color="auto"/>
        <w:left w:val="none" w:sz="0" w:space="0" w:color="auto"/>
        <w:bottom w:val="none" w:sz="0" w:space="0" w:color="auto"/>
        <w:right w:val="none" w:sz="0" w:space="0" w:color="auto"/>
      </w:divBdr>
    </w:div>
    <w:div w:id="375860456">
      <w:bodyDiv w:val="1"/>
      <w:marLeft w:val="0"/>
      <w:marRight w:val="0"/>
      <w:marTop w:val="0"/>
      <w:marBottom w:val="0"/>
      <w:divBdr>
        <w:top w:val="none" w:sz="0" w:space="0" w:color="auto"/>
        <w:left w:val="none" w:sz="0" w:space="0" w:color="auto"/>
        <w:bottom w:val="none" w:sz="0" w:space="0" w:color="auto"/>
        <w:right w:val="none" w:sz="0" w:space="0" w:color="auto"/>
      </w:divBdr>
    </w:div>
    <w:div w:id="375935125">
      <w:bodyDiv w:val="1"/>
      <w:marLeft w:val="0"/>
      <w:marRight w:val="0"/>
      <w:marTop w:val="0"/>
      <w:marBottom w:val="0"/>
      <w:divBdr>
        <w:top w:val="none" w:sz="0" w:space="0" w:color="auto"/>
        <w:left w:val="none" w:sz="0" w:space="0" w:color="auto"/>
        <w:bottom w:val="none" w:sz="0" w:space="0" w:color="auto"/>
        <w:right w:val="none" w:sz="0" w:space="0" w:color="auto"/>
      </w:divBdr>
    </w:div>
    <w:div w:id="379862332">
      <w:bodyDiv w:val="1"/>
      <w:marLeft w:val="0"/>
      <w:marRight w:val="0"/>
      <w:marTop w:val="0"/>
      <w:marBottom w:val="0"/>
      <w:divBdr>
        <w:top w:val="none" w:sz="0" w:space="0" w:color="auto"/>
        <w:left w:val="none" w:sz="0" w:space="0" w:color="auto"/>
        <w:bottom w:val="none" w:sz="0" w:space="0" w:color="auto"/>
        <w:right w:val="none" w:sz="0" w:space="0" w:color="auto"/>
      </w:divBdr>
    </w:div>
    <w:div w:id="389840409">
      <w:bodyDiv w:val="1"/>
      <w:marLeft w:val="0"/>
      <w:marRight w:val="0"/>
      <w:marTop w:val="0"/>
      <w:marBottom w:val="0"/>
      <w:divBdr>
        <w:top w:val="none" w:sz="0" w:space="0" w:color="auto"/>
        <w:left w:val="none" w:sz="0" w:space="0" w:color="auto"/>
        <w:bottom w:val="none" w:sz="0" w:space="0" w:color="auto"/>
        <w:right w:val="none" w:sz="0" w:space="0" w:color="auto"/>
      </w:divBdr>
    </w:div>
    <w:div w:id="395662531">
      <w:bodyDiv w:val="1"/>
      <w:marLeft w:val="0"/>
      <w:marRight w:val="0"/>
      <w:marTop w:val="0"/>
      <w:marBottom w:val="0"/>
      <w:divBdr>
        <w:top w:val="none" w:sz="0" w:space="0" w:color="auto"/>
        <w:left w:val="none" w:sz="0" w:space="0" w:color="auto"/>
        <w:bottom w:val="none" w:sz="0" w:space="0" w:color="auto"/>
        <w:right w:val="none" w:sz="0" w:space="0" w:color="auto"/>
      </w:divBdr>
    </w:div>
    <w:div w:id="396124075">
      <w:bodyDiv w:val="1"/>
      <w:marLeft w:val="0"/>
      <w:marRight w:val="0"/>
      <w:marTop w:val="0"/>
      <w:marBottom w:val="0"/>
      <w:divBdr>
        <w:top w:val="none" w:sz="0" w:space="0" w:color="auto"/>
        <w:left w:val="none" w:sz="0" w:space="0" w:color="auto"/>
        <w:bottom w:val="none" w:sz="0" w:space="0" w:color="auto"/>
        <w:right w:val="none" w:sz="0" w:space="0" w:color="auto"/>
      </w:divBdr>
    </w:div>
    <w:div w:id="400568960">
      <w:bodyDiv w:val="1"/>
      <w:marLeft w:val="0"/>
      <w:marRight w:val="0"/>
      <w:marTop w:val="0"/>
      <w:marBottom w:val="0"/>
      <w:divBdr>
        <w:top w:val="none" w:sz="0" w:space="0" w:color="auto"/>
        <w:left w:val="none" w:sz="0" w:space="0" w:color="auto"/>
        <w:bottom w:val="none" w:sz="0" w:space="0" w:color="auto"/>
        <w:right w:val="none" w:sz="0" w:space="0" w:color="auto"/>
      </w:divBdr>
    </w:div>
    <w:div w:id="400952874">
      <w:bodyDiv w:val="1"/>
      <w:marLeft w:val="0"/>
      <w:marRight w:val="0"/>
      <w:marTop w:val="0"/>
      <w:marBottom w:val="0"/>
      <w:divBdr>
        <w:top w:val="none" w:sz="0" w:space="0" w:color="auto"/>
        <w:left w:val="none" w:sz="0" w:space="0" w:color="auto"/>
        <w:bottom w:val="none" w:sz="0" w:space="0" w:color="auto"/>
        <w:right w:val="none" w:sz="0" w:space="0" w:color="auto"/>
      </w:divBdr>
    </w:div>
    <w:div w:id="404574095">
      <w:bodyDiv w:val="1"/>
      <w:marLeft w:val="0"/>
      <w:marRight w:val="0"/>
      <w:marTop w:val="0"/>
      <w:marBottom w:val="0"/>
      <w:divBdr>
        <w:top w:val="none" w:sz="0" w:space="0" w:color="auto"/>
        <w:left w:val="none" w:sz="0" w:space="0" w:color="auto"/>
        <w:bottom w:val="none" w:sz="0" w:space="0" w:color="auto"/>
        <w:right w:val="none" w:sz="0" w:space="0" w:color="auto"/>
      </w:divBdr>
    </w:div>
    <w:div w:id="406080103">
      <w:bodyDiv w:val="1"/>
      <w:marLeft w:val="0"/>
      <w:marRight w:val="0"/>
      <w:marTop w:val="0"/>
      <w:marBottom w:val="0"/>
      <w:divBdr>
        <w:top w:val="none" w:sz="0" w:space="0" w:color="auto"/>
        <w:left w:val="none" w:sz="0" w:space="0" w:color="auto"/>
        <w:bottom w:val="none" w:sz="0" w:space="0" w:color="auto"/>
        <w:right w:val="none" w:sz="0" w:space="0" w:color="auto"/>
      </w:divBdr>
    </w:div>
    <w:div w:id="406651883">
      <w:bodyDiv w:val="1"/>
      <w:marLeft w:val="0"/>
      <w:marRight w:val="0"/>
      <w:marTop w:val="0"/>
      <w:marBottom w:val="0"/>
      <w:divBdr>
        <w:top w:val="none" w:sz="0" w:space="0" w:color="auto"/>
        <w:left w:val="none" w:sz="0" w:space="0" w:color="auto"/>
        <w:bottom w:val="none" w:sz="0" w:space="0" w:color="auto"/>
        <w:right w:val="none" w:sz="0" w:space="0" w:color="auto"/>
      </w:divBdr>
    </w:div>
    <w:div w:id="415322199">
      <w:bodyDiv w:val="1"/>
      <w:marLeft w:val="0"/>
      <w:marRight w:val="0"/>
      <w:marTop w:val="0"/>
      <w:marBottom w:val="0"/>
      <w:divBdr>
        <w:top w:val="none" w:sz="0" w:space="0" w:color="auto"/>
        <w:left w:val="none" w:sz="0" w:space="0" w:color="auto"/>
        <w:bottom w:val="none" w:sz="0" w:space="0" w:color="auto"/>
        <w:right w:val="none" w:sz="0" w:space="0" w:color="auto"/>
      </w:divBdr>
    </w:div>
    <w:div w:id="424955739">
      <w:bodyDiv w:val="1"/>
      <w:marLeft w:val="0"/>
      <w:marRight w:val="0"/>
      <w:marTop w:val="0"/>
      <w:marBottom w:val="0"/>
      <w:divBdr>
        <w:top w:val="none" w:sz="0" w:space="0" w:color="auto"/>
        <w:left w:val="none" w:sz="0" w:space="0" w:color="auto"/>
        <w:bottom w:val="none" w:sz="0" w:space="0" w:color="auto"/>
        <w:right w:val="none" w:sz="0" w:space="0" w:color="auto"/>
      </w:divBdr>
    </w:div>
    <w:div w:id="434635778">
      <w:bodyDiv w:val="1"/>
      <w:marLeft w:val="0"/>
      <w:marRight w:val="0"/>
      <w:marTop w:val="0"/>
      <w:marBottom w:val="0"/>
      <w:divBdr>
        <w:top w:val="none" w:sz="0" w:space="0" w:color="auto"/>
        <w:left w:val="none" w:sz="0" w:space="0" w:color="auto"/>
        <w:bottom w:val="none" w:sz="0" w:space="0" w:color="auto"/>
        <w:right w:val="none" w:sz="0" w:space="0" w:color="auto"/>
      </w:divBdr>
    </w:div>
    <w:div w:id="434636963">
      <w:bodyDiv w:val="1"/>
      <w:marLeft w:val="0"/>
      <w:marRight w:val="0"/>
      <w:marTop w:val="0"/>
      <w:marBottom w:val="0"/>
      <w:divBdr>
        <w:top w:val="none" w:sz="0" w:space="0" w:color="auto"/>
        <w:left w:val="none" w:sz="0" w:space="0" w:color="auto"/>
        <w:bottom w:val="none" w:sz="0" w:space="0" w:color="auto"/>
        <w:right w:val="none" w:sz="0" w:space="0" w:color="auto"/>
      </w:divBdr>
    </w:div>
    <w:div w:id="442581347">
      <w:bodyDiv w:val="1"/>
      <w:marLeft w:val="0"/>
      <w:marRight w:val="0"/>
      <w:marTop w:val="0"/>
      <w:marBottom w:val="0"/>
      <w:divBdr>
        <w:top w:val="none" w:sz="0" w:space="0" w:color="auto"/>
        <w:left w:val="none" w:sz="0" w:space="0" w:color="auto"/>
        <w:bottom w:val="none" w:sz="0" w:space="0" w:color="auto"/>
        <w:right w:val="none" w:sz="0" w:space="0" w:color="auto"/>
      </w:divBdr>
    </w:div>
    <w:div w:id="443383469">
      <w:bodyDiv w:val="1"/>
      <w:marLeft w:val="0"/>
      <w:marRight w:val="0"/>
      <w:marTop w:val="0"/>
      <w:marBottom w:val="0"/>
      <w:divBdr>
        <w:top w:val="none" w:sz="0" w:space="0" w:color="auto"/>
        <w:left w:val="none" w:sz="0" w:space="0" w:color="auto"/>
        <w:bottom w:val="none" w:sz="0" w:space="0" w:color="auto"/>
        <w:right w:val="none" w:sz="0" w:space="0" w:color="auto"/>
      </w:divBdr>
    </w:div>
    <w:div w:id="446240546">
      <w:bodyDiv w:val="1"/>
      <w:marLeft w:val="0"/>
      <w:marRight w:val="0"/>
      <w:marTop w:val="0"/>
      <w:marBottom w:val="0"/>
      <w:divBdr>
        <w:top w:val="none" w:sz="0" w:space="0" w:color="auto"/>
        <w:left w:val="none" w:sz="0" w:space="0" w:color="auto"/>
        <w:bottom w:val="none" w:sz="0" w:space="0" w:color="auto"/>
        <w:right w:val="none" w:sz="0" w:space="0" w:color="auto"/>
      </w:divBdr>
    </w:div>
    <w:div w:id="446391882">
      <w:bodyDiv w:val="1"/>
      <w:marLeft w:val="0"/>
      <w:marRight w:val="0"/>
      <w:marTop w:val="0"/>
      <w:marBottom w:val="0"/>
      <w:divBdr>
        <w:top w:val="none" w:sz="0" w:space="0" w:color="auto"/>
        <w:left w:val="none" w:sz="0" w:space="0" w:color="auto"/>
        <w:bottom w:val="none" w:sz="0" w:space="0" w:color="auto"/>
        <w:right w:val="none" w:sz="0" w:space="0" w:color="auto"/>
      </w:divBdr>
    </w:div>
    <w:div w:id="446704872">
      <w:bodyDiv w:val="1"/>
      <w:marLeft w:val="0"/>
      <w:marRight w:val="0"/>
      <w:marTop w:val="0"/>
      <w:marBottom w:val="0"/>
      <w:divBdr>
        <w:top w:val="none" w:sz="0" w:space="0" w:color="auto"/>
        <w:left w:val="none" w:sz="0" w:space="0" w:color="auto"/>
        <w:bottom w:val="none" w:sz="0" w:space="0" w:color="auto"/>
        <w:right w:val="none" w:sz="0" w:space="0" w:color="auto"/>
      </w:divBdr>
    </w:div>
    <w:div w:id="447628959">
      <w:bodyDiv w:val="1"/>
      <w:marLeft w:val="0"/>
      <w:marRight w:val="0"/>
      <w:marTop w:val="0"/>
      <w:marBottom w:val="0"/>
      <w:divBdr>
        <w:top w:val="none" w:sz="0" w:space="0" w:color="auto"/>
        <w:left w:val="none" w:sz="0" w:space="0" w:color="auto"/>
        <w:bottom w:val="none" w:sz="0" w:space="0" w:color="auto"/>
        <w:right w:val="none" w:sz="0" w:space="0" w:color="auto"/>
      </w:divBdr>
    </w:div>
    <w:div w:id="455880491">
      <w:bodyDiv w:val="1"/>
      <w:marLeft w:val="0"/>
      <w:marRight w:val="0"/>
      <w:marTop w:val="0"/>
      <w:marBottom w:val="0"/>
      <w:divBdr>
        <w:top w:val="none" w:sz="0" w:space="0" w:color="auto"/>
        <w:left w:val="none" w:sz="0" w:space="0" w:color="auto"/>
        <w:bottom w:val="none" w:sz="0" w:space="0" w:color="auto"/>
        <w:right w:val="none" w:sz="0" w:space="0" w:color="auto"/>
      </w:divBdr>
    </w:div>
    <w:div w:id="456336983">
      <w:bodyDiv w:val="1"/>
      <w:marLeft w:val="0"/>
      <w:marRight w:val="0"/>
      <w:marTop w:val="0"/>
      <w:marBottom w:val="0"/>
      <w:divBdr>
        <w:top w:val="none" w:sz="0" w:space="0" w:color="auto"/>
        <w:left w:val="none" w:sz="0" w:space="0" w:color="auto"/>
        <w:bottom w:val="none" w:sz="0" w:space="0" w:color="auto"/>
        <w:right w:val="none" w:sz="0" w:space="0" w:color="auto"/>
      </w:divBdr>
    </w:div>
    <w:div w:id="469784592">
      <w:bodyDiv w:val="1"/>
      <w:marLeft w:val="0"/>
      <w:marRight w:val="0"/>
      <w:marTop w:val="0"/>
      <w:marBottom w:val="0"/>
      <w:divBdr>
        <w:top w:val="none" w:sz="0" w:space="0" w:color="auto"/>
        <w:left w:val="none" w:sz="0" w:space="0" w:color="auto"/>
        <w:bottom w:val="none" w:sz="0" w:space="0" w:color="auto"/>
        <w:right w:val="none" w:sz="0" w:space="0" w:color="auto"/>
      </w:divBdr>
    </w:div>
    <w:div w:id="472916449">
      <w:bodyDiv w:val="1"/>
      <w:marLeft w:val="0"/>
      <w:marRight w:val="0"/>
      <w:marTop w:val="0"/>
      <w:marBottom w:val="0"/>
      <w:divBdr>
        <w:top w:val="none" w:sz="0" w:space="0" w:color="auto"/>
        <w:left w:val="none" w:sz="0" w:space="0" w:color="auto"/>
        <w:bottom w:val="none" w:sz="0" w:space="0" w:color="auto"/>
        <w:right w:val="none" w:sz="0" w:space="0" w:color="auto"/>
      </w:divBdr>
    </w:div>
    <w:div w:id="478688875">
      <w:bodyDiv w:val="1"/>
      <w:marLeft w:val="0"/>
      <w:marRight w:val="0"/>
      <w:marTop w:val="0"/>
      <w:marBottom w:val="0"/>
      <w:divBdr>
        <w:top w:val="none" w:sz="0" w:space="0" w:color="auto"/>
        <w:left w:val="none" w:sz="0" w:space="0" w:color="auto"/>
        <w:bottom w:val="none" w:sz="0" w:space="0" w:color="auto"/>
        <w:right w:val="none" w:sz="0" w:space="0" w:color="auto"/>
      </w:divBdr>
    </w:div>
    <w:div w:id="481039935">
      <w:bodyDiv w:val="1"/>
      <w:marLeft w:val="0"/>
      <w:marRight w:val="0"/>
      <w:marTop w:val="0"/>
      <w:marBottom w:val="0"/>
      <w:divBdr>
        <w:top w:val="none" w:sz="0" w:space="0" w:color="auto"/>
        <w:left w:val="none" w:sz="0" w:space="0" w:color="auto"/>
        <w:bottom w:val="none" w:sz="0" w:space="0" w:color="auto"/>
        <w:right w:val="none" w:sz="0" w:space="0" w:color="auto"/>
      </w:divBdr>
    </w:div>
    <w:div w:id="489951827">
      <w:bodyDiv w:val="1"/>
      <w:marLeft w:val="0"/>
      <w:marRight w:val="0"/>
      <w:marTop w:val="0"/>
      <w:marBottom w:val="0"/>
      <w:divBdr>
        <w:top w:val="none" w:sz="0" w:space="0" w:color="auto"/>
        <w:left w:val="none" w:sz="0" w:space="0" w:color="auto"/>
        <w:bottom w:val="none" w:sz="0" w:space="0" w:color="auto"/>
        <w:right w:val="none" w:sz="0" w:space="0" w:color="auto"/>
      </w:divBdr>
    </w:div>
    <w:div w:id="495803340">
      <w:bodyDiv w:val="1"/>
      <w:marLeft w:val="0"/>
      <w:marRight w:val="0"/>
      <w:marTop w:val="0"/>
      <w:marBottom w:val="0"/>
      <w:divBdr>
        <w:top w:val="none" w:sz="0" w:space="0" w:color="auto"/>
        <w:left w:val="none" w:sz="0" w:space="0" w:color="auto"/>
        <w:bottom w:val="none" w:sz="0" w:space="0" w:color="auto"/>
        <w:right w:val="none" w:sz="0" w:space="0" w:color="auto"/>
      </w:divBdr>
    </w:div>
    <w:div w:id="496458532">
      <w:bodyDiv w:val="1"/>
      <w:marLeft w:val="0"/>
      <w:marRight w:val="0"/>
      <w:marTop w:val="0"/>
      <w:marBottom w:val="0"/>
      <w:divBdr>
        <w:top w:val="none" w:sz="0" w:space="0" w:color="auto"/>
        <w:left w:val="none" w:sz="0" w:space="0" w:color="auto"/>
        <w:bottom w:val="none" w:sz="0" w:space="0" w:color="auto"/>
        <w:right w:val="none" w:sz="0" w:space="0" w:color="auto"/>
      </w:divBdr>
    </w:div>
    <w:div w:id="497575684">
      <w:bodyDiv w:val="1"/>
      <w:marLeft w:val="0"/>
      <w:marRight w:val="0"/>
      <w:marTop w:val="0"/>
      <w:marBottom w:val="0"/>
      <w:divBdr>
        <w:top w:val="none" w:sz="0" w:space="0" w:color="auto"/>
        <w:left w:val="none" w:sz="0" w:space="0" w:color="auto"/>
        <w:bottom w:val="none" w:sz="0" w:space="0" w:color="auto"/>
        <w:right w:val="none" w:sz="0" w:space="0" w:color="auto"/>
      </w:divBdr>
    </w:div>
    <w:div w:id="517812591">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549541440">
      <w:bodyDiv w:val="1"/>
      <w:marLeft w:val="0"/>
      <w:marRight w:val="0"/>
      <w:marTop w:val="0"/>
      <w:marBottom w:val="0"/>
      <w:divBdr>
        <w:top w:val="none" w:sz="0" w:space="0" w:color="auto"/>
        <w:left w:val="none" w:sz="0" w:space="0" w:color="auto"/>
        <w:bottom w:val="none" w:sz="0" w:space="0" w:color="auto"/>
        <w:right w:val="none" w:sz="0" w:space="0" w:color="auto"/>
      </w:divBdr>
    </w:div>
    <w:div w:id="555164385">
      <w:bodyDiv w:val="1"/>
      <w:marLeft w:val="0"/>
      <w:marRight w:val="0"/>
      <w:marTop w:val="0"/>
      <w:marBottom w:val="0"/>
      <w:divBdr>
        <w:top w:val="none" w:sz="0" w:space="0" w:color="auto"/>
        <w:left w:val="none" w:sz="0" w:space="0" w:color="auto"/>
        <w:bottom w:val="none" w:sz="0" w:space="0" w:color="auto"/>
        <w:right w:val="none" w:sz="0" w:space="0" w:color="auto"/>
      </w:divBdr>
    </w:div>
    <w:div w:id="566644908">
      <w:bodyDiv w:val="1"/>
      <w:marLeft w:val="0"/>
      <w:marRight w:val="0"/>
      <w:marTop w:val="0"/>
      <w:marBottom w:val="0"/>
      <w:divBdr>
        <w:top w:val="none" w:sz="0" w:space="0" w:color="auto"/>
        <w:left w:val="none" w:sz="0" w:space="0" w:color="auto"/>
        <w:bottom w:val="none" w:sz="0" w:space="0" w:color="auto"/>
        <w:right w:val="none" w:sz="0" w:space="0" w:color="auto"/>
      </w:divBdr>
    </w:div>
    <w:div w:id="568151495">
      <w:bodyDiv w:val="1"/>
      <w:marLeft w:val="0"/>
      <w:marRight w:val="0"/>
      <w:marTop w:val="0"/>
      <w:marBottom w:val="0"/>
      <w:divBdr>
        <w:top w:val="none" w:sz="0" w:space="0" w:color="auto"/>
        <w:left w:val="none" w:sz="0" w:space="0" w:color="auto"/>
        <w:bottom w:val="none" w:sz="0" w:space="0" w:color="auto"/>
        <w:right w:val="none" w:sz="0" w:space="0" w:color="auto"/>
      </w:divBdr>
    </w:div>
    <w:div w:id="588850454">
      <w:bodyDiv w:val="1"/>
      <w:marLeft w:val="0"/>
      <w:marRight w:val="0"/>
      <w:marTop w:val="0"/>
      <w:marBottom w:val="0"/>
      <w:divBdr>
        <w:top w:val="none" w:sz="0" w:space="0" w:color="auto"/>
        <w:left w:val="none" w:sz="0" w:space="0" w:color="auto"/>
        <w:bottom w:val="none" w:sz="0" w:space="0" w:color="auto"/>
        <w:right w:val="none" w:sz="0" w:space="0" w:color="auto"/>
      </w:divBdr>
    </w:div>
    <w:div w:id="590893340">
      <w:bodyDiv w:val="1"/>
      <w:marLeft w:val="0"/>
      <w:marRight w:val="0"/>
      <w:marTop w:val="0"/>
      <w:marBottom w:val="0"/>
      <w:divBdr>
        <w:top w:val="none" w:sz="0" w:space="0" w:color="auto"/>
        <w:left w:val="none" w:sz="0" w:space="0" w:color="auto"/>
        <w:bottom w:val="none" w:sz="0" w:space="0" w:color="auto"/>
        <w:right w:val="none" w:sz="0" w:space="0" w:color="auto"/>
      </w:divBdr>
    </w:div>
    <w:div w:id="594435822">
      <w:bodyDiv w:val="1"/>
      <w:marLeft w:val="0"/>
      <w:marRight w:val="0"/>
      <w:marTop w:val="0"/>
      <w:marBottom w:val="0"/>
      <w:divBdr>
        <w:top w:val="none" w:sz="0" w:space="0" w:color="auto"/>
        <w:left w:val="none" w:sz="0" w:space="0" w:color="auto"/>
        <w:bottom w:val="none" w:sz="0" w:space="0" w:color="auto"/>
        <w:right w:val="none" w:sz="0" w:space="0" w:color="auto"/>
      </w:divBdr>
    </w:div>
    <w:div w:id="598832001">
      <w:bodyDiv w:val="1"/>
      <w:marLeft w:val="0"/>
      <w:marRight w:val="0"/>
      <w:marTop w:val="0"/>
      <w:marBottom w:val="0"/>
      <w:divBdr>
        <w:top w:val="none" w:sz="0" w:space="0" w:color="auto"/>
        <w:left w:val="none" w:sz="0" w:space="0" w:color="auto"/>
        <w:bottom w:val="none" w:sz="0" w:space="0" w:color="auto"/>
        <w:right w:val="none" w:sz="0" w:space="0" w:color="auto"/>
      </w:divBdr>
    </w:div>
    <w:div w:id="600380284">
      <w:bodyDiv w:val="1"/>
      <w:marLeft w:val="0"/>
      <w:marRight w:val="0"/>
      <w:marTop w:val="0"/>
      <w:marBottom w:val="0"/>
      <w:divBdr>
        <w:top w:val="none" w:sz="0" w:space="0" w:color="auto"/>
        <w:left w:val="none" w:sz="0" w:space="0" w:color="auto"/>
        <w:bottom w:val="none" w:sz="0" w:space="0" w:color="auto"/>
        <w:right w:val="none" w:sz="0" w:space="0" w:color="auto"/>
      </w:divBdr>
    </w:div>
    <w:div w:id="601763906">
      <w:bodyDiv w:val="1"/>
      <w:marLeft w:val="0"/>
      <w:marRight w:val="0"/>
      <w:marTop w:val="0"/>
      <w:marBottom w:val="0"/>
      <w:divBdr>
        <w:top w:val="none" w:sz="0" w:space="0" w:color="auto"/>
        <w:left w:val="none" w:sz="0" w:space="0" w:color="auto"/>
        <w:bottom w:val="none" w:sz="0" w:space="0" w:color="auto"/>
        <w:right w:val="none" w:sz="0" w:space="0" w:color="auto"/>
      </w:divBdr>
    </w:div>
    <w:div w:id="605888305">
      <w:bodyDiv w:val="1"/>
      <w:marLeft w:val="0"/>
      <w:marRight w:val="0"/>
      <w:marTop w:val="0"/>
      <w:marBottom w:val="0"/>
      <w:divBdr>
        <w:top w:val="none" w:sz="0" w:space="0" w:color="auto"/>
        <w:left w:val="none" w:sz="0" w:space="0" w:color="auto"/>
        <w:bottom w:val="none" w:sz="0" w:space="0" w:color="auto"/>
        <w:right w:val="none" w:sz="0" w:space="0" w:color="auto"/>
      </w:divBdr>
    </w:div>
    <w:div w:id="607464683">
      <w:bodyDiv w:val="1"/>
      <w:marLeft w:val="0"/>
      <w:marRight w:val="0"/>
      <w:marTop w:val="0"/>
      <w:marBottom w:val="0"/>
      <w:divBdr>
        <w:top w:val="none" w:sz="0" w:space="0" w:color="auto"/>
        <w:left w:val="none" w:sz="0" w:space="0" w:color="auto"/>
        <w:bottom w:val="none" w:sz="0" w:space="0" w:color="auto"/>
        <w:right w:val="none" w:sz="0" w:space="0" w:color="auto"/>
      </w:divBdr>
    </w:div>
    <w:div w:id="623578787">
      <w:bodyDiv w:val="1"/>
      <w:marLeft w:val="0"/>
      <w:marRight w:val="0"/>
      <w:marTop w:val="0"/>
      <w:marBottom w:val="0"/>
      <w:divBdr>
        <w:top w:val="none" w:sz="0" w:space="0" w:color="auto"/>
        <w:left w:val="none" w:sz="0" w:space="0" w:color="auto"/>
        <w:bottom w:val="none" w:sz="0" w:space="0" w:color="auto"/>
        <w:right w:val="none" w:sz="0" w:space="0" w:color="auto"/>
      </w:divBdr>
    </w:div>
    <w:div w:id="624427116">
      <w:bodyDiv w:val="1"/>
      <w:marLeft w:val="0"/>
      <w:marRight w:val="0"/>
      <w:marTop w:val="0"/>
      <w:marBottom w:val="0"/>
      <w:divBdr>
        <w:top w:val="none" w:sz="0" w:space="0" w:color="auto"/>
        <w:left w:val="none" w:sz="0" w:space="0" w:color="auto"/>
        <w:bottom w:val="none" w:sz="0" w:space="0" w:color="auto"/>
        <w:right w:val="none" w:sz="0" w:space="0" w:color="auto"/>
      </w:divBdr>
    </w:div>
    <w:div w:id="635916289">
      <w:bodyDiv w:val="1"/>
      <w:marLeft w:val="0"/>
      <w:marRight w:val="0"/>
      <w:marTop w:val="0"/>
      <w:marBottom w:val="0"/>
      <w:divBdr>
        <w:top w:val="none" w:sz="0" w:space="0" w:color="auto"/>
        <w:left w:val="none" w:sz="0" w:space="0" w:color="auto"/>
        <w:bottom w:val="none" w:sz="0" w:space="0" w:color="auto"/>
        <w:right w:val="none" w:sz="0" w:space="0" w:color="auto"/>
      </w:divBdr>
    </w:div>
    <w:div w:id="641156368">
      <w:bodyDiv w:val="1"/>
      <w:marLeft w:val="0"/>
      <w:marRight w:val="0"/>
      <w:marTop w:val="0"/>
      <w:marBottom w:val="0"/>
      <w:divBdr>
        <w:top w:val="none" w:sz="0" w:space="0" w:color="auto"/>
        <w:left w:val="none" w:sz="0" w:space="0" w:color="auto"/>
        <w:bottom w:val="none" w:sz="0" w:space="0" w:color="auto"/>
        <w:right w:val="none" w:sz="0" w:space="0" w:color="auto"/>
      </w:divBdr>
    </w:div>
    <w:div w:id="650255754">
      <w:bodyDiv w:val="1"/>
      <w:marLeft w:val="0"/>
      <w:marRight w:val="0"/>
      <w:marTop w:val="0"/>
      <w:marBottom w:val="0"/>
      <w:divBdr>
        <w:top w:val="none" w:sz="0" w:space="0" w:color="auto"/>
        <w:left w:val="none" w:sz="0" w:space="0" w:color="auto"/>
        <w:bottom w:val="none" w:sz="0" w:space="0" w:color="auto"/>
        <w:right w:val="none" w:sz="0" w:space="0" w:color="auto"/>
      </w:divBdr>
    </w:div>
    <w:div w:id="652758375">
      <w:bodyDiv w:val="1"/>
      <w:marLeft w:val="0"/>
      <w:marRight w:val="0"/>
      <w:marTop w:val="0"/>
      <w:marBottom w:val="0"/>
      <w:divBdr>
        <w:top w:val="none" w:sz="0" w:space="0" w:color="auto"/>
        <w:left w:val="none" w:sz="0" w:space="0" w:color="auto"/>
        <w:bottom w:val="none" w:sz="0" w:space="0" w:color="auto"/>
        <w:right w:val="none" w:sz="0" w:space="0" w:color="auto"/>
      </w:divBdr>
    </w:div>
    <w:div w:id="654528335">
      <w:bodyDiv w:val="1"/>
      <w:marLeft w:val="0"/>
      <w:marRight w:val="0"/>
      <w:marTop w:val="0"/>
      <w:marBottom w:val="0"/>
      <w:divBdr>
        <w:top w:val="none" w:sz="0" w:space="0" w:color="auto"/>
        <w:left w:val="none" w:sz="0" w:space="0" w:color="auto"/>
        <w:bottom w:val="none" w:sz="0" w:space="0" w:color="auto"/>
        <w:right w:val="none" w:sz="0" w:space="0" w:color="auto"/>
      </w:divBdr>
    </w:div>
    <w:div w:id="657349558">
      <w:bodyDiv w:val="1"/>
      <w:marLeft w:val="0"/>
      <w:marRight w:val="0"/>
      <w:marTop w:val="0"/>
      <w:marBottom w:val="0"/>
      <w:divBdr>
        <w:top w:val="none" w:sz="0" w:space="0" w:color="auto"/>
        <w:left w:val="none" w:sz="0" w:space="0" w:color="auto"/>
        <w:bottom w:val="none" w:sz="0" w:space="0" w:color="auto"/>
        <w:right w:val="none" w:sz="0" w:space="0" w:color="auto"/>
      </w:divBdr>
    </w:div>
    <w:div w:id="661734771">
      <w:bodyDiv w:val="1"/>
      <w:marLeft w:val="0"/>
      <w:marRight w:val="0"/>
      <w:marTop w:val="0"/>
      <w:marBottom w:val="0"/>
      <w:divBdr>
        <w:top w:val="none" w:sz="0" w:space="0" w:color="auto"/>
        <w:left w:val="none" w:sz="0" w:space="0" w:color="auto"/>
        <w:bottom w:val="none" w:sz="0" w:space="0" w:color="auto"/>
        <w:right w:val="none" w:sz="0" w:space="0" w:color="auto"/>
      </w:divBdr>
    </w:div>
    <w:div w:id="665788541">
      <w:bodyDiv w:val="1"/>
      <w:marLeft w:val="0"/>
      <w:marRight w:val="0"/>
      <w:marTop w:val="0"/>
      <w:marBottom w:val="0"/>
      <w:divBdr>
        <w:top w:val="none" w:sz="0" w:space="0" w:color="auto"/>
        <w:left w:val="none" w:sz="0" w:space="0" w:color="auto"/>
        <w:bottom w:val="none" w:sz="0" w:space="0" w:color="auto"/>
        <w:right w:val="none" w:sz="0" w:space="0" w:color="auto"/>
      </w:divBdr>
    </w:div>
    <w:div w:id="676269831">
      <w:bodyDiv w:val="1"/>
      <w:marLeft w:val="0"/>
      <w:marRight w:val="0"/>
      <w:marTop w:val="0"/>
      <w:marBottom w:val="0"/>
      <w:divBdr>
        <w:top w:val="none" w:sz="0" w:space="0" w:color="auto"/>
        <w:left w:val="none" w:sz="0" w:space="0" w:color="auto"/>
        <w:bottom w:val="none" w:sz="0" w:space="0" w:color="auto"/>
        <w:right w:val="none" w:sz="0" w:space="0" w:color="auto"/>
      </w:divBdr>
    </w:div>
    <w:div w:id="681856015">
      <w:bodyDiv w:val="1"/>
      <w:marLeft w:val="0"/>
      <w:marRight w:val="0"/>
      <w:marTop w:val="0"/>
      <w:marBottom w:val="0"/>
      <w:divBdr>
        <w:top w:val="none" w:sz="0" w:space="0" w:color="auto"/>
        <w:left w:val="none" w:sz="0" w:space="0" w:color="auto"/>
        <w:bottom w:val="none" w:sz="0" w:space="0" w:color="auto"/>
        <w:right w:val="none" w:sz="0" w:space="0" w:color="auto"/>
      </w:divBdr>
    </w:div>
    <w:div w:id="686373110">
      <w:bodyDiv w:val="1"/>
      <w:marLeft w:val="0"/>
      <w:marRight w:val="0"/>
      <w:marTop w:val="0"/>
      <w:marBottom w:val="0"/>
      <w:divBdr>
        <w:top w:val="none" w:sz="0" w:space="0" w:color="auto"/>
        <w:left w:val="none" w:sz="0" w:space="0" w:color="auto"/>
        <w:bottom w:val="none" w:sz="0" w:space="0" w:color="auto"/>
        <w:right w:val="none" w:sz="0" w:space="0" w:color="auto"/>
      </w:divBdr>
    </w:div>
    <w:div w:id="692927445">
      <w:bodyDiv w:val="1"/>
      <w:marLeft w:val="0"/>
      <w:marRight w:val="0"/>
      <w:marTop w:val="0"/>
      <w:marBottom w:val="0"/>
      <w:divBdr>
        <w:top w:val="none" w:sz="0" w:space="0" w:color="auto"/>
        <w:left w:val="none" w:sz="0" w:space="0" w:color="auto"/>
        <w:bottom w:val="none" w:sz="0" w:space="0" w:color="auto"/>
        <w:right w:val="none" w:sz="0" w:space="0" w:color="auto"/>
      </w:divBdr>
    </w:div>
    <w:div w:id="695231385">
      <w:bodyDiv w:val="1"/>
      <w:marLeft w:val="0"/>
      <w:marRight w:val="0"/>
      <w:marTop w:val="0"/>
      <w:marBottom w:val="0"/>
      <w:divBdr>
        <w:top w:val="none" w:sz="0" w:space="0" w:color="auto"/>
        <w:left w:val="none" w:sz="0" w:space="0" w:color="auto"/>
        <w:bottom w:val="none" w:sz="0" w:space="0" w:color="auto"/>
        <w:right w:val="none" w:sz="0" w:space="0" w:color="auto"/>
      </w:divBdr>
    </w:div>
    <w:div w:id="696195101">
      <w:bodyDiv w:val="1"/>
      <w:marLeft w:val="0"/>
      <w:marRight w:val="0"/>
      <w:marTop w:val="0"/>
      <w:marBottom w:val="0"/>
      <w:divBdr>
        <w:top w:val="none" w:sz="0" w:space="0" w:color="auto"/>
        <w:left w:val="none" w:sz="0" w:space="0" w:color="auto"/>
        <w:bottom w:val="none" w:sz="0" w:space="0" w:color="auto"/>
        <w:right w:val="none" w:sz="0" w:space="0" w:color="auto"/>
      </w:divBdr>
    </w:div>
    <w:div w:id="706371812">
      <w:bodyDiv w:val="1"/>
      <w:marLeft w:val="0"/>
      <w:marRight w:val="0"/>
      <w:marTop w:val="0"/>
      <w:marBottom w:val="0"/>
      <w:divBdr>
        <w:top w:val="none" w:sz="0" w:space="0" w:color="auto"/>
        <w:left w:val="none" w:sz="0" w:space="0" w:color="auto"/>
        <w:bottom w:val="none" w:sz="0" w:space="0" w:color="auto"/>
        <w:right w:val="none" w:sz="0" w:space="0" w:color="auto"/>
      </w:divBdr>
    </w:div>
    <w:div w:id="716785194">
      <w:bodyDiv w:val="1"/>
      <w:marLeft w:val="0"/>
      <w:marRight w:val="0"/>
      <w:marTop w:val="0"/>
      <w:marBottom w:val="0"/>
      <w:divBdr>
        <w:top w:val="none" w:sz="0" w:space="0" w:color="auto"/>
        <w:left w:val="none" w:sz="0" w:space="0" w:color="auto"/>
        <w:bottom w:val="none" w:sz="0" w:space="0" w:color="auto"/>
        <w:right w:val="none" w:sz="0" w:space="0" w:color="auto"/>
      </w:divBdr>
    </w:div>
    <w:div w:id="738016935">
      <w:bodyDiv w:val="1"/>
      <w:marLeft w:val="0"/>
      <w:marRight w:val="0"/>
      <w:marTop w:val="0"/>
      <w:marBottom w:val="0"/>
      <w:divBdr>
        <w:top w:val="none" w:sz="0" w:space="0" w:color="auto"/>
        <w:left w:val="none" w:sz="0" w:space="0" w:color="auto"/>
        <w:bottom w:val="none" w:sz="0" w:space="0" w:color="auto"/>
        <w:right w:val="none" w:sz="0" w:space="0" w:color="auto"/>
      </w:divBdr>
    </w:div>
    <w:div w:id="739595666">
      <w:bodyDiv w:val="1"/>
      <w:marLeft w:val="0"/>
      <w:marRight w:val="0"/>
      <w:marTop w:val="0"/>
      <w:marBottom w:val="0"/>
      <w:divBdr>
        <w:top w:val="none" w:sz="0" w:space="0" w:color="auto"/>
        <w:left w:val="none" w:sz="0" w:space="0" w:color="auto"/>
        <w:bottom w:val="none" w:sz="0" w:space="0" w:color="auto"/>
        <w:right w:val="none" w:sz="0" w:space="0" w:color="auto"/>
      </w:divBdr>
    </w:div>
    <w:div w:id="740718141">
      <w:bodyDiv w:val="1"/>
      <w:marLeft w:val="0"/>
      <w:marRight w:val="0"/>
      <w:marTop w:val="0"/>
      <w:marBottom w:val="0"/>
      <w:divBdr>
        <w:top w:val="none" w:sz="0" w:space="0" w:color="auto"/>
        <w:left w:val="none" w:sz="0" w:space="0" w:color="auto"/>
        <w:bottom w:val="none" w:sz="0" w:space="0" w:color="auto"/>
        <w:right w:val="none" w:sz="0" w:space="0" w:color="auto"/>
      </w:divBdr>
    </w:div>
    <w:div w:id="745569895">
      <w:bodyDiv w:val="1"/>
      <w:marLeft w:val="0"/>
      <w:marRight w:val="0"/>
      <w:marTop w:val="0"/>
      <w:marBottom w:val="0"/>
      <w:divBdr>
        <w:top w:val="none" w:sz="0" w:space="0" w:color="auto"/>
        <w:left w:val="none" w:sz="0" w:space="0" w:color="auto"/>
        <w:bottom w:val="none" w:sz="0" w:space="0" w:color="auto"/>
        <w:right w:val="none" w:sz="0" w:space="0" w:color="auto"/>
      </w:divBdr>
    </w:div>
    <w:div w:id="747776859">
      <w:bodyDiv w:val="1"/>
      <w:marLeft w:val="0"/>
      <w:marRight w:val="0"/>
      <w:marTop w:val="0"/>
      <w:marBottom w:val="0"/>
      <w:divBdr>
        <w:top w:val="none" w:sz="0" w:space="0" w:color="auto"/>
        <w:left w:val="none" w:sz="0" w:space="0" w:color="auto"/>
        <w:bottom w:val="none" w:sz="0" w:space="0" w:color="auto"/>
        <w:right w:val="none" w:sz="0" w:space="0" w:color="auto"/>
      </w:divBdr>
    </w:div>
    <w:div w:id="780219547">
      <w:bodyDiv w:val="1"/>
      <w:marLeft w:val="0"/>
      <w:marRight w:val="0"/>
      <w:marTop w:val="0"/>
      <w:marBottom w:val="0"/>
      <w:divBdr>
        <w:top w:val="none" w:sz="0" w:space="0" w:color="auto"/>
        <w:left w:val="none" w:sz="0" w:space="0" w:color="auto"/>
        <w:bottom w:val="none" w:sz="0" w:space="0" w:color="auto"/>
        <w:right w:val="none" w:sz="0" w:space="0" w:color="auto"/>
      </w:divBdr>
    </w:div>
    <w:div w:id="785780048">
      <w:bodyDiv w:val="1"/>
      <w:marLeft w:val="0"/>
      <w:marRight w:val="0"/>
      <w:marTop w:val="0"/>
      <w:marBottom w:val="0"/>
      <w:divBdr>
        <w:top w:val="none" w:sz="0" w:space="0" w:color="auto"/>
        <w:left w:val="none" w:sz="0" w:space="0" w:color="auto"/>
        <w:bottom w:val="none" w:sz="0" w:space="0" w:color="auto"/>
        <w:right w:val="none" w:sz="0" w:space="0" w:color="auto"/>
      </w:divBdr>
    </w:div>
    <w:div w:id="804197755">
      <w:bodyDiv w:val="1"/>
      <w:marLeft w:val="0"/>
      <w:marRight w:val="0"/>
      <w:marTop w:val="0"/>
      <w:marBottom w:val="0"/>
      <w:divBdr>
        <w:top w:val="none" w:sz="0" w:space="0" w:color="auto"/>
        <w:left w:val="none" w:sz="0" w:space="0" w:color="auto"/>
        <w:bottom w:val="none" w:sz="0" w:space="0" w:color="auto"/>
        <w:right w:val="none" w:sz="0" w:space="0" w:color="auto"/>
      </w:divBdr>
    </w:div>
    <w:div w:id="809634379">
      <w:bodyDiv w:val="1"/>
      <w:marLeft w:val="0"/>
      <w:marRight w:val="0"/>
      <w:marTop w:val="0"/>
      <w:marBottom w:val="0"/>
      <w:divBdr>
        <w:top w:val="none" w:sz="0" w:space="0" w:color="auto"/>
        <w:left w:val="none" w:sz="0" w:space="0" w:color="auto"/>
        <w:bottom w:val="none" w:sz="0" w:space="0" w:color="auto"/>
        <w:right w:val="none" w:sz="0" w:space="0" w:color="auto"/>
      </w:divBdr>
    </w:div>
    <w:div w:id="809976680">
      <w:bodyDiv w:val="1"/>
      <w:marLeft w:val="0"/>
      <w:marRight w:val="0"/>
      <w:marTop w:val="0"/>
      <w:marBottom w:val="0"/>
      <w:divBdr>
        <w:top w:val="none" w:sz="0" w:space="0" w:color="auto"/>
        <w:left w:val="none" w:sz="0" w:space="0" w:color="auto"/>
        <w:bottom w:val="none" w:sz="0" w:space="0" w:color="auto"/>
        <w:right w:val="none" w:sz="0" w:space="0" w:color="auto"/>
      </w:divBdr>
    </w:div>
    <w:div w:id="841435677">
      <w:bodyDiv w:val="1"/>
      <w:marLeft w:val="0"/>
      <w:marRight w:val="0"/>
      <w:marTop w:val="0"/>
      <w:marBottom w:val="0"/>
      <w:divBdr>
        <w:top w:val="none" w:sz="0" w:space="0" w:color="auto"/>
        <w:left w:val="none" w:sz="0" w:space="0" w:color="auto"/>
        <w:bottom w:val="none" w:sz="0" w:space="0" w:color="auto"/>
        <w:right w:val="none" w:sz="0" w:space="0" w:color="auto"/>
      </w:divBdr>
    </w:div>
    <w:div w:id="843324284">
      <w:bodyDiv w:val="1"/>
      <w:marLeft w:val="0"/>
      <w:marRight w:val="0"/>
      <w:marTop w:val="0"/>
      <w:marBottom w:val="0"/>
      <w:divBdr>
        <w:top w:val="none" w:sz="0" w:space="0" w:color="auto"/>
        <w:left w:val="none" w:sz="0" w:space="0" w:color="auto"/>
        <w:bottom w:val="none" w:sz="0" w:space="0" w:color="auto"/>
        <w:right w:val="none" w:sz="0" w:space="0" w:color="auto"/>
      </w:divBdr>
    </w:div>
    <w:div w:id="848131945">
      <w:bodyDiv w:val="1"/>
      <w:marLeft w:val="0"/>
      <w:marRight w:val="0"/>
      <w:marTop w:val="0"/>
      <w:marBottom w:val="0"/>
      <w:divBdr>
        <w:top w:val="none" w:sz="0" w:space="0" w:color="auto"/>
        <w:left w:val="none" w:sz="0" w:space="0" w:color="auto"/>
        <w:bottom w:val="none" w:sz="0" w:space="0" w:color="auto"/>
        <w:right w:val="none" w:sz="0" w:space="0" w:color="auto"/>
      </w:divBdr>
    </w:div>
    <w:div w:id="848326096">
      <w:bodyDiv w:val="1"/>
      <w:marLeft w:val="0"/>
      <w:marRight w:val="0"/>
      <w:marTop w:val="0"/>
      <w:marBottom w:val="0"/>
      <w:divBdr>
        <w:top w:val="none" w:sz="0" w:space="0" w:color="auto"/>
        <w:left w:val="none" w:sz="0" w:space="0" w:color="auto"/>
        <w:bottom w:val="none" w:sz="0" w:space="0" w:color="auto"/>
        <w:right w:val="none" w:sz="0" w:space="0" w:color="auto"/>
      </w:divBdr>
    </w:div>
    <w:div w:id="858201092">
      <w:bodyDiv w:val="1"/>
      <w:marLeft w:val="0"/>
      <w:marRight w:val="0"/>
      <w:marTop w:val="0"/>
      <w:marBottom w:val="0"/>
      <w:divBdr>
        <w:top w:val="none" w:sz="0" w:space="0" w:color="auto"/>
        <w:left w:val="none" w:sz="0" w:space="0" w:color="auto"/>
        <w:bottom w:val="none" w:sz="0" w:space="0" w:color="auto"/>
        <w:right w:val="none" w:sz="0" w:space="0" w:color="auto"/>
      </w:divBdr>
    </w:div>
    <w:div w:id="874120004">
      <w:bodyDiv w:val="1"/>
      <w:marLeft w:val="0"/>
      <w:marRight w:val="0"/>
      <w:marTop w:val="0"/>
      <w:marBottom w:val="0"/>
      <w:divBdr>
        <w:top w:val="none" w:sz="0" w:space="0" w:color="auto"/>
        <w:left w:val="none" w:sz="0" w:space="0" w:color="auto"/>
        <w:bottom w:val="none" w:sz="0" w:space="0" w:color="auto"/>
        <w:right w:val="none" w:sz="0" w:space="0" w:color="auto"/>
      </w:divBdr>
    </w:div>
    <w:div w:id="883832894">
      <w:bodyDiv w:val="1"/>
      <w:marLeft w:val="0"/>
      <w:marRight w:val="0"/>
      <w:marTop w:val="0"/>
      <w:marBottom w:val="0"/>
      <w:divBdr>
        <w:top w:val="none" w:sz="0" w:space="0" w:color="auto"/>
        <w:left w:val="none" w:sz="0" w:space="0" w:color="auto"/>
        <w:bottom w:val="none" w:sz="0" w:space="0" w:color="auto"/>
        <w:right w:val="none" w:sz="0" w:space="0" w:color="auto"/>
      </w:divBdr>
    </w:div>
    <w:div w:id="892084943">
      <w:bodyDiv w:val="1"/>
      <w:marLeft w:val="0"/>
      <w:marRight w:val="0"/>
      <w:marTop w:val="0"/>
      <w:marBottom w:val="0"/>
      <w:divBdr>
        <w:top w:val="none" w:sz="0" w:space="0" w:color="auto"/>
        <w:left w:val="none" w:sz="0" w:space="0" w:color="auto"/>
        <w:bottom w:val="none" w:sz="0" w:space="0" w:color="auto"/>
        <w:right w:val="none" w:sz="0" w:space="0" w:color="auto"/>
      </w:divBdr>
    </w:div>
    <w:div w:id="894008277">
      <w:bodyDiv w:val="1"/>
      <w:marLeft w:val="0"/>
      <w:marRight w:val="0"/>
      <w:marTop w:val="0"/>
      <w:marBottom w:val="0"/>
      <w:divBdr>
        <w:top w:val="none" w:sz="0" w:space="0" w:color="auto"/>
        <w:left w:val="none" w:sz="0" w:space="0" w:color="auto"/>
        <w:bottom w:val="none" w:sz="0" w:space="0" w:color="auto"/>
        <w:right w:val="none" w:sz="0" w:space="0" w:color="auto"/>
      </w:divBdr>
    </w:div>
    <w:div w:id="901208422">
      <w:bodyDiv w:val="1"/>
      <w:marLeft w:val="0"/>
      <w:marRight w:val="0"/>
      <w:marTop w:val="0"/>
      <w:marBottom w:val="0"/>
      <w:divBdr>
        <w:top w:val="none" w:sz="0" w:space="0" w:color="auto"/>
        <w:left w:val="none" w:sz="0" w:space="0" w:color="auto"/>
        <w:bottom w:val="none" w:sz="0" w:space="0" w:color="auto"/>
        <w:right w:val="none" w:sz="0" w:space="0" w:color="auto"/>
      </w:divBdr>
    </w:div>
    <w:div w:id="913703255">
      <w:bodyDiv w:val="1"/>
      <w:marLeft w:val="0"/>
      <w:marRight w:val="0"/>
      <w:marTop w:val="0"/>
      <w:marBottom w:val="0"/>
      <w:divBdr>
        <w:top w:val="none" w:sz="0" w:space="0" w:color="auto"/>
        <w:left w:val="none" w:sz="0" w:space="0" w:color="auto"/>
        <w:bottom w:val="none" w:sz="0" w:space="0" w:color="auto"/>
        <w:right w:val="none" w:sz="0" w:space="0" w:color="auto"/>
      </w:divBdr>
    </w:div>
    <w:div w:id="922763096">
      <w:bodyDiv w:val="1"/>
      <w:marLeft w:val="0"/>
      <w:marRight w:val="0"/>
      <w:marTop w:val="0"/>
      <w:marBottom w:val="0"/>
      <w:divBdr>
        <w:top w:val="none" w:sz="0" w:space="0" w:color="auto"/>
        <w:left w:val="none" w:sz="0" w:space="0" w:color="auto"/>
        <w:bottom w:val="none" w:sz="0" w:space="0" w:color="auto"/>
        <w:right w:val="none" w:sz="0" w:space="0" w:color="auto"/>
      </w:divBdr>
    </w:div>
    <w:div w:id="931472872">
      <w:bodyDiv w:val="1"/>
      <w:marLeft w:val="0"/>
      <w:marRight w:val="0"/>
      <w:marTop w:val="0"/>
      <w:marBottom w:val="0"/>
      <w:divBdr>
        <w:top w:val="none" w:sz="0" w:space="0" w:color="auto"/>
        <w:left w:val="none" w:sz="0" w:space="0" w:color="auto"/>
        <w:bottom w:val="none" w:sz="0" w:space="0" w:color="auto"/>
        <w:right w:val="none" w:sz="0" w:space="0" w:color="auto"/>
      </w:divBdr>
    </w:div>
    <w:div w:id="933781737">
      <w:bodyDiv w:val="1"/>
      <w:marLeft w:val="0"/>
      <w:marRight w:val="0"/>
      <w:marTop w:val="0"/>
      <w:marBottom w:val="0"/>
      <w:divBdr>
        <w:top w:val="none" w:sz="0" w:space="0" w:color="auto"/>
        <w:left w:val="none" w:sz="0" w:space="0" w:color="auto"/>
        <w:bottom w:val="none" w:sz="0" w:space="0" w:color="auto"/>
        <w:right w:val="none" w:sz="0" w:space="0" w:color="auto"/>
      </w:divBdr>
    </w:div>
    <w:div w:id="939533625">
      <w:bodyDiv w:val="1"/>
      <w:marLeft w:val="0"/>
      <w:marRight w:val="0"/>
      <w:marTop w:val="0"/>
      <w:marBottom w:val="0"/>
      <w:divBdr>
        <w:top w:val="none" w:sz="0" w:space="0" w:color="auto"/>
        <w:left w:val="none" w:sz="0" w:space="0" w:color="auto"/>
        <w:bottom w:val="none" w:sz="0" w:space="0" w:color="auto"/>
        <w:right w:val="none" w:sz="0" w:space="0" w:color="auto"/>
      </w:divBdr>
    </w:div>
    <w:div w:id="943615991">
      <w:bodyDiv w:val="1"/>
      <w:marLeft w:val="0"/>
      <w:marRight w:val="0"/>
      <w:marTop w:val="0"/>
      <w:marBottom w:val="0"/>
      <w:divBdr>
        <w:top w:val="none" w:sz="0" w:space="0" w:color="auto"/>
        <w:left w:val="none" w:sz="0" w:space="0" w:color="auto"/>
        <w:bottom w:val="none" w:sz="0" w:space="0" w:color="auto"/>
        <w:right w:val="none" w:sz="0" w:space="0" w:color="auto"/>
      </w:divBdr>
    </w:div>
    <w:div w:id="946546468">
      <w:bodyDiv w:val="1"/>
      <w:marLeft w:val="0"/>
      <w:marRight w:val="0"/>
      <w:marTop w:val="0"/>
      <w:marBottom w:val="0"/>
      <w:divBdr>
        <w:top w:val="none" w:sz="0" w:space="0" w:color="auto"/>
        <w:left w:val="none" w:sz="0" w:space="0" w:color="auto"/>
        <w:bottom w:val="none" w:sz="0" w:space="0" w:color="auto"/>
        <w:right w:val="none" w:sz="0" w:space="0" w:color="auto"/>
      </w:divBdr>
    </w:div>
    <w:div w:id="948003565">
      <w:bodyDiv w:val="1"/>
      <w:marLeft w:val="0"/>
      <w:marRight w:val="0"/>
      <w:marTop w:val="0"/>
      <w:marBottom w:val="0"/>
      <w:divBdr>
        <w:top w:val="none" w:sz="0" w:space="0" w:color="auto"/>
        <w:left w:val="none" w:sz="0" w:space="0" w:color="auto"/>
        <w:bottom w:val="none" w:sz="0" w:space="0" w:color="auto"/>
        <w:right w:val="none" w:sz="0" w:space="0" w:color="auto"/>
      </w:divBdr>
    </w:div>
    <w:div w:id="957176870">
      <w:bodyDiv w:val="1"/>
      <w:marLeft w:val="0"/>
      <w:marRight w:val="0"/>
      <w:marTop w:val="0"/>
      <w:marBottom w:val="0"/>
      <w:divBdr>
        <w:top w:val="none" w:sz="0" w:space="0" w:color="auto"/>
        <w:left w:val="none" w:sz="0" w:space="0" w:color="auto"/>
        <w:bottom w:val="none" w:sz="0" w:space="0" w:color="auto"/>
        <w:right w:val="none" w:sz="0" w:space="0" w:color="auto"/>
      </w:divBdr>
    </w:div>
    <w:div w:id="1001276553">
      <w:bodyDiv w:val="1"/>
      <w:marLeft w:val="0"/>
      <w:marRight w:val="0"/>
      <w:marTop w:val="0"/>
      <w:marBottom w:val="0"/>
      <w:divBdr>
        <w:top w:val="none" w:sz="0" w:space="0" w:color="auto"/>
        <w:left w:val="none" w:sz="0" w:space="0" w:color="auto"/>
        <w:bottom w:val="none" w:sz="0" w:space="0" w:color="auto"/>
        <w:right w:val="none" w:sz="0" w:space="0" w:color="auto"/>
      </w:divBdr>
    </w:div>
    <w:div w:id="1008563573">
      <w:bodyDiv w:val="1"/>
      <w:marLeft w:val="0"/>
      <w:marRight w:val="0"/>
      <w:marTop w:val="0"/>
      <w:marBottom w:val="0"/>
      <w:divBdr>
        <w:top w:val="none" w:sz="0" w:space="0" w:color="auto"/>
        <w:left w:val="none" w:sz="0" w:space="0" w:color="auto"/>
        <w:bottom w:val="none" w:sz="0" w:space="0" w:color="auto"/>
        <w:right w:val="none" w:sz="0" w:space="0" w:color="auto"/>
      </w:divBdr>
    </w:div>
    <w:div w:id="1013535454">
      <w:bodyDiv w:val="1"/>
      <w:marLeft w:val="0"/>
      <w:marRight w:val="0"/>
      <w:marTop w:val="0"/>
      <w:marBottom w:val="0"/>
      <w:divBdr>
        <w:top w:val="none" w:sz="0" w:space="0" w:color="auto"/>
        <w:left w:val="none" w:sz="0" w:space="0" w:color="auto"/>
        <w:bottom w:val="none" w:sz="0" w:space="0" w:color="auto"/>
        <w:right w:val="none" w:sz="0" w:space="0" w:color="auto"/>
      </w:divBdr>
    </w:div>
    <w:div w:id="1029457177">
      <w:bodyDiv w:val="1"/>
      <w:marLeft w:val="0"/>
      <w:marRight w:val="0"/>
      <w:marTop w:val="0"/>
      <w:marBottom w:val="0"/>
      <w:divBdr>
        <w:top w:val="none" w:sz="0" w:space="0" w:color="auto"/>
        <w:left w:val="none" w:sz="0" w:space="0" w:color="auto"/>
        <w:bottom w:val="none" w:sz="0" w:space="0" w:color="auto"/>
        <w:right w:val="none" w:sz="0" w:space="0" w:color="auto"/>
      </w:divBdr>
    </w:div>
    <w:div w:id="1033379484">
      <w:bodyDiv w:val="1"/>
      <w:marLeft w:val="0"/>
      <w:marRight w:val="0"/>
      <w:marTop w:val="0"/>
      <w:marBottom w:val="0"/>
      <w:divBdr>
        <w:top w:val="none" w:sz="0" w:space="0" w:color="auto"/>
        <w:left w:val="none" w:sz="0" w:space="0" w:color="auto"/>
        <w:bottom w:val="none" w:sz="0" w:space="0" w:color="auto"/>
        <w:right w:val="none" w:sz="0" w:space="0" w:color="auto"/>
      </w:divBdr>
    </w:div>
    <w:div w:id="1045568798">
      <w:bodyDiv w:val="1"/>
      <w:marLeft w:val="0"/>
      <w:marRight w:val="0"/>
      <w:marTop w:val="0"/>
      <w:marBottom w:val="0"/>
      <w:divBdr>
        <w:top w:val="none" w:sz="0" w:space="0" w:color="auto"/>
        <w:left w:val="none" w:sz="0" w:space="0" w:color="auto"/>
        <w:bottom w:val="none" w:sz="0" w:space="0" w:color="auto"/>
        <w:right w:val="none" w:sz="0" w:space="0" w:color="auto"/>
      </w:divBdr>
    </w:div>
    <w:div w:id="1046368944">
      <w:bodyDiv w:val="1"/>
      <w:marLeft w:val="0"/>
      <w:marRight w:val="0"/>
      <w:marTop w:val="0"/>
      <w:marBottom w:val="0"/>
      <w:divBdr>
        <w:top w:val="none" w:sz="0" w:space="0" w:color="auto"/>
        <w:left w:val="none" w:sz="0" w:space="0" w:color="auto"/>
        <w:bottom w:val="none" w:sz="0" w:space="0" w:color="auto"/>
        <w:right w:val="none" w:sz="0" w:space="0" w:color="auto"/>
      </w:divBdr>
    </w:div>
    <w:div w:id="1047528297">
      <w:bodyDiv w:val="1"/>
      <w:marLeft w:val="0"/>
      <w:marRight w:val="0"/>
      <w:marTop w:val="0"/>
      <w:marBottom w:val="0"/>
      <w:divBdr>
        <w:top w:val="none" w:sz="0" w:space="0" w:color="auto"/>
        <w:left w:val="none" w:sz="0" w:space="0" w:color="auto"/>
        <w:bottom w:val="none" w:sz="0" w:space="0" w:color="auto"/>
        <w:right w:val="none" w:sz="0" w:space="0" w:color="auto"/>
      </w:divBdr>
    </w:div>
    <w:div w:id="1054039755">
      <w:bodyDiv w:val="1"/>
      <w:marLeft w:val="0"/>
      <w:marRight w:val="0"/>
      <w:marTop w:val="0"/>
      <w:marBottom w:val="0"/>
      <w:divBdr>
        <w:top w:val="none" w:sz="0" w:space="0" w:color="auto"/>
        <w:left w:val="none" w:sz="0" w:space="0" w:color="auto"/>
        <w:bottom w:val="none" w:sz="0" w:space="0" w:color="auto"/>
        <w:right w:val="none" w:sz="0" w:space="0" w:color="auto"/>
      </w:divBdr>
    </w:div>
    <w:div w:id="1055664739">
      <w:bodyDiv w:val="1"/>
      <w:marLeft w:val="0"/>
      <w:marRight w:val="0"/>
      <w:marTop w:val="0"/>
      <w:marBottom w:val="0"/>
      <w:divBdr>
        <w:top w:val="none" w:sz="0" w:space="0" w:color="auto"/>
        <w:left w:val="none" w:sz="0" w:space="0" w:color="auto"/>
        <w:bottom w:val="none" w:sz="0" w:space="0" w:color="auto"/>
        <w:right w:val="none" w:sz="0" w:space="0" w:color="auto"/>
      </w:divBdr>
    </w:div>
    <w:div w:id="1061245106">
      <w:bodyDiv w:val="1"/>
      <w:marLeft w:val="0"/>
      <w:marRight w:val="0"/>
      <w:marTop w:val="0"/>
      <w:marBottom w:val="0"/>
      <w:divBdr>
        <w:top w:val="none" w:sz="0" w:space="0" w:color="auto"/>
        <w:left w:val="none" w:sz="0" w:space="0" w:color="auto"/>
        <w:bottom w:val="none" w:sz="0" w:space="0" w:color="auto"/>
        <w:right w:val="none" w:sz="0" w:space="0" w:color="auto"/>
      </w:divBdr>
    </w:div>
    <w:div w:id="1069110761">
      <w:bodyDiv w:val="1"/>
      <w:marLeft w:val="0"/>
      <w:marRight w:val="0"/>
      <w:marTop w:val="0"/>
      <w:marBottom w:val="0"/>
      <w:divBdr>
        <w:top w:val="none" w:sz="0" w:space="0" w:color="auto"/>
        <w:left w:val="none" w:sz="0" w:space="0" w:color="auto"/>
        <w:bottom w:val="none" w:sz="0" w:space="0" w:color="auto"/>
        <w:right w:val="none" w:sz="0" w:space="0" w:color="auto"/>
      </w:divBdr>
    </w:div>
    <w:div w:id="1080564350">
      <w:bodyDiv w:val="1"/>
      <w:marLeft w:val="0"/>
      <w:marRight w:val="0"/>
      <w:marTop w:val="0"/>
      <w:marBottom w:val="0"/>
      <w:divBdr>
        <w:top w:val="none" w:sz="0" w:space="0" w:color="auto"/>
        <w:left w:val="none" w:sz="0" w:space="0" w:color="auto"/>
        <w:bottom w:val="none" w:sz="0" w:space="0" w:color="auto"/>
        <w:right w:val="none" w:sz="0" w:space="0" w:color="auto"/>
      </w:divBdr>
    </w:div>
    <w:div w:id="1094284110">
      <w:bodyDiv w:val="1"/>
      <w:marLeft w:val="0"/>
      <w:marRight w:val="0"/>
      <w:marTop w:val="0"/>
      <w:marBottom w:val="0"/>
      <w:divBdr>
        <w:top w:val="none" w:sz="0" w:space="0" w:color="auto"/>
        <w:left w:val="none" w:sz="0" w:space="0" w:color="auto"/>
        <w:bottom w:val="none" w:sz="0" w:space="0" w:color="auto"/>
        <w:right w:val="none" w:sz="0" w:space="0" w:color="auto"/>
      </w:divBdr>
    </w:div>
    <w:div w:id="1104576288">
      <w:bodyDiv w:val="1"/>
      <w:marLeft w:val="0"/>
      <w:marRight w:val="0"/>
      <w:marTop w:val="0"/>
      <w:marBottom w:val="0"/>
      <w:divBdr>
        <w:top w:val="none" w:sz="0" w:space="0" w:color="auto"/>
        <w:left w:val="none" w:sz="0" w:space="0" w:color="auto"/>
        <w:bottom w:val="none" w:sz="0" w:space="0" w:color="auto"/>
        <w:right w:val="none" w:sz="0" w:space="0" w:color="auto"/>
      </w:divBdr>
    </w:div>
    <w:div w:id="1107503900">
      <w:bodyDiv w:val="1"/>
      <w:marLeft w:val="0"/>
      <w:marRight w:val="0"/>
      <w:marTop w:val="0"/>
      <w:marBottom w:val="0"/>
      <w:divBdr>
        <w:top w:val="none" w:sz="0" w:space="0" w:color="auto"/>
        <w:left w:val="none" w:sz="0" w:space="0" w:color="auto"/>
        <w:bottom w:val="none" w:sz="0" w:space="0" w:color="auto"/>
        <w:right w:val="none" w:sz="0" w:space="0" w:color="auto"/>
      </w:divBdr>
    </w:div>
    <w:div w:id="1117673310">
      <w:bodyDiv w:val="1"/>
      <w:marLeft w:val="0"/>
      <w:marRight w:val="0"/>
      <w:marTop w:val="0"/>
      <w:marBottom w:val="0"/>
      <w:divBdr>
        <w:top w:val="none" w:sz="0" w:space="0" w:color="auto"/>
        <w:left w:val="none" w:sz="0" w:space="0" w:color="auto"/>
        <w:bottom w:val="none" w:sz="0" w:space="0" w:color="auto"/>
        <w:right w:val="none" w:sz="0" w:space="0" w:color="auto"/>
      </w:divBdr>
    </w:div>
    <w:div w:id="1132362222">
      <w:bodyDiv w:val="1"/>
      <w:marLeft w:val="0"/>
      <w:marRight w:val="0"/>
      <w:marTop w:val="0"/>
      <w:marBottom w:val="0"/>
      <w:divBdr>
        <w:top w:val="none" w:sz="0" w:space="0" w:color="auto"/>
        <w:left w:val="none" w:sz="0" w:space="0" w:color="auto"/>
        <w:bottom w:val="none" w:sz="0" w:space="0" w:color="auto"/>
        <w:right w:val="none" w:sz="0" w:space="0" w:color="auto"/>
      </w:divBdr>
    </w:div>
    <w:div w:id="1149979744">
      <w:bodyDiv w:val="1"/>
      <w:marLeft w:val="0"/>
      <w:marRight w:val="0"/>
      <w:marTop w:val="0"/>
      <w:marBottom w:val="0"/>
      <w:divBdr>
        <w:top w:val="none" w:sz="0" w:space="0" w:color="auto"/>
        <w:left w:val="none" w:sz="0" w:space="0" w:color="auto"/>
        <w:bottom w:val="none" w:sz="0" w:space="0" w:color="auto"/>
        <w:right w:val="none" w:sz="0" w:space="0" w:color="auto"/>
      </w:divBdr>
    </w:div>
    <w:div w:id="1154838491">
      <w:bodyDiv w:val="1"/>
      <w:marLeft w:val="0"/>
      <w:marRight w:val="0"/>
      <w:marTop w:val="0"/>
      <w:marBottom w:val="0"/>
      <w:divBdr>
        <w:top w:val="none" w:sz="0" w:space="0" w:color="auto"/>
        <w:left w:val="none" w:sz="0" w:space="0" w:color="auto"/>
        <w:bottom w:val="none" w:sz="0" w:space="0" w:color="auto"/>
        <w:right w:val="none" w:sz="0" w:space="0" w:color="auto"/>
      </w:divBdr>
    </w:div>
    <w:div w:id="1174682744">
      <w:bodyDiv w:val="1"/>
      <w:marLeft w:val="0"/>
      <w:marRight w:val="0"/>
      <w:marTop w:val="0"/>
      <w:marBottom w:val="0"/>
      <w:divBdr>
        <w:top w:val="none" w:sz="0" w:space="0" w:color="auto"/>
        <w:left w:val="none" w:sz="0" w:space="0" w:color="auto"/>
        <w:bottom w:val="none" w:sz="0" w:space="0" w:color="auto"/>
        <w:right w:val="none" w:sz="0" w:space="0" w:color="auto"/>
      </w:divBdr>
    </w:div>
    <w:div w:id="1175607923">
      <w:bodyDiv w:val="1"/>
      <w:marLeft w:val="0"/>
      <w:marRight w:val="0"/>
      <w:marTop w:val="0"/>
      <w:marBottom w:val="0"/>
      <w:divBdr>
        <w:top w:val="none" w:sz="0" w:space="0" w:color="auto"/>
        <w:left w:val="none" w:sz="0" w:space="0" w:color="auto"/>
        <w:bottom w:val="none" w:sz="0" w:space="0" w:color="auto"/>
        <w:right w:val="none" w:sz="0" w:space="0" w:color="auto"/>
      </w:divBdr>
    </w:div>
    <w:div w:id="1176115737">
      <w:bodyDiv w:val="1"/>
      <w:marLeft w:val="0"/>
      <w:marRight w:val="0"/>
      <w:marTop w:val="0"/>
      <w:marBottom w:val="0"/>
      <w:divBdr>
        <w:top w:val="none" w:sz="0" w:space="0" w:color="auto"/>
        <w:left w:val="none" w:sz="0" w:space="0" w:color="auto"/>
        <w:bottom w:val="none" w:sz="0" w:space="0" w:color="auto"/>
        <w:right w:val="none" w:sz="0" w:space="0" w:color="auto"/>
      </w:divBdr>
    </w:div>
    <w:div w:id="1182278956">
      <w:bodyDiv w:val="1"/>
      <w:marLeft w:val="0"/>
      <w:marRight w:val="0"/>
      <w:marTop w:val="0"/>
      <w:marBottom w:val="0"/>
      <w:divBdr>
        <w:top w:val="none" w:sz="0" w:space="0" w:color="auto"/>
        <w:left w:val="none" w:sz="0" w:space="0" w:color="auto"/>
        <w:bottom w:val="none" w:sz="0" w:space="0" w:color="auto"/>
        <w:right w:val="none" w:sz="0" w:space="0" w:color="auto"/>
      </w:divBdr>
    </w:div>
    <w:div w:id="1188330954">
      <w:bodyDiv w:val="1"/>
      <w:marLeft w:val="0"/>
      <w:marRight w:val="0"/>
      <w:marTop w:val="0"/>
      <w:marBottom w:val="0"/>
      <w:divBdr>
        <w:top w:val="none" w:sz="0" w:space="0" w:color="auto"/>
        <w:left w:val="none" w:sz="0" w:space="0" w:color="auto"/>
        <w:bottom w:val="none" w:sz="0" w:space="0" w:color="auto"/>
        <w:right w:val="none" w:sz="0" w:space="0" w:color="auto"/>
      </w:divBdr>
    </w:div>
    <w:div w:id="1193229770">
      <w:bodyDiv w:val="1"/>
      <w:marLeft w:val="0"/>
      <w:marRight w:val="0"/>
      <w:marTop w:val="0"/>
      <w:marBottom w:val="0"/>
      <w:divBdr>
        <w:top w:val="none" w:sz="0" w:space="0" w:color="auto"/>
        <w:left w:val="none" w:sz="0" w:space="0" w:color="auto"/>
        <w:bottom w:val="none" w:sz="0" w:space="0" w:color="auto"/>
        <w:right w:val="none" w:sz="0" w:space="0" w:color="auto"/>
      </w:divBdr>
    </w:div>
    <w:div w:id="1202398874">
      <w:bodyDiv w:val="1"/>
      <w:marLeft w:val="0"/>
      <w:marRight w:val="0"/>
      <w:marTop w:val="0"/>
      <w:marBottom w:val="0"/>
      <w:divBdr>
        <w:top w:val="none" w:sz="0" w:space="0" w:color="auto"/>
        <w:left w:val="none" w:sz="0" w:space="0" w:color="auto"/>
        <w:bottom w:val="none" w:sz="0" w:space="0" w:color="auto"/>
        <w:right w:val="none" w:sz="0" w:space="0" w:color="auto"/>
      </w:divBdr>
    </w:div>
    <w:div w:id="1218205223">
      <w:bodyDiv w:val="1"/>
      <w:marLeft w:val="0"/>
      <w:marRight w:val="0"/>
      <w:marTop w:val="0"/>
      <w:marBottom w:val="0"/>
      <w:divBdr>
        <w:top w:val="none" w:sz="0" w:space="0" w:color="auto"/>
        <w:left w:val="none" w:sz="0" w:space="0" w:color="auto"/>
        <w:bottom w:val="none" w:sz="0" w:space="0" w:color="auto"/>
        <w:right w:val="none" w:sz="0" w:space="0" w:color="auto"/>
      </w:divBdr>
    </w:div>
    <w:div w:id="1221329781">
      <w:bodyDiv w:val="1"/>
      <w:marLeft w:val="0"/>
      <w:marRight w:val="0"/>
      <w:marTop w:val="0"/>
      <w:marBottom w:val="0"/>
      <w:divBdr>
        <w:top w:val="none" w:sz="0" w:space="0" w:color="auto"/>
        <w:left w:val="none" w:sz="0" w:space="0" w:color="auto"/>
        <w:bottom w:val="none" w:sz="0" w:space="0" w:color="auto"/>
        <w:right w:val="none" w:sz="0" w:space="0" w:color="auto"/>
      </w:divBdr>
    </w:div>
    <w:div w:id="1237477944">
      <w:bodyDiv w:val="1"/>
      <w:marLeft w:val="0"/>
      <w:marRight w:val="0"/>
      <w:marTop w:val="0"/>
      <w:marBottom w:val="0"/>
      <w:divBdr>
        <w:top w:val="none" w:sz="0" w:space="0" w:color="auto"/>
        <w:left w:val="none" w:sz="0" w:space="0" w:color="auto"/>
        <w:bottom w:val="none" w:sz="0" w:space="0" w:color="auto"/>
        <w:right w:val="none" w:sz="0" w:space="0" w:color="auto"/>
      </w:divBdr>
    </w:div>
    <w:div w:id="1240405006">
      <w:bodyDiv w:val="1"/>
      <w:marLeft w:val="0"/>
      <w:marRight w:val="0"/>
      <w:marTop w:val="0"/>
      <w:marBottom w:val="0"/>
      <w:divBdr>
        <w:top w:val="none" w:sz="0" w:space="0" w:color="auto"/>
        <w:left w:val="none" w:sz="0" w:space="0" w:color="auto"/>
        <w:bottom w:val="none" w:sz="0" w:space="0" w:color="auto"/>
        <w:right w:val="none" w:sz="0" w:space="0" w:color="auto"/>
      </w:divBdr>
    </w:div>
    <w:div w:id="1251353929">
      <w:bodyDiv w:val="1"/>
      <w:marLeft w:val="0"/>
      <w:marRight w:val="0"/>
      <w:marTop w:val="0"/>
      <w:marBottom w:val="0"/>
      <w:divBdr>
        <w:top w:val="none" w:sz="0" w:space="0" w:color="auto"/>
        <w:left w:val="none" w:sz="0" w:space="0" w:color="auto"/>
        <w:bottom w:val="none" w:sz="0" w:space="0" w:color="auto"/>
        <w:right w:val="none" w:sz="0" w:space="0" w:color="auto"/>
      </w:divBdr>
    </w:div>
    <w:div w:id="1273973130">
      <w:bodyDiv w:val="1"/>
      <w:marLeft w:val="0"/>
      <w:marRight w:val="0"/>
      <w:marTop w:val="0"/>
      <w:marBottom w:val="0"/>
      <w:divBdr>
        <w:top w:val="none" w:sz="0" w:space="0" w:color="auto"/>
        <w:left w:val="none" w:sz="0" w:space="0" w:color="auto"/>
        <w:bottom w:val="none" w:sz="0" w:space="0" w:color="auto"/>
        <w:right w:val="none" w:sz="0" w:space="0" w:color="auto"/>
      </w:divBdr>
    </w:div>
    <w:div w:id="1280725622">
      <w:bodyDiv w:val="1"/>
      <w:marLeft w:val="0"/>
      <w:marRight w:val="0"/>
      <w:marTop w:val="0"/>
      <w:marBottom w:val="0"/>
      <w:divBdr>
        <w:top w:val="none" w:sz="0" w:space="0" w:color="auto"/>
        <w:left w:val="none" w:sz="0" w:space="0" w:color="auto"/>
        <w:bottom w:val="none" w:sz="0" w:space="0" w:color="auto"/>
        <w:right w:val="none" w:sz="0" w:space="0" w:color="auto"/>
      </w:divBdr>
    </w:div>
    <w:div w:id="1282373845">
      <w:bodyDiv w:val="1"/>
      <w:marLeft w:val="0"/>
      <w:marRight w:val="0"/>
      <w:marTop w:val="0"/>
      <w:marBottom w:val="0"/>
      <w:divBdr>
        <w:top w:val="none" w:sz="0" w:space="0" w:color="auto"/>
        <w:left w:val="none" w:sz="0" w:space="0" w:color="auto"/>
        <w:bottom w:val="none" w:sz="0" w:space="0" w:color="auto"/>
        <w:right w:val="none" w:sz="0" w:space="0" w:color="auto"/>
      </w:divBdr>
    </w:div>
    <w:div w:id="1284313910">
      <w:bodyDiv w:val="1"/>
      <w:marLeft w:val="0"/>
      <w:marRight w:val="0"/>
      <w:marTop w:val="0"/>
      <w:marBottom w:val="0"/>
      <w:divBdr>
        <w:top w:val="none" w:sz="0" w:space="0" w:color="auto"/>
        <w:left w:val="none" w:sz="0" w:space="0" w:color="auto"/>
        <w:bottom w:val="none" w:sz="0" w:space="0" w:color="auto"/>
        <w:right w:val="none" w:sz="0" w:space="0" w:color="auto"/>
      </w:divBdr>
    </w:div>
    <w:div w:id="1289510694">
      <w:bodyDiv w:val="1"/>
      <w:marLeft w:val="0"/>
      <w:marRight w:val="0"/>
      <w:marTop w:val="0"/>
      <w:marBottom w:val="0"/>
      <w:divBdr>
        <w:top w:val="none" w:sz="0" w:space="0" w:color="auto"/>
        <w:left w:val="none" w:sz="0" w:space="0" w:color="auto"/>
        <w:bottom w:val="none" w:sz="0" w:space="0" w:color="auto"/>
        <w:right w:val="none" w:sz="0" w:space="0" w:color="auto"/>
      </w:divBdr>
    </w:div>
    <w:div w:id="1289818510">
      <w:bodyDiv w:val="1"/>
      <w:marLeft w:val="0"/>
      <w:marRight w:val="0"/>
      <w:marTop w:val="0"/>
      <w:marBottom w:val="0"/>
      <w:divBdr>
        <w:top w:val="none" w:sz="0" w:space="0" w:color="auto"/>
        <w:left w:val="none" w:sz="0" w:space="0" w:color="auto"/>
        <w:bottom w:val="none" w:sz="0" w:space="0" w:color="auto"/>
        <w:right w:val="none" w:sz="0" w:space="0" w:color="auto"/>
      </w:divBdr>
    </w:div>
    <w:div w:id="1297249919">
      <w:bodyDiv w:val="1"/>
      <w:marLeft w:val="0"/>
      <w:marRight w:val="0"/>
      <w:marTop w:val="0"/>
      <w:marBottom w:val="0"/>
      <w:divBdr>
        <w:top w:val="none" w:sz="0" w:space="0" w:color="auto"/>
        <w:left w:val="none" w:sz="0" w:space="0" w:color="auto"/>
        <w:bottom w:val="none" w:sz="0" w:space="0" w:color="auto"/>
        <w:right w:val="none" w:sz="0" w:space="0" w:color="auto"/>
      </w:divBdr>
    </w:div>
    <w:div w:id="1299845544">
      <w:bodyDiv w:val="1"/>
      <w:marLeft w:val="0"/>
      <w:marRight w:val="0"/>
      <w:marTop w:val="0"/>
      <w:marBottom w:val="0"/>
      <w:divBdr>
        <w:top w:val="none" w:sz="0" w:space="0" w:color="auto"/>
        <w:left w:val="none" w:sz="0" w:space="0" w:color="auto"/>
        <w:bottom w:val="none" w:sz="0" w:space="0" w:color="auto"/>
        <w:right w:val="none" w:sz="0" w:space="0" w:color="auto"/>
      </w:divBdr>
    </w:div>
    <w:div w:id="1317104457">
      <w:bodyDiv w:val="1"/>
      <w:marLeft w:val="0"/>
      <w:marRight w:val="0"/>
      <w:marTop w:val="0"/>
      <w:marBottom w:val="0"/>
      <w:divBdr>
        <w:top w:val="none" w:sz="0" w:space="0" w:color="auto"/>
        <w:left w:val="none" w:sz="0" w:space="0" w:color="auto"/>
        <w:bottom w:val="none" w:sz="0" w:space="0" w:color="auto"/>
        <w:right w:val="none" w:sz="0" w:space="0" w:color="auto"/>
      </w:divBdr>
    </w:div>
    <w:div w:id="1322394838">
      <w:bodyDiv w:val="1"/>
      <w:marLeft w:val="0"/>
      <w:marRight w:val="0"/>
      <w:marTop w:val="0"/>
      <w:marBottom w:val="0"/>
      <w:divBdr>
        <w:top w:val="none" w:sz="0" w:space="0" w:color="auto"/>
        <w:left w:val="none" w:sz="0" w:space="0" w:color="auto"/>
        <w:bottom w:val="none" w:sz="0" w:space="0" w:color="auto"/>
        <w:right w:val="none" w:sz="0" w:space="0" w:color="auto"/>
      </w:divBdr>
    </w:div>
    <w:div w:id="1361973439">
      <w:bodyDiv w:val="1"/>
      <w:marLeft w:val="0"/>
      <w:marRight w:val="0"/>
      <w:marTop w:val="0"/>
      <w:marBottom w:val="0"/>
      <w:divBdr>
        <w:top w:val="none" w:sz="0" w:space="0" w:color="auto"/>
        <w:left w:val="none" w:sz="0" w:space="0" w:color="auto"/>
        <w:bottom w:val="none" w:sz="0" w:space="0" w:color="auto"/>
        <w:right w:val="none" w:sz="0" w:space="0" w:color="auto"/>
      </w:divBdr>
    </w:div>
    <w:div w:id="1361976801">
      <w:bodyDiv w:val="1"/>
      <w:marLeft w:val="0"/>
      <w:marRight w:val="0"/>
      <w:marTop w:val="0"/>
      <w:marBottom w:val="0"/>
      <w:divBdr>
        <w:top w:val="none" w:sz="0" w:space="0" w:color="auto"/>
        <w:left w:val="none" w:sz="0" w:space="0" w:color="auto"/>
        <w:bottom w:val="none" w:sz="0" w:space="0" w:color="auto"/>
        <w:right w:val="none" w:sz="0" w:space="0" w:color="auto"/>
      </w:divBdr>
    </w:div>
    <w:div w:id="1365180487">
      <w:bodyDiv w:val="1"/>
      <w:marLeft w:val="0"/>
      <w:marRight w:val="0"/>
      <w:marTop w:val="0"/>
      <w:marBottom w:val="0"/>
      <w:divBdr>
        <w:top w:val="none" w:sz="0" w:space="0" w:color="auto"/>
        <w:left w:val="none" w:sz="0" w:space="0" w:color="auto"/>
        <w:bottom w:val="none" w:sz="0" w:space="0" w:color="auto"/>
        <w:right w:val="none" w:sz="0" w:space="0" w:color="auto"/>
      </w:divBdr>
    </w:div>
    <w:div w:id="1368027961">
      <w:bodyDiv w:val="1"/>
      <w:marLeft w:val="0"/>
      <w:marRight w:val="0"/>
      <w:marTop w:val="0"/>
      <w:marBottom w:val="0"/>
      <w:divBdr>
        <w:top w:val="none" w:sz="0" w:space="0" w:color="auto"/>
        <w:left w:val="none" w:sz="0" w:space="0" w:color="auto"/>
        <w:bottom w:val="none" w:sz="0" w:space="0" w:color="auto"/>
        <w:right w:val="none" w:sz="0" w:space="0" w:color="auto"/>
      </w:divBdr>
    </w:div>
    <w:div w:id="1371026335">
      <w:bodyDiv w:val="1"/>
      <w:marLeft w:val="0"/>
      <w:marRight w:val="0"/>
      <w:marTop w:val="0"/>
      <w:marBottom w:val="0"/>
      <w:divBdr>
        <w:top w:val="none" w:sz="0" w:space="0" w:color="auto"/>
        <w:left w:val="none" w:sz="0" w:space="0" w:color="auto"/>
        <w:bottom w:val="none" w:sz="0" w:space="0" w:color="auto"/>
        <w:right w:val="none" w:sz="0" w:space="0" w:color="auto"/>
      </w:divBdr>
    </w:div>
    <w:div w:id="1377271739">
      <w:bodyDiv w:val="1"/>
      <w:marLeft w:val="0"/>
      <w:marRight w:val="0"/>
      <w:marTop w:val="0"/>
      <w:marBottom w:val="0"/>
      <w:divBdr>
        <w:top w:val="none" w:sz="0" w:space="0" w:color="auto"/>
        <w:left w:val="none" w:sz="0" w:space="0" w:color="auto"/>
        <w:bottom w:val="none" w:sz="0" w:space="0" w:color="auto"/>
        <w:right w:val="none" w:sz="0" w:space="0" w:color="auto"/>
      </w:divBdr>
    </w:div>
    <w:div w:id="1380088229">
      <w:bodyDiv w:val="1"/>
      <w:marLeft w:val="0"/>
      <w:marRight w:val="0"/>
      <w:marTop w:val="0"/>
      <w:marBottom w:val="0"/>
      <w:divBdr>
        <w:top w:val="none" w:sz="0" w:space="0" w:color="auto"/>
        <w:left w:val="none" w:sz="0" w:space="0" w:color="auto"/>
        <w:bottom w:val="none" w:sz="0" w:space="0" w:color="auto"/>
        <w:right w:val="none" w:sz="0" w:space="0" w:color="auto"/>
      </w:divBdr>
    </w:div>
    <w:div w:id="1391267778">
      <w:bodyDiv w:val="1"/>
      <w:marLeft w:val="0"/>
      <w:marRight w:val="0"/>
      <w:marTop w:val="0"/>
      <w:marBottom w:val="0"/>
      <w:divBdr>
        <w:top w:val="none" w:sz="0" w:space="0" w:color="auto"/>
        <w:left w:val="none" w:sz="0" w:space="0" w:color="auto"/>
        <w:bottom w:val="none" w:sz="0" w:space="0" w:color="auto"/>
        <w:right w:val="none" w:sz="0" w:space="0" w:color="auto"/>
      </w:divBdr>
    </w:div>
    <w:div w:id="1395204635">
      <w:bodyDiv w:val="1"/>
      <w:marLeft w:val="0"/>
      <w:marRight w:val="0"/>
      <w:marTop w:val="0"/>
      <w:marBottom w:val="0"/>
      <w:divBdr>
        <w:top w:val="none" w:sz="0" w:space="0" w:color="auto"/>
        <w:left w:val="none" w:sz="0" w:space="0" w:color="auto"/>
        <w:bottom w:val="none" w:sz="0" w:space="0" w:color="auto"/>
        <w:right w:val="none" w:sz="0" w:space="0" w:color="auto"/>
      </w:divBdr>
    </w:div>
    <w:div w:id="1397776571">
      <w:bodyDiv w:val="1"/>
      <w:marLeft w:val="0"/>
      <w:marRight w:val="0"/>
      <w:marTop w:val="0"/>
      <w:marBottom w:val="0"/>
      <w:divBdr>
        <w:top w:val="none" w:sz="0" w:space="0" w:color="auto"/>
        <w:left w:val="none" w:sz="0" w:space="0" w:color="auto"/>
        <w:bottom w:val="none" w:sz="0" w:space="0" w:color="auto"/>
        <w:right w:val="none" w:sz="0" w:space="0" w:color="auto"/>
      </w:divBdr>
    </w:div>
    <w:div w:id="1401974653">
      <w:bodyDiv w:val="1"/>
      <w:marLeft w:val="0"/>
      <w:marRight w:val="0"/>
      <w:marTop w:val="0"/>
      <w:marBottom w:val="0"/>
      <w:divBdr>
        <w:top w:val="none" w:sz="0" w:space="0" w:color="auto"/>
        <w:left w:val="none" w:sz="0" w:space="0" w:color="auto"/>
        <w:bottom w:val="none" w:sz="0" w:space="0" w:color="auto"/>
        <w:right w:val="none" w:sz="0" w:space="0" w:color="auto"/>
      </w:divBdr>
    </w:div>
    <w:div w:id="1404135025">
      <w:bodyDiv w:val="1"/>
      <w:marLeft w:val="0"/>
      <w:marRight w:val="0"/>
      <w:marTop w:val="0"/>
      <w:marBottom w:val="0"/>
      <w:divBdr>
        <w:top w:val="none" w:sz="0" w:space="0" w:color="auto"/>
        <w:left w:val="none" w:sz="0" w:space="0" w:color="auto"/>
        <w:bottom w:val="none" w:sz="0" w:space="0" w:color="auto"/>
        <w:right w:val="none" w:sz="0" w:space="0" w:color="auto"/>
      </w:divBdr>
    </w:div>
    <w:div w:id="1411122029">
      <w:bodyDiv w:val="1"/>
      <w:marLeft w:val="0"/>
      <w:marRight w:val="0"/>
      <w:marTop w:val="0"/>
      <w:marBottom w:val="0"/>
      <w:divBdr>
        <w:top w:val="none" w:sz="0" w:space="0" w:color="auto"/>
        <w:left w:val="none" w:sz="0" w:space="0" w:color="auto"/>
        <w:bottom w:val="none" w:sz="0" w:space="0" w:color="auto"/>
        <w:right w:val="none" w:sz="0" w:space="0" w:color="auto"/>
      </w:divBdr>
    </w:div>
    <w:div w:id="1411266526">
      <w:bodyDiv w:val="1"/>
      <w:marLeft w:val="0"/>
      <w:marRight w:val="0"/>
      <w:marTop w:val="0"/>
      <w:marBottom w:val="0"/>
      <w:divBdr>
        <w:top w:val="none" w:sz="0" w:space="0" w:color="auto"/>
        <w:left w:val="none" w:sz="0" w:space="0" w:color="auto"/>
        <w:bottom w:val="none" w:sz="0" w:space="0" w:color="auto"/>
        <w:right w:val="none" w:sz="0" w:space="0" w:color="auto"/>
      </w:divBdr>
    </w:div>
    <w:div w:id="1416122024">
      <w:bodyDiv w:val="1"/>
      <w:marLeft w:val="0"/>
      <w:marRight w:val="0"/>
      <w:marTop w:val="0"/>
      <w:marBottom w:val="0"/>
      <w:divBdr>
        <w:top w:val="none" w:sz="0" w:space="0" w:color="auto"/>
        <w:left w:val="none" w:sz="0" w:space="0" w:color="auto"/>
        <w:bottom w:val="none" w:sz="0" w:space="0" w:color="auto"/>
        <w:right w:val="none" w:sz="0" w:space="0" w:color="auto"/>
      </w:divBdr>
    </w:div>
    <w:div w:id="1422214475">
      <w:bodyDiv w:val="1"/>
      <w:marLeft w:val="0"/>
      <w:marRight w:val="0"/>
      <w:marTop w:val="0"/>
      <w:marBottom w:val="0"/>
      <w:divBdr>
        <w:top w:val="none" w:sz="0" w:space="0" w:color="auto"/>
        <w:left w:val="none" w:sz="0" w:space="0" w:color="auto"/>
        <w:bottom w:val="none" w:sz="0" w:space="0" w:color="auto"/>
        <w:right w:val="none" w:sz="0" w:space="0" w:color="auto"/>
      </w:divBdr>
    </w:div>
    <w:div w:id="1424649593">
      <w:bodyDiv w:val="1"/>
      <w:marLeft w:val="0"/>
      <w:marRight w:val="0"/>
      <w:marTop w:val="0"/>
      <w:marBottom w:val="0"/>
      <w:divBdr>
        <w:top w:val="none" w:sz="0" w:space="0" w:color="auto"/>
        <w:left w:val="none" w:sz="0" w:space="0" w:color="auto"/>
        <w:bottom w:val="none" w:sz="0" w:space="0" w:color="auto"/>
        <w:right w:val="none" w:sz="0" w:space="0" w:color="auto"/>
      </w:divBdr>
    </w:div>
    <w:div w:id="1438481767">
      <w:bodyDiv w:val="1"/>
      <w:marLeft w:val="0"/>
      <w:marRight w:val="0"/>
      <w:marTop w:val="0"/>
      <w:marBottom w:val="0"/>
      <w:divBdr>
        <w:top w:val="none" w:sz="0" w:space="0" w:color="auto"/>
        <w:left w:val="none" w:sz="0" w:space="0" w:color="auto"/>
        <w:bottom w:val="none" w:sz="0" w:space="0" w:color="auto"/>
        <w:right w:val="none" w:sz="0" w:space="0" w:color="auto"/>
      </w:divBdr>
    </w:div>
    <w:div w:id="1440369237">
      <w:bodyDiv w:val="1"/>
      <w:marLeft w:val="0"/>
      <w:marRight w:val="0"/>
      <w:marTop w:val="0"/>
      <w:marBottom w:val="0"/>
      <w:divBdr>
        <w:top w:val="none" w:sz="0" w:space="0" w:color="auto"/>
        <w:left w:val="none" w:sz="0" w:space="0" w:color="auto"/>
        <w:bottom w:val="none" w:sz="0" w:space="0" w:color="auto"/>
        <w:right w:val="none" w:sz="0" w:space="0" w:color="auto"/>
      </w:divBdr>
    </w:div>
    <w:div w:id="1441803588">
      <w:bodyDiv w:val="1"/>
      <w:marLeft w:val="0"/>
      <w:marRight w:val="0"/>
      <w:marTop w:val="0"/>
      <w:marBottom w:val="0"/>
      <w:divBdr>
        <w:top w:val="none" w:sz="0" w:space="0" w:color="auto"/>
        <w:left w:val="none" w:sz="0" w:space="0" w:color="auto"/>
        <w:bottom w:val="none" w:sz="0" w:space="0" w:color="auto"/>
        <w:right w:val="none" w:sz="0" w:space="0" w:color="auto"/>
      </w:divBdr>
    </w:div>
    <w:div w:id="1451898316">
      <w:bodyDiv w:val="1"/>
      <w:marLeft w:val="0"/>
      <w:marRight w:val="0"/>
      <w:marTop w:val="0"/>
      <w:marBottom w:val="0"/>
      <w:divBdr>
        <w:top w:val="none" w:sz="0" w:space="0" w:color="auto"/>
        <w:left w:val="none" w:sz="0" w:space="0" w:color="auto"/>
        <w:bottom w:val="none" w:sz="0" w:space="0" w:color="auto"/>
        <w:right w:val="none" w:sz="0" w:space="0" w:color="auto"/>
      </w:divBdr>
    </w:div>
    <w:div w:id="1452702095">
      <w:bodyDiv w:val="1"/>
      <w:marLeft w:val="0"/>
      <w:marRight w:val="0"/>
      <w:marTop w:val="0"/>
      <w:marBottom w:val="0"/>
      <w:divBdr>
        <w:top w:val="none" w:sz="0" w:space="0" w:color="auto"/>
        <w:left w:val="none" w:sz="0" w:space="0" w:color="auto"/>
        <w:bottom w:val="none" w:sz="0" w:space="0" w:color="auto"/>
        <w:right w:val="none" w:sz="0" w:space="0" w:color="auto"/>
      </w:divBdr>
    </w:div>
    <w:div w:id="1464419844">
      <w:bodyDiv w:val="1"/>
      <w:marLeft w:val="0"/>
      <w:marRight w:val="0"/>
      <w:marTop w:val="0"/>
      <w:marBottom w:val="0"/>
      <w:divBdr>
        <w:top w:val="none" w:sz="0" w:space="0" w:color="auto"/>
        <w:left w:val="none" w:sz="0" w:space="0" w:color="auto"/>
        <w:bottom w:val="none" w:sz="0" w:space="0" w:color="auto"/>
        <w:right w:val="none" w:sz="0" w:space="0" w:color="auto"/>
      </w:divBdr>
    </w:div>
    <w:div w:id="1471752777">
      <w:bodyDiv w:val="1"/>
      <w:marLeft w:val="0"/>
      <w:marRight w:val="0"/>
      <w:marTop w:val="0"/>
      <w:marBottom w:val="0"/>
      <w:divBdr>
        <w:top w:val="none" w:sz="0" w:space="0" w:color="auto"/>
        <w:left w:val="none" w:sz="0" w:space="0" w:color="auto"/>
        <w:bottom w:val="none" w:sz="0" w:space="0" w:color="auto"/>
        <w:right w:val="none" w:sz="0" w:space="0" w:color="auto"/>
      </w:divBdr>
    </w:div>
    <w:div w:id="1473014010">
      <w:bodyDiv w:val="1"/>
      <w:marLeft w:val="0"/>
      <w:marRight w:val="0"/>
      <w:marTop w:val="0"/>
      <w:marBottom w:val="0"/>
      <w:divBdr>
        <w:top w:val="none" w:sz="0" w:space="0" w:color="auto"/>
        <w:left w:val="none" w:sz="0" w:space="0" w:color="auto"/>
        <w:bottom w:val="none" w:sz="0" w:space="0" w:color="auto"/>
        <w:right w:val="none" w:sz="0" w:space="0" w:color="auto"/>
      </w:divBdr>
    </w:div>
    <w:div w:id="1490294568">
      <w:bodyDiv w:val="1"/>
      <w:marLeft w:val="0"/>
      <w:marRight w:val="0"/>
      <w:marTop w:val="0"/>
      <w:marBottom w:val="0"/>
      <w:divBdr>
        <w:top w:val="none" w:sz="0" w:space="0" w:color="auto"/>
        <w:left w:val="none" w:sz="0" w:space="0" w:color="auto"/>
        <w:bottom w:val="none" w:sz="0" w:space="0" w:color="auto"/>
        <w:right w:val="none" w:sz="0" w:space="0" w:color="auto"/>
      </w:divBdr>
    </w:div>
    <w:div w:id="1497116110">
      <w:bodyDiv w:val="1"/>
      <w:marLeft w:val="0"/>
      <w:marRight w:val="0"/>
      <w:marTop w:val="0"/>
      <w:marBottom w:val="0"/>
      <w:divBdr>
        <w:top w:val="none" w:sz="0" w:space="0" w:color="auto"/>
        <w:left w:val="none" w:sz="0" w:space="0" w:color="auto"/>
        <w:bottom w:val="none" w:sz="0" w:space="0" w:color="auto"/>
        <w:right w:val="none" w:sz="0" w:space="0" w:color="auto"/>
      </w:divBdr>
    </w:div>
    <w:div w:id="1514874206">
      <w:bodyDiv w:val="1"/>
      <w:marLeft w:val="0"/>
      <w:marRight w:val="0"/>
      <w:marTop w:val="0"/>
      <w:marBottom w:val="0"/>
      <w:divBdr>
        <w:top w:val="none" w:sz="0" w:space="0" w:color="auto"/>
        <w:left w:val="none" w:sz="0" w:space="0" w:color="auto"/>
        <w:bottom w:val="none" w:sz="0" w:space="0" w:color="auto"/>
        <w:right w:val="none" w:sz="0" w:space="0" w:color="auto"/>
      </w:divBdr>
    </w:div>
    <w:div w:id="1524704283">
      <w:bodyDiv w:val="1"/>
      <w:marLeft w:val="0"/>
      <w:marRight w:val="0"/>
      <w:marTop w:val="0"/>
      <w:marBottom w:val="0"/>
      <w:divBdr>
        <w:top w:val="none" w:sz="0" w:space="0" w:color="auto"/>
        <w:left w:val="none" w:sz="0" w:space="0" w:color="auto"/>
        <w:bottom w:val="none" w:sz="0" w:space="0" w:color="auto"/>
        <w:right w:val="none" w:sz="0" w:space="0" w:color="auto"/>
      </w:divBdr>
    </w:div>
    <w:div w:id="1539515114">
      <w:bodyDiv w:val="1"/>
      <w:marLeft w:val="0"/>
      <w:marRight w:val="0"/>
      <w:marTop w:val="0"/>
      <w:marBottom w:val="0"/>
      <w:divBdr>
        <w:top w:val="none" w:sz="0" w:space="0" w:color="auto"/>
        <w:left w:val="none" w:sz="0" w:space="0" w:color="auto"/>
        <w:bottom w:val="none" w:sz="0" w:space="0" w:color="auto"/>
        <w:right w:val="none" w:sz="0" w:space="0" w:color="auto"/>
      </w:divBdr>
    </w:div>
    <w:div w:id="1540972139">
      <w:bodyDiv w:val="1"/>
      <w:marLeft w:val="0"/>
      <w:marRight w:val="0"/>
      <w:marTop w:val="0"/>
      <w:marBottom w:val="0"/>
      <w:divBdr>
        <w:top w:val="none" w:sz="0" w:space="0" w:color="auto"/>
        <w:left w:val="none" w:sz="0" w:space="0" w:color="auto"/>
        <w:bottom w:val="none" w:sz="0" w:space="0" w:color="auto"/>
        <w:right w:val="none" w:sz="0" w:space="0" w:color="auto"/>
      </w:divBdr>
    </w:div>
    <w:div w:id="1547792558">
      <w:bodyDiv w:val="1"/>
      <w:marLeft w:val="0"/>
      <w:marRight w:val="0"/>
      <w:marTop w:val="0"/>
      <w:marBottom w:val="0"/>
      <w:divBdr>
        <w:top w:val="none" w:sz="0" w:space="0" w:color="auto"/>
        <w:left w:val="none" w:sz="0" w:space="0" w:color="auto"/>
        <w:bottom w:val="none" w:sz="0" w:space="0" w:color="auto"/>
        <w:right w:val="none" w:sz="0" w:space="0" w:color="auto"/>
      </w:divBdr>
    </w:div>
    <w:div w:id="1550075015">
      <w:bodyDiv w:val="1"/>
      <w:marLeft w:val="0"/>
      <w:marRight w:val="0"/>
      <w:marTop w:val="0"/>
      <w:marBottom w:val="0"/>
      <w:divBdr>
        <w:top w:val="none" w:sz="0" w:space="0" w:color="auto"/>
        <w:left w:val="none" w:sz="0" w:space="0" w:color="auto"/>
        <w:bottom w:val="none" w:sz="0" w:space="0" w:color="auto"/>
        <w:right w:val="none" w:sz="0" w:space="0" w:color="auto"/>
      </w:divBdr>
    </w:div>
    <w:div w:id="1558249596">
      <w:bodyDiv w:val="1"/>
      <w:marLeft w:val="0"/>
      <w:marRight w:val="0"/>
      <w:marTop w:val="0"/>
      <w:marBottom w:val="0"/>
      <w:divBdr>
        <w:top w:val="none" w:sz="0" w:space="0" w:color="auto"/>
        <w:left w:val="none" w:sz="0" w:space="0" w:color="auto"/>
        <w:bottom w:val="none" w:sz="0" w:space="0" w:color="auto"/>
        <w:right w:val="none" w:sz="0" w:space="0" w:color="auto"/>
      </w:divBdr>
    </w:div>
    <w:div w:id="1560749834">
      <w:bodyDiv w:val="1"/>
      <w:marLeft w:val="0"/>
      <w:marRight w:val="0"/>
      <w:marTop w:val="0"/>
      <w:marBottom w:val="0"/>
      <w:divBdr>
        <w:top w:val="none" w:sz="0" w:space="0" w:color="auto"/>
        <w:left w:val="none" w:sz="0" w:space="0" w:color="auto"/>
        <w:bottom w:val="none" w:sz="0" w:space="0" w:color="auto"/>
        <w:right w:val="none" w:sz="0" w:space="0" w:color="auto"/>
      </w:divBdr>
    </w:div>
    <w:div w:id="1569532158">
      <w:bodyDiv w:val="1"/>
      <w:marLeft w:val="0"/>
      <w:marRight w:val="0"/>
      <w:marTop w:val="0"/>
      <w:marBottom w:val="0"/>
      <w:divBdr>
        <w:top w:val="none" w:sz="0" w:space="0" w:color="auto"/>
        <w:left w:val="none" w:sz="0" w:space="0" w:color="auto"/>
        <w:bottom w:val="none" w:sz="0" w:space="0" w:color="auto"/>
        <w:right w:val="none" w:sz="0" w:space="0" w:color="auto"/>
      </w:divBdr>
    </w:div>
    <w:div w:id="1570268949">
      <w:bodyDiv w:val="1"/>
      <w:marLeft w:val="0"/>
      <w:marRight w:val="0"/>
      <w:marTop w:val="0"/>
      <w:marBottom w:val="0"/>
      <w:divBdr>
        <w:top w:val="none" w:sz="0" w:space="0" w:color="auto"/>
        <w:left w:val="none" w:sz="0" w:space="0" w:color="auto"/>
        <w:bottom w:val="none" w:sz="0" w:space="0" w:color="auto"/>
        <w:right w:val="none" w:sz="0" w:space="0" w:color="auto"/>
      </w:divBdr>
    </w:div>
    <w:div w:id="1589386841">
      <w:bodyDiv w:val="1"/>
      <w:marLeft w:val="0"/>
      <w:marRight w:val="0"/>
      <w:marTop w:val="0"/>
      <w:marBottom w:val="0"/>
      <w:divBdr>
        <w:top w:val="none" w:sz="0" w:space="0" w:color="auto"/>
        <w:left w:val="none" w:sz="0" w:space="0" w:color="auto"/>
        <w:bottom w:val="none" w:sz="0" w:space="0" w:color="auto"/>
        <w:right w:val="none" w:sz="0" w:space="0" w:color="auto"/>
      </w:divBdr>
    </w:div>
    <w:div w:id="1593464627">
      <w:bodyDiv w:val="1"/>
      <w:marLeft w:val="0"/>
      <w:marRight w:val="0"/>
      <w:marTop w:val="0"/>
      <w:marBottom w:val="0"/>
      <w:divBdr>
        <w:top w:val="none" w:sz="0" w:space="0" w:color="auto"/>
        <w:left w:val="none" w:sz="0" w:space="0" w:color="auto"/>
        <w:bottom w:val="none" w:sz="0" w:space="0" w:color="auto"/>
        <w:right w:val="none" w:sz="0" w:space="0" w:color="auto"/>
      </w:divBdr>
    </w:div>
    <w:div w:id="1620530569">
      <w:bodyDiv w:val="1"/>
      <w:marLeft w:val="0"/>
      <w:marRight w:val="0"/>
      <w:marTop w:val="0"/>
      <w:marBottom w:val="0"/>
      <w:divBdr>
        <w:top w:val="none" w:sz="0" w:space="0" w:color="auto"/>
        <w:left w:val="none" w:sz="0" w:space="0" w:color="auto"/>
        <w:bottom w:val="none" w:sz="0" w:space="0" w:color="auto"/>
        <w:right w:val="none" w:sz="0" w:space="0" w:color="auto"/>
      </w:divBdr>
    </w:div>
    <w:div w:id="1621035226">
      <w:bodyDiv w:val="1"/>
      <w:marLeft w:val="0"/>
      <w:marRight w:val="0"/>
      <w:marTop w:val="0"/>
      <w:marBottom w:val="0"/>
      <w:divBdr>
        <w:top w:val="none" w:sz="0" w:space="0" w:color="auto"/>
        <w:left w:val="none" w:sz="0" w:space="0" w:color="auto"/>
        <w:bottom w:val="none" w:sz="0" w:space="0" w:color="auto"/>
        <w:right w:val="none" w:sz="0" w:space="0" w:color="auto"/>
      </w:divBdr>
    </w:div>
    <w:div w:id="1633750978">
      <w:bodyDiv w:val="1"/>
      <w:marLeft w:val="0"/>
      <w:marRight w:val="0"/>
      <w:marTop w:val="0"/>
      <w:marBottom w:val="0"/>
      <w:divBdr>
        <w:top w:val="none" w:sz="0" w:space="0" w:color="auto"/>
        <w:left w:val="none" w:sz="0" w:space="0" w:color="auto"/>
        <w:bottom w:val="none" w:sz="0" w:space="0" w:color="auto"/>
        <w:right w:val="none" w:sz="0" w:space="0" w:color="auto"/>
      </w:divBdr>
    </w:div>
    <w:div w:id="1638611562">
      <w:bodyDiv w:val="1"/>
      <w:marLeft w:val="0"/>
      <w:marRight w:val="0"/>
      <w:marTop w:val="0"/>
      <w:marBottom w:val="0"/>
      <w:divBdr>
        <w:top w:val="none" w:sz="0" w:space="0" w:color="auto"/>
        <w:left w:val="none" w:sz="0" w:space="0" w:color="auto"/>
        <w:bottom w:val="none" w:sz="0" w:space="0" w:color="auto"/>
        <w:right w:val="none" w:sz="0" w:space="0" w:color="auto"/>
      </w:divBdr>
    </w:div>
    <w:div w:id="1684939655">
      <w:bodyDiv w:val="1"/>
      <w:marLeft w:val="0"/>
      <w:marRight w:val="0"/>
      <w:marTop w:val="0"/>
      <w:marBottom w:val="0"/>
      <w:divBdr>
        <w:top w:val="none" w:sz="0" w:space="0" w:color="auto"/>
        <w:left w:val="none" w:sz="0" w:space="0" w:color="auto"/>
        <w:bottom w:val="none" w:sz="0" w:space="0" w:color="auto"/>
        <w:right w:val="none" w:sz="0" w:space="0" w:color="auto"/>
      </w:divBdr>
    </w:div>
    <w:div w:id="1687368459">
      <w:bodyDiv w:val="1"/>
      <w:marLeft w:val="0"/>
      <w:marRight w:val="0"/>
      <w:marTop w:val="0"/>
      <w:marBottom w:val="0"/>
      <w:divBdr>
        <w:top w:val="none" w:sz="0" w:space="0" w:color="auto"/>
        <w:left w:val="none" w:sz="0" w:space="0" w:color="auto"/>
        <w:bottom w:val="none" w:sz="0" w:space="0" w:color="auto"/>
        <w:right w:val="none" w:sz="0" w:space="0" w:color="auto"/>
      </w:divBdr>
    </w:div>
    <w:div w:id="1698701200">
      <w:bodyDiv w:val="1"/>
      <w:marLeft w:val="0"/>
      <w:marRight w:val="0"/>
      <w:marTop w:val="0"/>
      <w:marBottom w:val="0"/>
      <w:divBdr>
        <w:top w:val="none" w:sz="0" w:space="0" w:color="auto"/>
        <w:left w:val="none" w:sz="0" w:space="0" w:color="auto"/>
        <w:bottom w:val="none" w:sz="0" w:space="0" w:color="auto"/>
        <w:right w:val="none" w:sz="0" w:space="0" w:color="auto"/>
      </w:divBdr>
    </w:div>
    <w:div w:id="1700011009">
      <w:bodyDiv w:val="1"/>
      <w:marLeft w:val="0"/>
      <w:marRight w:val="0"/>
      <w:marTop w:val="0"/>
      <w:marBottom w:val="0"/>
      <w:divBdr>
        <w:top w:val="none" w:sz="0" w:space="0" w:color="auto"/>
        <w:left w:val="none" w:sz="0" w:space="0" w:color="auto"/>
        <w:bottom w:val="none" w:sz="0" w:space="0" w:color="auto"/>
        <w:right w:val="none" w:sz="0" w:space="0" w:color="auto"/>
      </w:divBdr>
    </w:div>
    <w:div w:id="1703822364">
      <w:bodyDiv w:val="1"/>
      <w:marLeft w:val="0"/>
      <w:marRight w:val="0"/>
      <w:marTop w:val="0"/>
      <w:marBottom w:val="0"/>
      <w:divBdr>
        <w:top w:val="none" w:sz="0" w:space="0" w:color="auto"/>
        <w:left w:val="none" w:sz="0" w:space="0" w:color="auto"/>
        <w:bottom w:val="none" w:sz="0" w:space="0" w:color="auto"/>
        <w:right w:val="none" w:sz="0" w:space="0" w:color="auto"/>
      </w:divBdr>
    </w:div>
    <w:div w:id="1707176620">
      <w:bodyDiv w:val="1"/>
      <w:marLeft w:val="0"/>
      <w:marRight w:val="0"/>
      <w:marTop w:val="0"/>
      <w:marBottom w:val="0"/>
      <w:divBdr>
        <w:top w:val="none" w:sz="0" w:space="0" w:color="auto"/>
        <w:left w:val="none" w:sz="0" w:space="0" w:color="auto"/>
        <w:bottom w:val="none" w:sz="0" w:space="0" w:color="auto"/>
        <w:right w:val="none" w:sz="0" w:space="0" w:color="auto"/>
      </w:divBdr>
    </w:div>
    <w:div w:id="1711878127">
      <w:bodyDiv w:val="1"/>
      <w:marLeft w:val="0"/>
      <w:marRight w:val="0"/>
      <w:marTop w:val="0"/>
      <w:marBottom w:val="0"/>
      <w:divBdr>
        <w:top w:val="none" w:sz="0" w:space="0" w:color="auto"/>
        <w:left w:val="none" w:sz="0" w:space="0" w:color="auto"/>
        <w:bottom w:val="none" w:sz="0" w:space="0" w:color="auto"/>
        <w:right w:val="none" w:sz="0" w:space="0" w:color="auto"/>
      </w:divBdr>
    </w:div>
    <w:div w:id="1715081764">
      <w:bodyDiv w:val="1"/>
      <w:marLeft w:val="0"/>
      <w:marRight w:val="0"/>
      <w:marTop w:val="0"/>
      <w:marBottom w:val="0"/>
      <w:divBdr>
        <w:top w:val="none" w:sz="0" w:space="0" w:color="auto"/>
        <w:left w:val="none" w:sz="0" w:space="0" w:color="auto"/>
        <w:bottom w:val="none" w:sz="0" w:space="0" w:color="auto"/>
        <w:right w:val="none" w:sz="0" w:space="0" w:color="auto"/>
      </w:divBdr>
    </w:div>
    <w:div w:id="1716738687">
      <w:bodyDiv w:val="1"/>
      <w:marLeft w:val="0"/>
      <w:marRight w:val="0"/>
      <w:marTop w:val="0"/>
      <w:marBottom w:val="0"/>
      <w:divBdr>
        <w:top w:val="none" w:sz="0" w:space="0" w:color="auto"/>
        <w:left w:val="none" w:sz="0" w:space="0" w:color="auto"/>
        <w:bottom w:val="none" w:sz="0" w:space="0" w:color="auto"/>
        <w:right w:val="none" w:sz="0" w:space="0" w:color="auto"/>
      </w:divBdr>
    </w:div>
    <w:div w:id="1722242166">
      <w:bodyDiv w:val="1"/>
      <w:marLeft w:val="0"/>
      <w:marRight w:val="0"/>
      <w:marTop w:val="0"/>
      <w:marBottom w:val="0"/>
      <w:divBdr>
        <w:top w:val="none" w:sz="0" w:space="0" w:color="auto"/>
        <w:left w:val="none" w:sz="0" w:space="0" w:color="auto"/>
        <w:bottom w:val="none" w:sz="0" w:space="0" w:color="auto"/>
        <w:right w:val="none" w:sz="0" w:space="0" w:color="auto"/>
      </w:divBdr>
    </w:div>
    <w:div w:id="1723138085">
      <w:bodyDiv w:val="1"/>
      <w:marLeft w:val="0"/>
      <w:marRight w:val="0"/>
      <w:marTop w:val="0"/>
      <w:marBottom w:val="0"/>
      <w:divBdr>
        <w:top w:val="none" w:sz="0" w:space="0" w:color="auto"/>
        <w:left w:val="none" w:sz="0" w:space="0" w:color="auto"/>
        <w:bottom w:val="none" w:sz="0" w:space="0" w:color="auto"/>
        <w:right w:val="none" w:sz="0" w:space="0" w:color="auto"/>
      </w:divBdr>
    </w:div>
    <w:div w:id="1723409796">
      <w:bodyDiv w:val="1"/>
      <w:marLeft w:val="0"/>
      <w:marRight w:val="0"/>
      <w:marTop w:val="0"/>
      <w:marBottom w:val="0"/>
      <w:divBdr>
        <w:top w:val="none" w:sz="0" w:space="0" w:color="auto"/>
        <w:left w:val="none" w:sz="0" w:space="0" w:color="auto"/>
        <w:bottom w:val="none" w:sz="0" w:space="0" w:color="auto"/>
        <w:right w:val="none" w:sz="0" w:space="0" w:color="auto"/>
      </w:divBdr>
    </w:div>
    <w:div w:id="1724014958">
      <w:bodyDiv w:val="1"/>
      <w:marLeft w:val="0"/>
      <w:marRight w:val="0"/>
      <w:marTop w:val="0"/>
      <w:marBottom w:val="0"/>
      <w:divBdr>
        <w:top w:val="none" w:sz="0" w:space="0" w:color="auto"/>
        <w:left w:val="none" w:sz="0" w:space="0" w:color="auto"/>
        <w:bottom w:val="none" w:sz="0" w:space="0" w:color="auto"/>
        <w:right w:val="none" w:sz="0" w:space="0" w:color="auto"/>
      </w:divBdr>
    </w:div>
    <w:div w:id="1744136980">
      <w:bodyDiv w:val="1"/>
      <w:marLeft w:val="0"/>
      <w:marRight w:val="0"/>
      <w:marTop w:val="0"/>
      <w:marBottom w:val="0"/>
      <w:divBdr>
        <w:top w:val="none" w:sz="0" w:space="0" w:color="auto"/>
        <w:left w:val="none" w:sz="0" w:space="0" w:color="auto"/>
        <w:bottom w:val="none" w:sz="0" w:space="0" w:color="auto"/>
        <w:right w:val="none" w:sz="0" w:space="0" w:color="auto"/>
      </w:divBdr>
    </w:div>
    <w:div w:id="1766459950">
      <w:bodyDiv w:val="1"/>
      <w:marLeft w:val="0"/>
      <w:marRight w:val="0"/>
      <w:marTop w:val="0"/>
      <w:marBottom w:val="0"/>
      <w:divBdr>
        <w:top w:val="none" w:sz="0" w:space="0" w:color="auto"/>
        <w:left w:val="none" w:sz="0" w:space="0" w:color="auto"/>
        <w:bottom w:val="none" w:sz="0" w:space="0" w:color="auto"/>
        <w:right w:val="none" w:sz="0" w:space="0" w:color="auto"/>
      </w:divBdr>
    </w:div>
    <w:div w:id="1770005696">
      <w:bodyDiv w:val="1"/>
      <w:marLeft w:val="0"/>
      <w:marRight w:val="0"/>
      <w:marTop w:val="0"/>
      <w:marBottom w:val="0"/>
      <w:divBdr>
        <w:top w:val="none" w:sz="0" w:space="0" w:color="auto"/>
        <w:left w:val="none" w:sz="0" w:space="0" w:color="auto"/>
        <w:bottom w:val="none" w:sz="0" w:space="0" w:color="auto"/>
        <w:right w:val="none" w:sz="0" w:space="0" w:color="auto"/>
      </w:divBdr>
    </w:div>
    <w:div w:id="1770276584">
      <w:bodyDiv w:val="1"/>
      <w:marLeft w:val="0"/>
      <w:marRight w:val="0"/>
      <w:marTop w:val="0"/>
      <w:marBottom w:val="0"/>
      <w:divBdr>
        <w:top w:val="none" w:sz="0" w:space="0" w:color="auto"/>
        <w:left w:val="none" w:sz="0" w:space="0" w:color="auto"/>
        <w:bottom w:val="none" w:sz="0" w:space="0" w:color="auto"/>
        <w:right w:val="none" w:sz="0" w:space="0" w:color="auto"/>
      </w:divBdr>
    </w:div>
    <w:div w:id="1800609484">
      <w:bodyDiv w:val="1"/>
      <w:marLeft w:val="0"/>
      <w:marRight w:val="0"/>
      <w:marTop w:val="0"/>
      <w:marBottom w:val="0"/>
      <w:divBdr>
        <w:top w:val="none" w:sz="0" w:space="0" w:color="auto"/>
        <w:left w:val="none" w:sz="0" w:space="0" w:color="auto"/>
        <w:bottom w:val="none" w:sz="0" w:space="0" w:color="auto"/>
        <w:right w:val="none" w:sz="0" w:space="0" w:color="auto"/>
      </w:divBdr>
    </w:div>
    <w:div w:id="1805660706">
      <w:bodyDiv w:val="1"/>
      <w:marLeft w:val="0"/>
      <w:marRight w:val="0"/>
      <w:marTop w:val="0"/>
      <w:marBottom w:val="0"/>
      <w:divBdr>
        <w:top w:val="none" w:sz="0" w:space="0" w:color="auto"/>
        <w:left w:val="none" w:sz="0" w:space="0" w:color="auto"/>
        <w:bottom w:val="none" w:sz="0" w:space="0" w:color="auto"/>
        <w:right w:val="none" w:sz="0" w:space="0" w:color="auto"/>
      </w:divBdr>
    </w:div>
    <w:div w:id="1808468539">
      <w:bodyDiv w:val="1"/>
      <w:marLeft w:val="0"/>
      <w:marRight w:val="0"/>
      <w:marTop w:val="0"/>
      <w:marBottom w:val="0"/>
      <w:divBdr>
        <w:top w:val="none" w:sz="0" w:space="0" w:color="auto"/>
        <w:left w:val="none" w:sz="0" w:space="0" w:color="auto"/>
        <w:bottom w:val="none" w:sz="0" w:space="0" w:color="auto"/>
        <w:right w:val="none" w:sz="0" w:space="0" w:color="auto"/>
      </w:divBdr>
    </w:div>
    <w:div w:id="1810511384">
      <w:bodyDiv w:val="1"/>
      <w:marLeft w:val="0"/>
      <w:marRight w:val="0"/>
      <w:marTop w:val="0"/>
      <w:marBottom w:val="0"/>
      <w:divBdr>
        <w:top w:val="none" w:sz="0" w:space="0" w:color="auto"/>
        <w:left w:val="none" w:sz="0" w:space="0" w:color="auto"/>
        <w:bottom w:val="none" w:sz="0" w:space="0" w:color="auto"/>
        <w:right w:val="none" w:sz="0" w:space="0" w:color="auto"/>
      </w:divBdr>
    </w:div>
    <w:div w:id="1810857743">
      <w:bodyDiv w:val="1"/>
      <w:marLeft w:val="0"/>
      <w:marRight w:val="0"/>
      <w:marTop w:val="0"/>
      <w:marBottom w:val="0"/>
      <w:divBdr>
        <w:top w:val="none" w:sz="0" w:space="0" w:color="auto"/>
        <w:left w:val="none" w:sz="0" w:space="0" w:color="auto"/>
        <w:bottom w:val="none" w:sz="0" w:space="0" w:color="auto"/>
        <w:right w:val="none" w:sz="0" w:space="0" w:color="auto"/>
      </w:divBdr>
    </w:div>
    <w:div w:id="1821842414">
      <w:bodyDiv w:val="1"/>
      <w:marLeft w:val="0"/>
      <w:marRight w:val="0"/>
      <w:marTop w:val="0"/>
      <w:marBottom w:val="0"/>
      <w:divBdr>
        <w:top w:val="none" w:sz="0" w:space="0" w:color="auto"/>
        <w:left w:val="none" w:sz="0" w:space="0" w:color="auto"/>
        <w:bottom w:val="none" w:sz="0" w:space="0" w:color="auto"/>
        <w:right w:val="none" w:sz="0" w:space="0" w:color="auto"/>
      </w:divBdr>
    </w:div>
    <w:div w:id="1821992755">
      <w:bodyDiv w:val="1"/>
      <w:marLeft w:val="0"/>
      <w:marRight w:val="0"/>
      <w:marTop w:val="0"/>
      <w:marBottom w:val="0"/>
      <w:divBdr>
        <w:top w:val="none" w:sz="0" w:space="0" w:color="auto"/>
        <w:left w:val="none" w:sz="0" w:space="0" w:color="auto"/>
        <w:bottom w:val="none" w:sz="0" w:space="0" w:color="auto"/>
        <w:right w:val="none" w:sz="0" w:space="0" w:color="auto"/>
      </w:divBdr>
    </w:div>
    <w:div w:id="1822647775">
      <w:bodyDiv w:val="1"/>
      <w:marLeft w:val="0"/>
      <w:marRight w:val="0"/>
      <w:marTop w:val="0"/>
      <w:marBottom w:val="0"/>
      <w:divBdr>
        <w:top w:val="none" w:sz="0" w:space="0" w:color="auto"/>
        <w:left w:val="none" w:sz="0" w:space="0" w:color="auto"/>
        <w:bottom w:val="none" w:sz="0" w:space="0" w:color="auto"/>
        <w:right w:val="none" w:sz="0" w:space="0" w:color="auto"/>
      </w:divBdr>
    </w:div>
    <w:div w:id="1825780909">
      <w:bodyDiv w:val="1"/>
      <w:marLeft w:val="0"/>
      <w:marRight w:val="0"/>
      <w:marTop w:val="0"/>
      <w:marBottom w:val="0"/>
      <w:divBdr>
        <w:top w:val="none" w:sz="0" w:space="0" w:color="auto"/>
        <w:left w:val="none" w:sz="0" w:space="0" w:color="auto"/>
        <w:bottom w:val="none" w:sz="0" w:space="0" w:color="auto"/>
        <w:right w:val="none" w:sz="0" w:space="0" w:color="auto"/>
      </w:divBdr>
    </w:div>
    <w:div w:id="1827159709">
      <w:bodyDiv w:val="1"/>
      <w:marLeft w:val="0"/>
      <w:marRight w:val="0"/>
      <w:marTop w:val="0"/>
      <w:marBottom w:val="0"/>
      <w:divBdr>
        <w:top w:val="none" w:sz="0" w:space="0" w:color="auto"/>
        <w:left w:val="none" w:sz="0" w:space="0" w:color="auto"/>
        <w:bottom w:val="none" w:sz="0" w:space="0" w:color="auto"/>
        <w:right w:val="none" w:sz="0" w:space="0" w:color="auto"/>
      </w:divBdr>
    </w:div>
    <w:div w:id="1835759118">
      <w:bodyDiv w:val="1"/>
      <w:marLeft w:val="0"/>
      <w:marRight w:val="0"/>
      <w:marTop w:val="0"/>
      <w:marBottom w:val="0"/>
      <w:divBdr>
        <w:top w:val="none" w:sz="0" w:space="0" w:color="auto"/>
        <w:left w:val="none" w:sz="0" w:space="0" w:color="auto"/>
        <w:bottom w:val="none" w:sz="0" w:space="0" w:color="auto"/>
        <w:right w:val="none" w:sz="0" w:space="0" w:color="auto"/>
      </w:divBdr>
    </w:div>
    <w:div w:id="1841506391">
      <w:bodyDiv w:val="1"/>
      <w:marLeft w:val="0"/>
      <w:marRight w:val="0"/>
      <w:marTop w:val="0"/>
      <w:marBottom w:val="0"/>
      <w:divBdr>
        <w:top w:val="none" w:sz="0" w:space="0" w:color="auto"/>
        <w:left w:val="none" w:sz="0" w:space="0" w:color="auto"/>
        <w:bottom w:val="none" w:sz="0" w:space="0" w:color="auto"/>
        <w:right w:val="none" w:sz="0" w:space="0" w:color="auto"/>
      </w:divBdr>
    </w:div>
    <w:div w:id="1850370832">
      <w:bodyDiv w:val="1"/>
      <w:marLeft w:val="0"/>
      <w:marRight w:val="0"/>
      <w:marTop w:val="0"/>
      <w:marBottom w:val="0"/>
      <w:divBdr>
        <w:top w:val="none" w:sz="0" w:space="0" w:color="auto"/>
        <w:left w:val="none" w:sz="0" w:space="0" w:color="auto"/>
        <w:bottom w:val="none" w:sz="0" w:space="0" w:color="auto"/>
        <w:right w:val="none" w:sz="0" w:space="0" w:color="auto"/>
      </w:divBdr>
    </w:div>
    <w:div w:id="1851944887">
      <w:bodyDiv w:val="1"/>
      <w:marLeft w:val="0"/>
      <w:marRight w:val="0"/>
      <w:marTop w:val="0"/>
      <w:marBottom w:val="0"/>
      <w:divBdr>
        <w:top w:val="none" w:sz="0" w:space="0" w:color="auto"/>
        <w:left w:val="none" w:sz="0" w:space="0" w:color="auto"/>
        <w:bottom w:val="none" w:sz="0" w:space="0" w:color="auto"/>
        <w:right w:val="none" w:sz="0" w:space="0" w:color="auto"/>
      </w:divBdr>
    </w:div>
    <w:div w:id="1855611983">
      <w:bodyDiv w:val="1"/>
      <w:marLeft w:val="0"/>
      <w:marRight w:val="0"/>
      <w:marTop w:val="0"/>
      <w:marBottom w:val="0"/>
      <w:divBdr>
        <w:top w:val="none" w:sz="0" w:space="0" w:color="auto"/>
        <w:left w:val="none" w:sz="0" w:space="0" w:color="auto"/>
        <w:bottom w:val="none" w:sz="0" w:space="0" w:color="auto"/>
        <w:right w:val="none" w:sz="0" w:space="0" w:color="auto"/>
      </w:divBdr>
    </w:div>
    <w:div w:id="1871263189">
      <w:bodyDiv w:val="1"/>
      <w:marLeft w:val="0"/>
      <w:marRight w:val="0"/>
      <w:marTop w:val="0"/>
      <w:marBottom w:val="0"/>
      <w:divBdr>
        <w:top w:val="none" w:sz="0" w:space="0" w:color="auto"/>
        <w:left w:val="none" w:sz="0" w:space="0" w:color="auto"/>
        <w:bottom w:val="none" w:sz="0" w:space="0" w:color="auto"/>
        <w:right w:val="none" w:sz="0" w:space="0" w:color="auto"/>
      </w:divBdr>
    </w:div>
    <w:div w:id="1892573126">
      <w:bodyDiv w:val="1"/>
      <w:marLeft w:val="0"/>
      <w:marRight w:val="0"/>
      <w:marTop w:val="0"/>
      <w:marBottom w:val="0"/>
      <w:divBdr>
        <w:top w:val="none" w:sz="0" w:space="0" w:color="auto"/>
        <w:left w:val="none" w:sz="0" w:space="0" w:color="auto"/>
        <w:bottom w:val="none" w:sz="0" w:space="0" w:color="auto"/>
        <w:right w:val="none" w:sz="0" w:space="0" w:color="auto"/>
      </w:divBdr>
    </w:div>
    <w:div w:id="1907688325">
      <w:bodyDiv w:val="1"/>
      <w:marLeft w:val="0"/>
      <w:marRight w:val="0"/>
      <w:marTop w:val="0"/>
      <w:marBottom w:val="0"/>
      <w:divBdr>
        <w:top w:val="none" w:sz="0" w:space="0" w:color="auto"/>
        <w:left w:val="none" w:sz="0" w:space="0" w:color="auto"/>
        <w:bottom w:val="none" w:sz="0" w:space="0" w:color="auto"/>
        <w:right w:val="none" w:sz="0" w:space="0" w:color="auto"/>
      </w:divBdr>
    </w:div>
    <w:div w:id="1909460200">
      <w:bodyDiv w:val="1"/>
      <w:marLeft w:val="0"/>
      <w:marRight w:val="0"/>
      <w:marTop w:val="0"/>
      <w:marBottom w:val="0"/>
      <w:divBdr>
        <w:top w:val="none" w:sz="0" w:space="0" w:color="auto"/>
        <w:left w:val="none" w:sz="0" w:space="0" w:color="auto"/>
        <w:bottom w:val="none" w:sz="0" w:space="0" w:color="auto"/>
        <w:right w:val="none" w:sz="0" w:space="0" w:color="auto"/>
      </w:divBdr>
    </w:div>
    <w:div w:id="1909461490">
      <w:bodyDiv w:val="1"/>
      <w:marLeft w:val="0"/>
      <w:marRight w:val="0"/>
      <w:marTop w:val="0"/>
      <w:marBottom w:val="0"/>
      <w:divBdr>
        <w:top w:val="none" w:sz="0" w:space="0" w:color="auto"/>
        <w:left w:val="none" w:sz="0" w:space="0" w:color="auto"/>
        <w:bottom w:val="none" w:sz="0" w:space="0" w:color="auto"/>
        <w:right w:val="none" w:sz="0" w:space="0" w:color="auto"/>
      </w:divBdr>
    </w:div>
    <w:div w:id="1917205975">
      <w:bodyDiv w:val="1"/>
      <w:marLeft w:val="0"/>
      <w:marRight w:val="0"/>
      <w:marTop w:val="0"/>
      <w:marBottom w:val="0"/>
      <w:divBdr>
        <w:top w:val="none" w:sz="0" w:space="0" w:color="auto"/>
        <w:left w:val="none" w:sz="0" w:space="0" w:color="auto"/>
        <w:bottom w:val="none" w:sz="0" w:space="0" w:color="auto"/>
        <w:right w:val="none" w:sz="0" w:space="0" w:color="auto"/>
      </w:divBdr>
    </w:div>
    <w:div w:id="1925646461">
      <w:bodyDiv w:val="1"/>
      <w:marLeft w:val="0"/>
      <w:marRight w:val="0"/>
      <w:marTop w:val="0"/>
      <w:marBottom w:val="0"/>
      <w:divBdr>
        <w:top w:val="none" w:sz="0" w:space="0" w:color="auto"/>
        <w:left w:val="none" w:sz="0" w:space="0" w:color="auto"/>
        <w:bottom w:val="none" w:sz="0" w:space="0" w:color="auto"/>
        <w:right w:val="none" w:sz="0" w:space="0" w:color="auto"/>
      </w:divBdr>
    </w:div>
    <w:div w:id="1961836667">
      <w:bodyDiv w:val="1"/>
      <w:marLeft w:val="0"/>
      <w:marRight w:val="0"/>
      <w:marTop w:val="0"/>
      <w:marBottom w:val="0"/>
      <w:divBdr>
        <w:top w:val="none" w:sz="0" w:space="0" w:color="auto"/>
        <w:left w:val="none" w:sz="0" w:space="0" w:color="auto"/>
        <w:bottom w:val="none" w:sz="0" w:space="0" w:color="auto"/>
        <w:right w:val="none" w:sz="0" w:space="0" w:color="auto"/>
      </w:divBdr>
    </w:div>
    <w:div w:id="1962958272">
      <w:bodyDiv w:val="1"/>
      <w:marLeft w:val="0"/>
      <w:marRight w:val="0"/>
      <w:marTop w:val="0"/>
      <w:marBottom w:val="0"/>
      <w:divBdr>
        <w:top w:val="none" w:sz="0" w:space="0" w:color="auto"/>
        <w:left w:val="none" w:sz="0" w:space="0" w:color="auto"/>
        <w:bottom w:val="none" w:sz="0" w:space="0" w:color="auto"/>
        <w:right w:val="none" w:sz="0" w:space="0" w:color="auto"/>
      </w:divBdr>
    </w:div>
    <w:div w:id="1970745577">
      <w:bodyDiv w:val="1"/>
      <w:marLeft w:val="0"/>
      <w:marRight w:val="0"/>
      <w:marTop w:val="0"/>
      <w:marBottom w:val="0"/>
      <w:divBdr>
        <w:top w:val="none" w:sz="0" w:space="0" w:color="auto"/>
        <w:left w:val="none" w:sz="0" w:space="0" w:color="auto"/>
        <w:bottom w:val="none" w:sz="0" w:space="0" w:color="auto"/>
        <w:right w:val="none" w:sz="0" w:space="0" w:color="auto"/>
      </w:divBdr>
    </w:div>
    <w:div w:id="1981496701">
      <w:bodyDiv w:val="1"/>
      <w:marLeft w:val="0"/>
      <w:marRight w:val="0"/>
      <w:marTop w:val="0"/>
      <w:marBottom w:val="0"/>
      <w:divBdr>
        <w:top w:val="none" w:sz="0" w:space="0" w:color="auto"/>
        <w:left w:val="none" w:sz="0" w:space="0" w:color="auto"/>
        <w:bottom w:val="none" w:sz="0" w:space="0" w:color="auto"/>
        <w:right w:val="none" w:sz="0" w:space="0" w:color="auto"/>
      </w:divBdr>
    </w:div>
    <w:div w:id="1998723864">
      <w:bodyDiv w:val="1"/>
      <w:marLeft w:val="0"/>
      <w:marRight w:val="0"/>
      <w:marTop w:val="0"/>
      <w:marBottom w:val="0"/>
      <w:divBdr>
        <w:top w:val="none" w:sz="0" w:space="0" w:color="auto"/>
        <w:left w:val="none" w:sz="0" w:space="0" w:color="auto"/>
        <w:bottom w:val="none" w:sz="0" w:space="0" w:color="auto"/>
        <w:right w:val="none" w:sz="0" w:space="0" w:color="auto"/>
      </w:divBdr>
    </w:div>
    <w:div w:id="2008167842">
      <w:bodyDiv w:val="1"/>
      <w:marLeft w:val="0"/>
      <w:marRight w:val="0"/>
      <w:marTop w:val="0"/>
      <w:marBottom w:val="0"/>
      <w:divBdr>
        <w:top w:val="none" w:sz="0" w:space="0" w:color="auto"/>
        <w:left w:val="none" w:sz="0" w:space="0" w:color="auto"/>
        <w:bottom w:val="none" w:sz="0" w:space="0" w:color="auto"/>
        <w:right w:val="none" w:sz="0" w:space="0" w:color="auto"/>
      </w:divBdr>
    </w:div>
    <w:div w:id="2010061201">
      <w:bodyDiv w:val="1"/>
      <w:marLeft w:val="0"/>
      <w:marRight w:val="0"/>
      <w:marTop w:val="0"/>
      <w:marBottom w:val="0"/>
      <w:divBdr>
        <w:top w:val="none" w:sz="0" w:space="0" w:color="auto"/>
        <w:left w:val="none" w:sz="0" w:space="0" w:color="auto"/>
        <w:bottom w:val="none" w:sz="0" w:space="0" w:color="auto"/>
        <w:right w:val="none" w:sz="0" w:space="0" w:color="auto"/>
      </w:divBdr>
    </w:div>
    <w:div w:id="2013291519">
      <w:bodyDiv w:val="1"/>
      <w:marLeft w:val="0"/>
      <w:marRight w:val="0"/>
      <w:marTop w:val="0"/>
      <w:marBottom w:val="0"/>
      <w:divBdr>
        <w:top w:val="none" w:sz="0" w:space="0" w:color="auto"/>
        <w:left w:val="none" w:sz="0" w:space="0" w:color="auto"/>
        <w:bottom w:val="none" w:sz="0" w:space="0" w:color="auto"/>
        <w:right w:val="none" w:sz="0" w:space="0" w:color="auto"/>
      </w:divBdr>
    </w:div>
    <w:div w:id="2024552705">
      <w:bodyDiv w:val="1"/>
      <w:marLeft w:val="0"/>
      <w:marRight w:val="0"/>
      <w:marTop w:val="0"/>
      <w:marBottom w:val="0"/>
      <w:divBdr>
        <w:top w:val="none" w:sz="0" w:space="0" w:color="auto"/>
        <w:left w:val="none" w:sz="0" w:space="0" w:color="auto"/>
        <w:bottom w:val="none" w:sz="0" w:space="0" w:color="auto"/>
        <w:right w:val="none" w:sz="0" w:space="0" w:color="auto"/>
      </w:divBdr>
    </w:div>
    <w:div w:id="2030720738">
      <w:bodyDiv w:val="1"/>
      <w:marLeft w:val="0"/>
      <w:marRight w:val="0"/>
      <w:marTop w:val="0"/>
      <w:marBottom w:val="0"/>
      <w:divBdr>
        <w:top w:val="none" w:sz="0" w:space="0" w:color="auto"/>
        <w:left w:val="none" w:sz="0" w:space="0" w:color="auto"/>
        <w:bottom w:val="none" w:sz="0" w:space="0" w:color="auto"/>
        <w:right w:val="none" w:sz="0" w:space="0" w:color="auto"/>
      </w:divBdr>
    </w:div>
    <w:div w:id="2040543850">
      <w:bodyDiv w:val="1"/>
      <w:marLeft w:val="0"/>
      <w:marRight w:val="0"/>
      <w:marTop w:val="0"/>
      <w:marBottom w:val="0"/>
      <w:divBdr>
        <w:top w:val="none" w:sz="0" w:space="0" w:color="auto"/>
        <w:left w:val="none" w:sz="0" w:space="0" w:color="auto"/>
        <w:bottom w:val="none" w:sz="0" w:space="0" w:color="auto"/>
        <w:right w:val="none" w:sz="0" w:space="0" w:color="auto"/>
      </w:divBdr>
    </w:div>
    <w:div w:id="2058158099">
      <w:bodyDiv w:val="1"/>
      <w:marLeft w:val="0"/>
      <w:marRight w:val="0"/>
      <w:marTop w:val="0"/>
      <w:marBottom w:val="0"/>
      <w:divBdr>
        <w:top w:val="none" w:sz="0" w:space="0" w:color="auto"/>
        <w:left w:val="none" w:sz="0" w:space="0" w:color="auto"/>
        <w:bottom w:val="none" w:sz="0" w:space="0" w:color="auto"/>
        <w:right w:val="none" w:sz="0" w:space="0" w:color="auto"/>
      </w:divBdr>
    </w:div>
    <w:div w:id="2059233571">
      <w:bodyDiv w:val="1"/>
      <w:marLeft w:val="0"/>
      <w:marRight w:val="0"/>
      <w:marTop w:val="0"/>
      <w:marBottom w:val="0"/>
      <w:divBdr>
        <w:top w:val="none" w:sz="0" w:space="0" w:color="auto"/>
        <w:left w:val="none" w:sz="0" w:space="0" w:color="auto"/>
        <w:bottom w:val="none" w:sz="0" w:space="0" w:color="auto"/>
        <w:right w:val="none" w:sz="0" w:space="0" w:color="auto"/>
      </w:divBdr>
    </w:div>
    <w:div w:id="2065325498">
      <w:bodyDiv w:val="1"/>
      <w:marLeft w:val="0"/>
      <w:marRight w:val="0"/>
      <w:marTop w:val="0"/>
      <w:marBottom w:val="0"/>
      <w:divBdr>
        <w:top w:val="none" w:sz="0" w:space="0" w:color="auto"/>
        <w:left w:val="none" w:sz="0" w:space="0" w:color="auto"/>
        <w:bottom w:val="none" w:sz="0" w:space="0" w:color="auto"/>
        <w:right w:val="none" w:sz="0" w:space="0" w:color="auto"/>
      </w:divBdr>
    </w:div>
    <w:div w:id="2066904767">
      <w:bodyDiv w:val="1"/>
      <w:marLeft w:val="0"/>
      <w:marRight w:val="0"/>
      <w:marTop w:val="0"/>
      <w:marBottom w:val="0"/>
      <w:divBdr>
        <w:top w:val="none" w:sz="0" w:space="0" w:color="auto"/>
        <w:left w:val="none" w:sz="0" w:space="0" w:color="auto"/>
        <w:bottom w:val="none" w:sz="0" w:space="0" w:color="auto"/>
        <w:right w:val="none" w:sz="0" w:space="0" w:color="auto"/>
      </w:divBdr>
    </w:div>
    <w:div w:id="2072461097">
      <w:bodyDiv w:val="1"/>
      <w:marLeft w:val="0"/>
      <w:marRight w:val="0"/>
      <w:marTop w:val="0"/>
      <w:marBottom w:val="0"/>
      <w:divBdr>
        <w:top w:val="none" w:sz="0" w:space="0" w:color="auto"/>
        <w:left w:val="none" w:sz="0" w:space="0" w:color="auto"/>
        <w:bottom w:val="none" w:sz="0" w:space="0" w:color="auto"/>
        <w:right w:val="none" w:sz="0" w:space="0" w:color="auto"/>
      </w:divBdr>
    </w:div>
    <w:div w:id="2075928150">
      <w:bodyDiv w:val="1"/>
      <w:marLeft w:val="0"/>
      <w:marRight w:val="0"/>
      <w:marTop w:val="0"/>
      <w:marBottom w:val="0"/>
      <w:divBdr>
        <w:top w:val="none" w:sz="0" w:space="0" w:color="auto"/>
        <w:left w:val="none" w:sz="0" w:space="0" w:color="auto"/>
        <w:bottom w:val="none" w:sz="0" w:space="0" w:color="auto"/>
        <w:right w:val="none" w:sz="0" w:space="0" w:color="auto"/>
      </w:divBdr>
    </w:div>
    <w:div w:id="2076972576">
      <w:bodyDiv w:val="1"/>
      <w:marLeft w:val="0"/>
      <w:marRight w:val="0"/>
      <w:marTop w:val="0"/>
      <w:marBottom w:val="0"/>
      <w:divBdr>
        <w:top w:val="none" w:sz="0" w:space="0" w:color="auto"/>
        <w:left w:val="none" w:sz="0" w:space="0" w:color="auto"/>
        <w:bottom w:val="none" w:sz="0" w:space="0" w:color="auto"/>
        <w:right w:val="none" w:sz="0" w:space="0" w:color="auto"/>
      </w:divBdr>
    </w:div>
    <w:div w:id="2077045686">
      <w:bodyDiv w:val="1"/>
      <w:marLeft w:val="0"/>
      <w:marRight w:val="0"/>
      <w:marTop w:val="0"/>
      <w:marBottom w:val="0"/>
      <w:divBdr>
        <w:top w:val="none" w:sz="0" w:space="0" w:color="auto"/>
        <w:left w:val="none" w:sz="0" w:space="0" w:color="auto"/>
        <w:bottom w:val="none" w:sz="0" w:space="0" w:color="auto"/>
        <w:right w:val="none" w:sz="0" w:space="0" w:color="auto"/>
      </w:divBdr>
    </w:div>
    <w:div w:id="2077126842">
      <w:bodyDiv w:val="1"/>
      <w:marLeft w:val="0"/>
      <w:marRight w:val="0"/>
      <w:marTop w:val="0"/>
      <w:marBottom w:val="0"/>
      <w:divBdr>
        <w:top w:val="none" w:sz="0" w:space="0" w:color="auto"/>
        <w:left w:val="none" w:sz="0" w:space="0" w:color="auto"/>
        <w:bottom w:val="none" w:sz="0" w:space="0" w:color="auto"/>
        <w:right w:val="none" w:sz="0" w:space="0" w:color="auto"/>
      </w:divBdr>
    </w:div>
    <w:div w:id="2077900445">
      <w:bodyDiv w:val="1"/>
      <w:marLeft w:val="0"/>
      <w:marRight w:val="0"/>
      <w:marTop w:val="0"/>
      <w:marBottom w:val="0"/>
      <w:divBdr>
        <w:top w:val="none" w:sz="0" w:space="0" w:color="auto"/>
        <w:left w:val="none" w:sz="0" w:space="0" w:color="auto"/>
        <w:bottom w:val="none" w:sz="0" w:space="0" w:color="auto"/>
        <w:right w:val="none" w:sz="0" w:space="0" w:color="auto"/>
      </w:divBdr>
    </w:div>
    <w:div w:id="2097438154">
      <w:bodyDiv w:val="1"/>
      <w:marLeft w:val="0"/>
      <w:marRight w:val="0"/>
      <w:marTop w:val="0"/>
      <w:marBottom w:val="0"/>
      <w:divBdr>
        <w:top w:val="none" w:sz="0" w:space="0" w:color="auto"/>
        <w:left w:val="none" w:sz="0" w:space="0" w:color="auto"/>
        <w:bottom w:val="none" w:sz="0" w:space="0" w:color="auto"/>
        <w:right w:val="none" w:sz="0" w:space="0" w:color="auto"/>
      </w:divBdr>
    </w:div>
    <w:div w:id="2098019274">
      <w:bodyDiv w:val="1"/>
      <w:marLeft w:val="0"/>
      <w:marRight w:val="0"/>
      <w:marTop w:val="0"/>
      <w:marBottom w:val="0"/>
      <w:divBdr>
        <w:top w:val="none" w:sz="0" w:space="0" w:color="auto"/>
        <w:left w:val="none" w:sz="0" w:space="0" w:color="auto"/>
        <w:bottom w:val="none" w:sz="0" w:space="0" w:color="auto"/>
        <w:right w:val="none" w:sz="0" w:space="0" w:color="auto"/>
      </w:divBdr>
    </w:div>
    <w:div w:id="2101488903">
      <w:bodyDiv w:val="1"/>
      <w:marLeft w:val="0"/>
      <w:marRight w:val="0"/>
      <w:marTop w:val="0"/>
      <w:marBottom w:val="0"/>
      <w:divBdr>
        <w:top w:val="none" w:sz="0" w:space="0" w:color="auto"/>
        <w:left w:val="none" w:sz="0" w:space="0" w:color="auto"/>
        <w:bottom w:val="none" w:sz="0" w:space="0" w:color="auto"/>
        <w:right w:val="none" w:sz="0" w:space="0" w:color="auto"/>
      </w:divBdr>
    </w:div>
    <w:div w:id="2104257205">
      <w:bodyDiv w:val="1"/>
      <w:marLeft w:val="0"/>
      <w:marRight w:val="0"/>
      <w:marTop w:val="0"/>
      <w:marBottom w:val="0"/>
      <w:divBdr>
        <w:top w:val="none" w:sz="0" w:space="0" w:color="auto"/>
        <w:left w:val="none" w:sz="0" w:space="0" w:color="auto"/>
        <w:bottom w:val="none" w:sz="0" w:space="0" w:color="auto"/>
        <w:right w:val="none" w:sz="0" w:space="0" w:color="auto"/>
      </w:divBdr>
    </w:div>
    <w:div w:id="2105615536">
      <w:bodyDiv w:val="1"/>
      <w:marLeft w:val="0"/>
      <w:marRight w:val="0"/>
      <w:marTop w:val="0"/>
      <w:marBottom w:val="0"/>
      <w:divBdr>
        <w:top w:val="none" w:sz="0" w:space="0" w:color="auto"/>
        <w:left w:val="none" w:sz="0" w:space="0" w:color="auto"/>
        <w:bottom w:val="none" w:sz="0" w:space="0" w:color="auto"/>
        <w:right w:val="none" w:sz="0" w:space="0" w:color="auto"/>
      </w:divBdr>
    </w:div>
    <w:div w:id="2113699796">
      <w:bodyDiv w:val="1"/>
      <w:marLeft w:val="0"/>
      <w:marRight w:val="0"/>
      <w:marTop w:val="0"/>
      <w:marBottom w:val="0"/>
      <w:divBdr>
        <w:top w:val="none" w:sz="0" w:space="0" w:color="auto"/>
        <w:left w:val="none" w:sz="0" w:space="0" w:color="auto"/>
        <w:bottom w:val="none" w:sz="0" w:space="0" w:color="auto"/>
        <w:right w:val="none" w:sz="0" w:space="0" w:color="auto"/>
      </w:divBdr>
    </w:div>
    <w:div w:id="2117407086">
      <w:bodyDiv w:val="1"/>
      <w:marLeft w:val="0"/>
      <w:marRight w:val="0"/>
      <w:marTop w:val="0"/>
      <w:marBottom w:val="0"/>
      <w:divBdr>
        <w:top w:val="none" w:sz="0" w:space="0" w:color="auto"/>
        <w:left w:val="none" w:sz="0" w:space="0" w:color="auto"/>
        <w:bottom w:val="none" w:sz="0" w:space="0" w:color="auto"/>
        <w:right w:val="none" w:sz="0" w:space="0" w:color="auto"/>
      </w:divBdr>
    </w:div>
    <w:div w:id="2120684841">
      <w:bodyDiv w:val="1"/>
      <w:marLeft w:val="0"/>
      <w:marRight w:val="0"/>
      <w:marTop w:val="0"/>
      <w:marBottom w:val="0"/>
      <w:divBdr>
        <w:top w:val="none" w:sz="0" w:space="0" w:color="auto"/>
        <w:left w:val="none" w:sz="0" w:space="0" w:color="auto"/>
        <w:bottom w:val="none" w:sz="0" w:space="0" w:color="auto"/>
        <w:right w:val="none" w:sz="0" w:space="0" w:color="auto"/>
      </w:divBdr>
    </w:div>
    <w:div w:id="2125730145">
      <w:bodyDiv w:val="1"/>
      <w:marLeft w:val="0"/>
      <w:marRight w:val="0"/>
      <w:marTop w:val="0"/>
      <w:marBottom w:val="0"/>
      <w:divBdr>
        <w:top w:val="none" w:sz="0" w:space="0" w:color="auto"/>
        <w:left w:val="none" w:sz="0" w:space="0" w:color="auto"/>
        <w:bottom w:val="none" w:sz="0" w:space="0" w:color="auto"/>
        <w:right w:val="none" w:sz="0" w:space="0" w:color="auto"/>
      </w:divBdr>
    </w:div>
    <w:div w:id="2126655192">
      <w:bodyDiv w:val="1"/>
      <w:marLeft w:val="0"/>
      <w:marRight w:val="0"/>
      <w:marTop w:val="0"/>
      <w:marBottom w:val="0"/>
      <w:divBdr>
        <w:top w:val="none" w:sz="0" w:space="0" w:color="auto"/>
        <w:left w:val="none" w:sz="0" w:space="0" w:color="auto"/>
        <w:bottom w:val="none" w:sz="0" w:space="0" w:color="auto"/>
        <w:right w:val="none" w:sz="0" w:space="0" w:color="auto"/>
      </w:divBdr>
    </w:div>
    <w:div w:id="2130319895">
      <w:bodyDiv w:val="1"/>
      <w:marLeft w:val="0"/>
      <w:marRight w:val="0"/>
      <w:marTop w:val="0"/>
      <w:marBottom w:val="0"/>
      <w:divBdr>
        <w:top w:val="none" w:sz="0" w:space="0" w:color="auto"/>
        <w:left w:val="none" w:sz="0" w:space="0" w:color="auto"/>
        <w:bottom w:val="none" w:sz="0" w:space="0" w:color="auto"/>
        <w:right w:val="none" w:sz="0" w:space="0" w:color="auto"/>
      </w:divBdr>
    </w:div>
    <w:div w:id="2135365840">
      <w:bodyDiv w:val="1"/>
      <w:marLeft w:val="0"/>
      <w:marRight w:val="0"/>
      <w:marTop w:val="0"/>
      <w:marBottom w:val="0"/>
      <w:divBdr>
        <w:top w:val="none" w:sz="0" w:space="0" w:color="auto"/>
        <w:left w:val="none" w:sz="0" w:space="0" w:color="auto"/>
        <w:bottom w:val="none" w:sz="0" w:space="0" w:color="auto"/>
        <w:right w:val="none" w:sz="0" w:space="0" w:color="auto"/>
      </w:divBdr>
    </w:div>
    <w:div w:id="214022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6.png"/><Relationship Id="rId39" Type="http://schemas.openxmlformats.org/officeDocument/2006/relationships/header" Target="header16.xml"/><Relationship Id="rId3" Type="http://schemas.openxmlformats.org/officeDocument/2006/relationships/numbering" Target="numbering.xml"/><Relationship Id="rId21" Type="http://schemas.openxmlformats.org/officeDocument/2006/relationships/header" Target="header6.xml"/><Relationship Id="rId34" Type="http://schemas.openxmlformats.org/officeDocument/2006/relationships/image" Target="media/image12.jp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9.xml"/><Relationship Id="rId33" Type="http://schemas.openxmlformats.org/officeDocument/2006/relationships/image" Target="media/image11.png"/><Relationship Id="rId38" Type="http://schemas.openxmlformats.org/officeDocument/2006/relationships/header" Target="header15.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header" Target="header5.xml"/><Relationship Id="rId29" Type="http://schemas.openxmlformats.org/officeDocument/2006/relationships/image" Target="media/image7.png"/><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image" Target="media/image10.png"/><Relationship Id="rId37" Type="http://schemas.openxmlformats.org/officeDocument/2006/relationships/header" Target="header14.xml"/><Relationship Id="rId40"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header" Target="header11.xml"/><Relationship Id="rId36" Type="http://schemas.openxmlformats.org/officeDocument/2006/relationships/header" Target="header13.xml"/><Relationship Id="rId10" Type="http://schemas.openxmlformats.org/officeDocument/2006/relationships/header" Target="header2.xml"/><Relationship Id="rId19" Type="http://schemas.openxmlformats.org/officeDocument/2006/relationships/header" Target="header4.xml"/><Relationship Id="rId31" Type="http://schemas.openxmlformats.org/officeDocument/2006/relationships/image" Target="media/image9.jp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image" Target="media/image8.png"/><Relationship Id="rId35" Type="http://schemas.openxmlformats.org/officeDocument/2006/relationships/header" Target="header12.xml"/><Relationship Id="rId43"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3CC9C046DB473F94B2523E6831DED4"/>
        <w:category>
          <w:name w:val="General"/>
          <w:gallery w:val="placeholder"/>
        </w:category>
        <w:types>
          <w:type w:val="bbPlcHdr"/>
        </w:types>
        <w:behaviors>
          <w:behavior w:val="content"/>
        </w:behaviors>
        <w:guid w:val="{E422BE4B-40F7-433E-9D30-0DD92287CD9B}"/>
      </w:docPartPr>
      <w:docPartBody>
        <w:p w:rsidR="003A330D" w:rsidRDefault="00131DA3">
          <w:pPr>
            <w:pStyle w:val="003CC9C046DB473F94B2523E6831DED4"/>
          </w:pPr>
          <w:r w:rsidRPr="0065624D">
            <w:rPr>
              <w:rStyle w:val="PlaceholderText"/>
            </w:rPr>
            <w:t>Click or tap here to enter text.</w:t>
          </w:r>
        </w:p>
      </w:docPartBody>
    </w:docPart>
    <w:docPart>
      <w:docPartPr>
        <w:name w:val="513EF62B01EA4DA6ADF6D20443060435"/>
        <w:category>
          <w:name w:val="General"/>
          <w:gallery w:val="placeholder"/>
        </w:category>
        <w:types>
          <w:type w:val="bbPlcHdr"/>
        </w:types>
        <w:behaviors>
          <w:behavior w:val="content"/>
        </w:behaviors>
        <w:guid w:val="{B387F055-A0C3-4ABB-8D26-A8D04813369B}"/>
      </w:docPartPr>
      <w:docPartBody>
        <w:p w:rsidR="003A330D" w:rsidRDefault="00131DA3">
          <w:pPr>
            <w:pStyle w:val="513EF62B01EA4DA6ADF6D20443060435"/>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DA3"/>
    <w:rsid w:val="00096DBD"/>
    <w:rsid w:val="00131DA3"/>
    <w:rsid w:val="001567EF"/>
    <w:rsid w:val="002D4311"/>
    <w:rsid w:val="0034334F"/>
    <w:rsid w:val="003A330D"/>
    <w:rsid w:val="003E7268"/>
    <w:rsid w:val="004C2205"/>
    <w:rsid w:val="004F2323"/>
    <w:rsid w:val="005114E9"/>
    <w:rsid w:val="00546EF2"/>
    <w:rsid w:val="006F5010"/>
    <w:rsid w:val="007207CD"/>
    <w:rsid w:val="00741C9C"/>
    <w:rsid w:val="00781BF4"/>
    <w:rsid w:val="00844220"/>
    <w:rsid w:val="00A75B47"/>
    <w:rsid w:val="00AC48AA"/>
    <w:rsid w:val="00CA295C"/>
    <w:rsid w:val="00D34F84"/>
    <w:rsid w:val="00E418E2"/>
    <w:rsid w:val="00EC0034"/>
    <w:rsid w:val="00EC3D78"/>
    <w:rsid w:val="00F4479E"/>
    <w:rsid w:val="00FB6A1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CA295C"/>
    <w:rPr>
      <w:rFonts w:asciiTheme="minorHAnsi" w:hAnsiTheme="minorHAnsi"/>
      <w:vanish w:val="0"/>
      <w:color w:val="808080"/>
    </w:rPr>
  </w:style>
  <w:style w:type="paragraph" w:customStyle="1" w:styleId="003CC9C046DB473F94B2523E6831DED4">
    <w:name w:val="003CC9C046DB473F94B2523E6831DED4"/>
  </w:style>
  <w:style w:type="paragraph" w:customStyle="1" w:styleId="868565F5E6DB4E56A409935A07E438C7">
    <w:name w:val="868565F5E6DB4E56A409935A07E438C7"/>
  </w:style>
  <w:style w:type="paragraph" w:customStyle="1" w:styleId="14483B50043E4C3BBD0789F831754828">
    <w:name w:val="14483B50043E4C3BBD0789F831754828"/>
  </w:style>
  <w:style w:type="paragraph" w:customStyle="1" w:styleId="8DFEE83BA6D74BB196945BEB0595AB43">
    <w:name w:val="8DFEE83BA6D74BB196945BEB0595AB43"/>
  </w:style>
  <w:style w:type="paragraph" w:customStyle="1" w:styleId="513EF62B01EA4DA6ADF6D20443060435">
    <w:name w:val="513EF62B01EA4DA6ADF6D20443060435"/>
  </w:style>
  <w:style w:type="paragraph" w:customStyle="1" w:styleId="C9B5619F90964B1F8992896887AB6660">
    <w:name w:val="C9B5619F90964B1F8992896887AB6660"/>
    <w:rsid w:val="003A330D"/>
  </w:style>
  <w:style w:type="paragraph" w:customStyle="1" w:styleId="79CBD518DD1740FBAE4AC99EE0B7D9BF">
    <w:name w:val="79CBD518DD1740FBAE4AC99EE0B7D9BF"/>
    <w:rsid w:val="003A330D"/>
  </w:style>
  <w:style w:type="paragraph" w:customStyle="1" w:styleId="FD73363E925644EF9150A4336B0CA14A">
    <w:name w:val="FD73363E925644EF9150A4336B0CA14A"/>
    <w:rsid w:val="003A330D"/>
  </w:style>
  <w:style w:type="paragraph" w:customStyle="1" w:styleId="799870308E314D52970FE4E4EEDB23DF">
    <w:name w:val="799870308E314D52970FE4E4EEDB23DF"/>
    <w:rsid w:val="003A330D"/>
  </w:style>
  <w:style w:type="paragraph" w:customStyle="1" w:styleId="2DF21087E29A4EFCB70F784CCAF58434">
    <w:name w:val="2DF21087E29A4EFCB70F784CCAF58434"/>
    <w:rsid w:val="003A330D"/>
  </w:style>
  <w:style w:type="paragraph" w:customStyle="1" w:styleId="8F7EEF2E46D14CE796E8A0F1F0FE8673">
    <w:name w:val="8F7EEF2E46D14CE796E8A0F1F0FE8673"/>
    <w:rsid w:val="003A330D"/>
  </w:style>
  <w:style w:type="paragraph" w:customStyle="1" w:styleId="9C321B12F677495A8930D2F4BF6033EC">
    <w:name w:val="9C321B12F677495A8930D2F4BF6033EC"/>
    <w:rsid w:val="003A330D"/>
  </w:style>
  <w:style w:type="paragraph" w:customStyle="1" w:styleId="FD61BF5D7A9449A4938EC1B97D761ECA">
    <w:name w:val="FD61BF5D7A9449A4938EC1B97D761ECA"/>
    <w:rsid w:val="003A330D"/>
  </w:style>
  <w:style w:type="paragraph" w:customStyle="1" w:styleId="D9234139647F49A6BEBDD1F1492DF235">
    <w:name w:val="D9234139647F49A6BEBDD1F1492DF235"/>
    <w:rsid w:val="003A330D"/>
  </w:style>
  <w:style w:type="paragraph" w:customStyle="1" w:styleId="A8204C67C7524A6EBE2994616B35D5E1">
    <w:name w:val="A8204C67C7524A6EBE2994616B35D5E1"/>
    <w:rsid w:val="003A330D"/>
  </w:style>
  <w:style w:type="paragraph" w:customStyle="1" w:styleId="951BDEC4FB804AB59193181E4C6ACCA3">
    <w:name w:val="951BDEC4FB804AB59193181E4C6ACCA3"/>
    <w:rsid w:val="003A330D"/>
  </w:style>
  <w:style w:type="paragraph" w:customStyle="1" w:styleId="BA57DE8B0B84478C9E3794D298D981A5">
    <w:name w:val="BA57DE8B0B84478C9E3794D298D981A5"/>
    <w:rsid w:val="003A330D"/>
  </w:style>
  <w:style w:type="paragraph" w:customStyle="1" w:styleId="60F6804333DC413FA3D913136908085E">
    <w:name w:val="60F6804333DC413FA3D913136908085E"/>
    <w:rsid w:val="003A330D"/>
  </w:style>
  <w:style w:type="paragraph" w:customStyle="1" w:styleId="400DEECA224D447BACD9A6116811877A">
    <w:name w:val="400DEECA224D447BACD9A6116811877A"/>
    <w:rsid w:val="003A330D"/>
  </w:style>
  <w:style w:type="paragraph" w:customStyle="1" w:styleId="FBC2EEA768304405B8615BC4C020EB7D">
    <w:name w:val="FBC2EEA768304405B8615BC4C020EB7D"/>
    <w:rsid w:val="003A330D"/>
  </w:style>
  <w:style w:type="paragraph" w:customStyle="1" w:styleId="3A9E62C0370A4CE3AF94C90C3DC4CCB1">
    <w:name w:val="3A9E62C0370A4CE3AF94C90C3DC4CCB1"/>
    <w:rsid w:val="00CA295C"/>
  </w:style>
  <w:style w:type="paragraph" w:customStyle="1" w:styleId="7CAEE84EB2C04F2E9675D26502699CC0">
    <w:name w:val="7CAEE84EB2C04F2E9675D26502699CC0"/>
    <w:rsid w:val="00CA295C"/>
  </w:style>
  <w:style w:type="paragraph" w:customStyle="1" w:styleId="0EA68C45694348668F1A80A0DE7128B5">
    <w:name w:val="0EA68C45694348668F1A80A0DE7128B5"/>
    <w:rsid w:val="00CA29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NEL PER theme">
  <a:themeElements>
    <a:clrScheme name="NEL PER">
      <a:dk1>
        <a:sysClr val="windowText" lastClr="000000"/>
      </a:dk1>
      <a:lt1>
        <a:sysClr val="window" lastClr="FFFFFF"/>
      </a:lt1>
      <a:dk2>
        <a:srgbClr val="636569"/>
      </a:dk2>
      <a:lt2>
        <a:srgbClr val="A4A2A4"/>
      </a:lt2>
      <a:accent1>
        <a:srgbClr val="250E62"/>
      </a:accent1>
      <a:accent2>
        <a:srgbClr val="009A44"/>
      </a:accent2>
      <a:accent3>
        <a:srgbClr val="D0E900"/>
      </a:accent3>
      <a:accent4>
        <a:srgbClr val="0085CA"/>
      </a:accent4>
      <a:accent5>
        <a:srgbClr val="FFB500"/>
      </a:accent5>
      <a:accent6>
        <a:srgbClr val="CE0058"/>
      </a:accent6>
      <a:hlink>
        <a:srgbClr val="250E62"/>
      </a:hlink>
      <a:folHlink>
        <a:srgbClr val="440099"/>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Water related impacts</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8</b:RefOrder>
  </b:Source>
  <b:Source>
    <b:Tag>Jac17</b:Tag>
    <b:SourceType>Report</b:SourceType>
    <b:Guid>{13596D58-B3DC-4B28-9D8B-A7C090BCBDF5}</b:Guid>
    <b:Author>
      <b:Author>
        <b:Corporate>Jacobs</b:Corporate>
      </b:Author>
    </b:Author>
    <b:Title>Bolin Bolin Billabong Conceptual Model. Produced for Melbourne Water</b:Title>
    <b:Year>2017</b:Year>
    <b:RefOrder>4</b:RefOrder>
  </b:Source>
  <b:Source>
    <b:Tag>Wat18</b:Tag>
    <b:SourceType>InternetSite</b:SourceType>
    <b:Guid>{826B4A03-DBEC-4132-AC5D-D91C7870AA45}</b:Guid>
    <b:Author>
      <b:Author>
        <b:Corporate>Waterwatch</b:Corporate>
      </b:Author>
    </b:Author>
    <b:Title>Waterwatch Data Portal</b:Title>
    <b:Year>2018</b:Year>
    <b:Publisher>Waterwatch. (2018, May 24). Waterwatch Data Portal. Retrieved from Waterwatch: www.vic.waterwatch.org.au</b:Publisher>
    <b:URL>www.vic.waterwatch.org.nz </b:URL>
    <b:YearAccessed>2018</b:YearAccessed>
    <b:MonthAccessed>May</b:MonthAccessed>
    <b:DayAccessed>24</b:DayAccessed>
    <b:RefOrder>5</b:RefOrder>
  </b:Source>
  <b:Source>
    <b:Tag>Mel15</b:Tag>
    <b:SourceType>Report</b:SourceType>
    <b:Guid>{56EC6710-022C-4016-AEE7-D0308E3DAF0B}</b:Guid>
    <b:Title>Annual Water Quality Factsheet</b:Title>
    <b:Year>2015</b:Year>
    <b:URL>https://www.melbournewater.com.au/waterdata/riverhealthdata/waterwayquality/Pages/Waterway-water-quality-data.aspx</b:URL>
    <b:Author>
      <b:Author>
        <b:Corporate>Melbourne Water</b:Corporate>
      </b:Author>
    </b:Author>
    <b:RefOrder>6</b:RefOrder>
  </b:Source>
  <b:Source>
    <b:Tag>EPA18</b:Tag>
    <b:SourceType>ElectronicSource</b:SourceType>
    <b:Guid>{9A63B718-6FB8-4967-B584-DDA408B4A474}</b:Guid>
    <b:Title>Water Quality Data</b:Title>
    <b:Year>2018</b:Year>
    <b:City>Melbourne </b:City>
    <b:Author>
      <b:Author>
        <b:Corporate>EPA Victoria</b:Corporate>
      </b:Author>
    </b:Author>
    <b:InternetSiteTitle>Water Quality Data. Melbourne, Victoria.</b:InternetSiteTitle>
    <b:RefOrder>7</b:RefOrder>
  </b:Source>
  <b:Source>
    <b:Tag>GHD10</b:Tag>
    <b:SourceType>Report</b:SourceType>
    <b:Guid>{5C156211-AD70-4BF3-A8B2-1B34FBF09221}</b:Guid>
    <b:Author>
      <b:Author>
        <b:NameList>
          <b:Person>
            <b:Last>GHD</b:Last>
          </b:Person>
        </b:NameList>
      </b:Author>
    </b:Author>
    <b:Title>Transient model development report, Port Philip Catchment Management Authority.</b:Title>
    <b:Year>2010</b:Year>
    <b:Publisher>Prepared for the Department of Sustainability and Environment, ecoMarkets project.</b:Publisher>
    <b:RefOrder>1</b:RefOrder>
  </b:Source>
  <b:Source>
    <b:Tag>JGL92</b:Tag>
    <b:SourceType>Report</b:SourceType>
    <b:Guid>{5DC90575-030A-464A-9DA5-A997A7D6A13A}</b:Guid>
    <b:Author>
      <b:Author>
        <b:NameList>
          <b:Person>
            <b:Last>Leonard</b:Last>
            <b:Middle>G</b:Middle>
            <b:First>J</b:First>
          </b:Person>
        </b:NameList>
      </b:Author>
    </b:Author>
    <b:Title>Port Phillip Region Groundwater Systems Future Use and Management</b:Title>
    <b:Year>1992</b:Year>
    <b:Publisher>Department of Water Resources, Water Victoria, ISBN 0 7306 2698.</b:Publisher>
    <b:RefOrder>3</b:RefOrder>
  </b:Source>
  <b:Source>
    <b:Tag>Dah04</b:Tag>
    <b:SourceType>Report</b:SourceType>
    <b:Guid>{6928FD1A-195D-4230-AFFE-336A41B9AB43}</b:Guid>
    <b:Author>
      <b:Author>
        <b:NameList>
          <b:Person>
            <b:Last>Dahlhaus</b:Last>
            <b:First>PG</b:First>
          </b:Person>
          <b:Person>
            <b:Last>Brewin</b:Last>
            <b:First>D</b:First>
          </b:Person>
          <b:Person>
            <b:Last>Leonard</b:Last>
            <b:First>JL</b:First>
          </b:Person>
          <b:Person>
            <b:Last>Dyson</b:Last>
            <b:First>PR</b:First>
          </b:Person>
          <b:Person>
            <b:Last>Cherry</b:Last>
            <b:First>DP</b:First>
          </b:Person>
        </b:NameList>
      </b:Author>
    </b:Author>
    <b:Title>Port Phillip and Westernport Groundwater Flow Systems</b:Title>
    <b:Year>2004</b:Year>
    <b:Publisher>Port Phillip and Westernport Catchment Management Authority</b:Publisher>
    <b:City>Melbourne, Victoria</b:City>
    <b:RefOrder>2</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F19E4A66-17F8-4B71-B932-D500FB832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47</Pages>
  <Words>12704</Words>
  <Characters>72415</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dc:description/>
  <cp:lastModifiedBy>Veronica Fink</cp:lastModifiedBy>
  <cp:revision>7</cp:revision>
  <dcterms:created xsi:type="dcterms:W3CDTF">2019-09-14T17:58:00Z</dcterms:created>
  <dcterms:modified xsi:type="dcterms:W3CDTF">2019-09-20T05:05:00Z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PCosting">
    <vt:filetime>2019-09-20T05:04:48Z</vt:filetime>
  </property>
</Properties>
</file>