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Chapter Title"/>
        <w:tag w:val="Chapter Title"/>
        <w:id w:val="1462999432"/>
        <w:placeholder>
          <w:docPart w:val="C4AA1C0611F843EF84A7A171E253EA74"/>
        </w:placeholder>
        <w:dataBinding w:prefixMappings="xmlns:ns0='http://schemas.openxmlformats.org/officeDocument/2006/NEL' " w:xpath="/ns0:ccMap[1]/ns0:CCMapElement_1103461063[1]" w:storeItemID="{20C6AF31-F77A-4484-A6C5-171AD89E9166}"/>
        <w:text/>
      </w:sdtPr>
      <w:sdtEndPr/>
      <w:sdtContent>
        <w:p w14:paraId="1FA93CF8" w14:textId="440DC09F" w:rsidR="00C46BED" w:rsidRPr="00C46BED" w:rsidRDefault="0087417D" w:rsidP="00C46BED">
          <w:pPr>
            <w:pStyle w:val="CoverTitle"/>
          </w:pPr>
          <w:r>
            <w:t>Abbreviations and glossary</w:t>
          </w:r>
        </w:p>
      </w:sdtContent>
    </w:sdt>
    <w:p w14:paraId="3A94AAEB" w14:textId="77777777" w:rsidR="001503D3" w:rsidRPr="00E054C4" w:rsidRDefault="001503D3" w:rsidP="00C46BED">
      <w:pPr>
        <w:pStyle w:val="CoverTitle"/>
        <w:sectPr w:rsidR="001503D3" w:rsidRPr="00E054C4" w:rsidSect="006A7B89">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567" w:footer="567" w:gutter="567"/>
          <w:pgNumType w:chapStyle="1" w:chapSep="enDash"/>
          <w:cols w:space="567"/>
          <w:titlePg/>
          <w:docGrid w:linePitch="360"/>
        </w:sectPr>
      </w:pPr>
    </w:p>
    <w:bookmarkStart w:id="0" w:name="_Toc4711413" w:displacedByCustomXml="next"/>
    <w:bookmarkStart w:id="1" w:name="_Ref535082351" w:displacedByCustomXml="next"/>
    <w:sdt>
      <w:sdtPr>
        <w:alias w:val="Chapter Title"/>
        <w:tag w:val="Chapter Title"/>
        <w:id w:val="1103461063"/>
        <w:placeholder>
          <w:docPart w:val="D42DA29D7150407F99776910228F23AA"/>
        </w:placeholder>
        <w:dataBinding w:prefixMappings="xmlns:ns0='http://schemas.openxmlformats.org/officeDocument/2006/NEL' " w:xpath="/ns0:ccMap[1]/ns0:CCMapElement_1103461063[1]" w:storeItemID="{20C6AF31-F77A-4484-A6C5-171AD89E9166}"/>
        <w:text/>
      </w:sdtPr>
      <w:sdtEndPr/>
      <w:sdtContent>
        <w:p w14:paraId="21472939" w14:textId="4B091B22" w:rsidR="00A63B36" w:rsidRPr="00C91D01" w:rsidRDefault="0087417D" w:rsidP="00CF45A0">
          <w:pPr>
            <w:pStyle w:val="Heading1"/>
          </w:pPr>
          <w:r>
            <w:t>Abbreviations and glossary</w:t>
          </w:r>
        </w:p>
      </w:sdtContent>
    </w:sdt>
    <w:bookmarkEnd w:id="0" w:displacedByCustomXml="prev"/>
    <w:bookmarkEnd w:id="1" w:displacedByCustomXml="prev"/>
    <w:p w14:paraId="6582F501" w14:textId="5E59810E" w:rsidR="0087417D" w:rsidRDefault="0087417D" w:rsidP="00942B90">
      <w:pPr>
        <w:pStyle w:val="Heading2"/>
      </w:pPr>
      <w:bookmarkStart w:id="2" w:name="_Toc4711414"/>
      <w:r>
        <w:t xml:space="preserve">EES </w:t>
      </w:r>
      <w:r w:rsidR="00476551">
        <w:t>a</w:t>
      </w:r>
      <w:r>
        <w:t>bbreviations</w:t>
      </w:r>
      <w:bookmarkEnd w:id="2"/>
      <w:r>
        <w:t xml:space="preserve"> </w:t>
      </w:r>
      <w:bookmarkStart w:id="3" w:name="_GoBack"/>
      <w:bookmarkEnd w:id="3"/>
    </w:p>
    <w:tbl>
      <w:tblPr>
        <w:tblStyle w:val="MainTableStyle"/>
        <w:tblW w:w="0" w:type="auto"/>
        <w:tblLayout w:type="fixed"/>
        <w:tblLook w:val="04A0" w:firstRow="1" w:lastRow="0" w:firstColumn="1" w:lastColumn="0" w:noHBand="0" w:noVBand="1"/>
      </w:tblPr>
      <w:tblGrid>
        <w:gridCol w:w="1702"/>
        <w:gridCol w:w="7369"/>
      </w:tblGrid>
      <w:tr w:rsidR="0087417D" w:rsidRPr="0087417D" w14:paraId="352A9ED2" w14:textId="77777777" w:rsidTr="002558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Pr>
          <w:p w14:paraId="2F698ABE" w14:textId="77777777" w:rsidR="0087417D" w:rsidRPr="0087417D" w:rsidRDefault="0087417D" w:rsidP="0087417D">
            <w:pPr>
              <w:pStyle w:val="TableText"/>
            </w:pPr>
            <w:r w:rsidRPr="0087417D">
              <w:t>Abbreviation</w:t>
            </w:r>
          </w:p>
        </w:tc>
        <w:tc>
          <w:tcPr>
            <w:tcW w:w="7369" w:type="dxa"/>
          </w:tcPr>
          <w:p w14:paraId="7EFC6E91" w14:textId="77777777" w:rsidR="0087417D" w:rsidRPr="0087417D" w:rsidRDefault="0087417D" w:rsidP="0087417D">
            <w:pPr>
              <w:pStyle w:val="TableText"/>
              <w:cnfStyle w:val="100000000000" w:firstRow="1" w:lastRow="0" w:firstColumn="0" w:lastColumn="0" w:oddVBand="0" w:evenVBand="0" w:oddHBand="0" w:evenHBand="0" w:firstRowFirstColumn="0" w:firstRowLastColumn="0" w:lastRowFirstColumn="0" w:lastRowLastColumn="0"/>
            </w:pPr>
            <w:r w:rsidRPr="0087417D">
              <w:t>Expanded form</w:t>
            </w:r>
          </w:p>
        </w:tc>
      </w:tr>
      <w:tr w:rsidR="0087417D" w:rsidRPr="0087417D" w14:paraId="515ACAE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F1BB8BA" w14:textId="77777777" w:rsidR="0087417D" w:rsidRPr="0087417D" w:rsidRDefault="0087417D" w:rsidP="0087417D">
            <w:pPr>
              <w:pStyle w:val="TableText"/>
            </w:pPr>
            <w:r w:rsidRPr="0087417D">
              <w:t>AAQMS</w:t>
            </w:r>
          </w:p>
        </w:tc>
        <w:tc>
          <w:tcPr>
            <w:tcW w:w="7369" w:type="dxa"/>
          </w:tcPr>
          <w:p w14:paraId="258A9AA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Ambient Air Quality Monitoring Station</w:t>
            </w:r>
          </w:p>
        </w:tc>
      </w:tr>
      <w:tr w:rsidR="0087417D" w:rsidRPr="0087417D" w14:paraId="6FDDBECE"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3271DDE" w14:textId="77777777" w:rsidR="0087417D" w:rsidRPr="0087417D" w:rsidRDefault="0087417D" w:rsidP="0087417D">
            <w:pPr>
              <w:pStyle w:val="TableText"/>
            </w:pPr>
            <w:r w:rsidRPr="0087417D">
              <w:t>AASS</w:t>
            </w:r>
          </w:p>
        </w:tc>
        <w:tc>
          <w:tcPr>
            <w:tcW w:w="7369" w:type="dxa"/>
          </w:tcPr>
          <w:p w14:paraId="2EB1A398" w14:textId="448C7024" w:rsidR="0087417D" w:rsidRPr="0087417D" w:rsidRDefault="00E2410F" w:rsidP="0087417D">
            <w:pPr>
              <w:pStyle w:val="TableText"/>
              <w:cnfStyle w:val="000000000000" w:firstRow="0" w:lastRow="0" w:firstColumn="0" w:lastColumn="0" w:oddVBand="0" w:evenVBand="0" w:oddHBand="0" w:evenHBand="0" w:firstRowFirstColumn="0" w:firstRowLastColumn="0" w:lastRowFirstColumn="0" w:lastRowLastColumn="0"/>
            </w:pPr>
            <w:r>
              <w:t>Actual Acid Sulf</w:t>
            </w:r>
            <w:r w:rsidR="0087417D" w:rsidRPr="0087417D">
              <w:t>ate Soils</w:t>
            </w:r>
          </w:p>
        </w:tc>
      </w:tr>
      <w:tr w:rsidR="0087417D" w:rsidRPr="0087417D" w14:paraId="4738776E"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8EDD4B5" w14:textId="77777777" w:rsidR="0087417D" w:rsidRPr="0087417D" w:rsidRDefault="0087417D" w:rsidP="0087417D">
            <w:pPr>
              <w:pStyle w:val="TableText"/>
            </w:pPr>
            <w:r w:rsidRPr="0087417D">
              <w:t>ABS</w:t>
            </w:r>
          </w:p>
        </w:tc>
        <w:tc>
          <w:tcPr>
            <w:tcW w:w="7369" w:type="dxa"/>
          </w:tcPr>
          <w:p w14:paraId="4705DE93"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Australian Bureau of Statistics</w:t>
            </w:r>
          </w:p>
        </w:tc>
      </w:tr>
      <w:tr w:rsidR="0087417D" w:rsidRPr="0087417D" w14:paraId="0C24350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C4AA27B" w14:textId="77777777" w:rsidR="0087417D" w:rsidRPr="0087417D" w:rsidRDefault="0087417D" w:rsidP="0087417D">
            <w:pPr>
              <w:pStyle w:val="TableText"/>
            </w:pPr>
            <w:r w:rsidRPr="0087417D">
              <w:t>AEP</w:t>
            </w:r>
          </w:p>
        </w:tc>
        <w:tc>
          <w:tcPr>
            <w:tcW w:w="7369" w:type="dxa"/>
          </w:tcPr>
          <w:p w14:paraId="36483BA0"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Annual Exceedance Probability</w:t>
            </w:r>
          </w:p>
        </w:tc>
      </w:tr>
      <w:tr w:rsidR="0087417D" w:rsidRPr="0087417D" w14:paraId="47563CB6"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64132774" w14:textId="77777777" w:rsidR="0087417D" w:rsidRPr="0087417D" w:rsidRDefault="0087417D" w:rsidP="0087417D">
            <w:pPr>
              <w:pStyle w:val="TableText"/>
            </w:pPr>
            <w:r w:rsidRPr="0087417D">
              <w:t>ATAP</w:t>
            </w:r>
          </w:p>
        </w:tc>
        <w:tc>
          <w:tcPr>
            <w:tcW w:w="7369" w:type="dxa"/>
          </w:tcPr>
          <w:p w14:paraId="4DDD8C2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Australian Transport Assessment and Planning Guidelines</w:t>
            </w:r>
          </w:p>
        </w:tc>
      </w:tr>
      <w:tr w:rsidR="0087417D" w:rsidRPr="0087417D" w14:paraId="0305A5A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263E0B7" w14:textId="77777777" w:rsidR="0087417D" w:rsidRPr="0087417D" w:rsidRDefault="0087417D" w:rsidP="0087417D">
            <w:pPr>
              <w:pStyle w:val="TableText"/>
            </w:pPr>
            <w:r w:rsidRPr="0087417D">
              <w:t>AS</w:t>
            </w:r>
          </w:p>
        </w:tc>
        <w:tc>
          <w:tcPr>
            <w:tcW w:w="7369" w:type="dxa"/>
          </w:tcPr>
          <w:p w14:paraId="5CB0BB13"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Australian Standard</w:t>
            </w:r>
          </w:p>
        </w:tc>
      </w:tr>
      <w:tr w:rsidR="0087417D" w:rsidRPr="0087417D" w14:paraId="2EC035DA"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0AB040F9" w14:textId="77777777" w:rsidR="0087417D" w:rsidRPr="0087417D" w:rsidRDefault="0087417D" w:rsidP="0087417D">
            <w:pPr>
              <w:pStyle w:val="TableText"/>
            </w:pPr>
            <w:r w:rsidRPr="0087417D">
              <w:t>AS/NZS</w:t>
            </w:r>
          </w:p>
        </w:tc>
        <w:tc>
          <w:tcPr>
            <w:tcW w:w="7369" w:type="dxa"/>
          </w:tcPr>
          <w:p w14:paraId="26B9535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Australian/New Zealand Standard</w:t>
            </w:r>
          </w:p>
        </w:tc>
      </w:tr>
      <w:tr w:rsidR="0087417D" w:rsidRPr="0087417D" w14:paraId="2C9AAD4B"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EDEA854" w14:textId="77777777" w:rsidR="0087417D" w:rsidRPr="0087417D" w:rsidRDefault="0087417D" w:rsidP="0087417D">
            <w:pPr>
              <w:pStyle w:val="TableText"/>
            </w:pPr>
            <w:r w:rsidRPr="0087417D">
              <w:t>ASR</w:t>
            </w:r>
          </w:p>
        </w:tc>
        <w:tc>
          <w:tcPr>
            <w:tcW w:w="7369" w:type="dxa"/>
          </w:tcPr>
          <w:p w14:paraId="5EEC5C38" w14:textId="531EDA6D" w:rsidR="0087417D" w:rsidRPr="0087417D" w:rsidRDefault="00C2694C" w:rsidP="0087417D">
            <w:pPr>
              <w:pStyle w:val="TableText"/>
              <w:cnfStyle w:val="000000000000" w:firstRow="0" w:lastRow="0" w:firstColumn="0" w:lastColumn="0" w:oddVBand="0" w:evenVBand="0" w:oddHBand="0" w:evenHBand="0" w:firstRowFirstColumn="0" w:firstRowLastColumn="0" w:lastRowFirstColumn="0" w:lastRowLastColumn="0"/>
            </w:pPr>
            <w:r>
              <w:t>Acid Sulf</w:t>
            </w:r>
            <w:r w:rsidR="0087417D" w:rsidRPr="0087417D">
              <w:t>ate Rock</w:t>
            </w:r>
          </w:p>
        </w:tc>
      </w:tr>
      <w:tr w:rsidR="0087417D" w:rsidRPr="0087417D" w14:paraId="02E67BE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44F6E96B" w14:textId="77777777" w:rsidR="0087417D" w:rsidRPr="0087417D" w:rsidRDefault="0087417D" w:rsidP="0087417D">
            <w:pPr>
              <w:pStyle w:val="TableText"/>
            </w:pPr>
            <w:r w:rsidRPr="0087417D">
              <w:t>ASS</w:t>
            </w:r>
          </w:p>
        </w:tc>
        <w:tc>
          <w:tcPr>
            <w:tcW w:w="7369" w:type="dxa"/>
          </w:tcPr>
          <w:p w14:paraId="4F65792C" w14:textId="48DCB0F1" w:rsidR="0087417D" w:rsidRPr="0087417D" w:rsidRDefault="00C2694C" w:rsidP="0087417D">
            <w:pPr>
              <w:pStyle w:val="TableText"/>
              <w:cnfStyle w:val="000000000000" w:firstRow="0" w:lastRow="0" w:firstColumn="0" w:lastColumn="0" w:oddVBand="0" w:evenVBand="0" w:oddHBand="0" w:evenHBand="0" w:firstRowFirstColumn="0" w:firstRowLastColumn="0" w:lastRowFirstColumn="0" w:lastRowLastColumn="0"/>
            </w:pPr>
            <w:r>
              <w:t>Acid Sulf</w:t>
            </w:r>
            <w:r w:rsidR="0087417D" w:rsidRPr="0087417D">
              <w:t>ate Soils</w:t>
            </w:r>
          </w:p>
        </w:tc>
      </w:tr>
      <w:tr w:rsidR="0087417D" w:rsidRPr="0087417D" w14:paraId="27AF35B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F2B39FB" w14:textId="77777777" w:rsidR="0087417D" w:rsidRPr="0087417D" w:rsidRDefault="0087417D" w:rsidP="0087417D">
            <w:pPr>
              <w:pStyle w:val="TableText"/>
            </w:pPr>
            <w:r w:rsidRPr="0087417D">
              <w:t>BoM</w:t>
            </w:r>
          </w:p>
        </w:tc>
        <w:tc>
          <w:tcPr>
            <w:tcW w:w="7369" w:type="dxa"/>
          </w:tcPr>
          <w:p w14:paraId="185C4AD3"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Bureau of Meteorology</w:t>
            </w:r>
          </w:p>
        </w:tc>
      </w:tr>
      <w:tr w:rsidR="0087417D" w:rsidRPr="0087417D" w14:paraId="45C89C8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07AC04F3" w14:textId="77777777" w:rsidR="0087417D" w:rsidRPr="0087417D" w:rsidRDefault="0087417D" w:rsidP="0087417D">
            <w:pPr>
              <w:pStyle w:val="TableText"/>
            </w:pPr>
            <w:r w:rsidRPr="0087417D">
              <w:t>BPEMG</w:t>
            </w:r>
          </w:p>
        </w:tc>
        <w:tc>
          <w:tcPr>
            <w:tcW w:w="7369" w:type="dxa"/>
          </w:tcPr>
          <w:p w14:paraId="6D46877C"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Best Practice Environmental Management Guidelines</w:t>
            </w:r>
          </w:p>
        </w:tc>
      </w:tr>
      <w:tr w:rsidR="0087417D" w:rsidRPr="0087417D" w14:paraId="4E691C9A"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C28CF77" w14:textId="77777777" w:rsidR="0087417D" w:rsidRPr="0087417D" w:rsidRDefault="0087417D" w:rsidP="0087417D">
            <w:pPr>
              <w:pStyle w:val="TableText"/>
            </w:pPr>
            <w:r w:rsidRPr="0087417D">
              <w:t>CBD</w:t>
            </w:r>
          </w:p>
        </w:tc>
        <w:tc>
          <w:tcPr>
            <w:tcW w:w="7369" w:type="dxa"/>
          </w:tcPr>
          <w:p w14:paraId="04ABD077"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Central business district </w:t>
            </w:r>
          </w:p>
        </w:tc>
      </w:tr>
      <w:tr w:rsidR="0087417D" w:rsidRPr="0087417D" w14:paraId="7E3769A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17B22B4" w14:textId="77777777" w:rsidR="0087417D" w:rsidRPr="0087417D" w:rsidRDefault="0087417D" w:rsidP="0087417D">
            <w:pPr>
              <w:pStyle w:val="TableText"/>
            </w:pPr>
            <w:r w:rsidRPr="0087417D">
              <w:t>CCEP</w:t>
            </w:r>
          </w:p>
        </w:tc>
        <w:tc>
          <w:tcPr>
            <w:tcW w:w="7369" w:type="dxa"/>
          </w:tcPr>
          <w:p w14:paraId="5BEF164D"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Communications and Community Engagement Plan</w:t>
            </w:r>
          </w:p>
        </w:tc>
      </w:tr>
      <w:tr w:rsidR="0087417D" w:rsidRPr="0087417D" w14:paraId="4A6C69D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EDE0CA8" w14:textId="77777777" w:rsidR="0087417D" w:rsidRPr="0087417D" w:rsidRDefault="0087417D" w:rsidP="0087417D">
            <w:pPr>
              <w:pStyle w:val="TableText"/>
            </w:pPr>
            <w:r w:rsidRPr="0087417D">
              <w:t>CCTV</w:t>
            </w:r>
          </w:p>
        </w:tc>
        <w:tc>
          <w:tcPr>
            <w:tcW w:w="7369" w:type="dxa"/>
          </w:tcPr>
          <w:p w14:paraId="179857C9"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Closed circuit television</w:t>
            </w:r>
          </w:p>
        </w:tc>
      </w:tr>
      <w:tr w:rsidR="0087417D" w:rsidRPr="0087417D" w14:paraId="11E83D26"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C249925" w14:textId="77777777" w:rsidR="0087417D" w:rsidRPr="0087417D" w:rsidRDefault="0087417D" w:rsidP="0087417D">
            <w:pPr>
              <w:pStyle w:val="TableText"/>
            </w:pPr>
            <w:r w:rsidRPr="0087417D">
              <w:t>CEMP</w:t>
            </w:r>
          </w:p>
        </w:tc>
        <w:tc>
          <w:tcPr>
            <w:tcW w:w="7369" w:type="dxa"/>
          </w:tcPr>
          <w:p w14:paraId="631403F2"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Construction Environmental Management Plan </w:t>
            </w:r>
          </w:p>
        </w:tc>
      </w:tr>
      <w:tr w:rsidR="0087417D" w:rsidRPr="0087417D" w14:paraId="11632215"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57E934E" w14:textId="77777777" w:rsidR="0087417D" w:rsidRPr="0087417D" w:rsidRDefault="0087417D" w:rsidP="0087417D">
            <w:pPr>
              <w:pStyle w:val="TableText"/>
            </w:pPr>
            <w:r w:rsidRPr="0087417D">
              <w:t>CHMP</w:t>
            </w:r>
          </w:p>
        </w:tc>
        <w:tc>
          <w:tcPr>
            <w:tcW w:w="7369" w:type="dxa"/>
          </w:tcPr>
          <w:p w14:paraId="33E5C92A"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Cultural Heritage Management Plan</w:t>
            </w:r>
          </w:p>
        </w:tc>
      </w:tr>
      <w:tr w:rsidR="0087417D" w:rsidRPr="0087417D" w14:paraId="23B61065"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31F4098" w14:textId="77777777" w:rsidR="0087417D" w:rsidRPr="0087417D" w:rsidRDefault="0087417D" w:rsidP="0087417D">
            <w:pPr>
              <w:pStyle w:val="TableText"/>
            </w:pPr>
            <w:r w:rsidRPr="0087417D">
              <w:t>CHL</w:t>
            </w:r>
          </w:p>
        </w:tc>
        <w:tc>
          <w:tcPr>
            <w:tcW w:w="7369" w:type="dxa"/>
          </w:tcPr>
          <w:p w14:paraId="00FDCD3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Commonwealth Heritage List</w:t>
            </w:r>
          </w:p>
        </w:tc>
      </w:tr>
      <w:tr w:rsidR="0087417D" w:rsidRPr="0087417D" w14:paraId="4BC0604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A9FB7A1" w14:textId="77777777" w:rsidR="0087417D" w:rsidRPr="0087417D" w:rsidRDefault="0087417D" w:rsidP="0087417D">
            <w:pPr>
              <w:pStyle w:val="TableText"/>
            </w:pPr>
            <w:r w:rsidRPr="0087417D">
              <w:t>CLG</w:t>
            </w:r>
          </w:p>
        </w:tc>
        <w:tc>
          <w:tcPr>
            <w:tcW w:w="7369" w:type="dxa"/>
          </w:tcPr>
          <w:p w14:paraId="7C545EA8"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Community Liaison Groups</w:t>
            </w:r>
          </w:p>
        </w:tc>
      </w:tr>
      <w:tr w:rsidR="0087417D" w:rsidRPr="0087417D" w14:paraId="33119C1A"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E3B8FF1" w14:textId="77777777" w:rsidR="0087417D" w:rsidRPr="0087417D" w:rsidRDefault="0087417D" w:rsidP="0087417D">
            <w:pPr>
              <w:pStyle w:val="TableText"/>
            </w:pPr>
            <w:r w:rsidRPr="0087417D">
              <w:t>CNVG</w:t>
            </w:r>
          </w:p>
        </w:tc>
        <w:tc>
          <w:tcPr>
            <w:tcW w:w="7369" w:type="dxa"/>
          </w:tcPr>
          <w:p w14:paraId="3E0DD0D7"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Construction Noise and Vibration Guideline</w:t>
            </w:r>
          </w:p>
        </w:tc>
      </w:tr>
      <w:tr w:rsidR="0087417D" w:rsidRPr="0087417D" w14:paraId="6D40058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459E5CAC" w14:textId="77777777" w:rsidR="0087417D" w:rsidRPr="0087417D" w:rsidRDefault="0087417D" w:rsidP="0087417D">
            <w:pPr>
              <w:pStyle w:val="TableText"/>
            </w:pPr>
            <w:r w:rsidRPr="0087417D">
              <w:t>CNVMP</w:t>
            </w:r>
          </w:p>
        </w:tc>
        <w:tc>
          <w:tcPr>
            <w:tcW w:w="7369" w:type="dxa"/>
          </w:tcPr>
          <w:p w14:paraId="67561A68"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Construction Noise and Vibration Management Plan </w:t>
            </w:r>
          </w:p>
        </w:tc>
      </w:tr>
      <w:tr w:rsidR="0087417D" w:rsidRPr="0087417D" w14:paraId="768ACCB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4C20447C" w14:textId="77777777" w:rsidR="0087417D" w:rsidRPr="0087417D" w:rsidRDefault="0087417D" w:rsidP="0087417D">
            <w:pPr>
              <w:pStyle w:val="TableText"/>
            </w:pPr>
            <w:r w:rsidRPr="0087417D">
              <w:t>CNS</w:t>
            </w:r>
          </w:p>
        </w:tc>
        <w:tc>
          <w:tcPr>
            <w:tcW w:w="7369" w:type="dxa"/>
          </w:tcPr>
          <w:p w14:paraId="0CF0376B"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Construction Noise Strategy </w:t>
            </w:r>
          </w:p>
        </w:tc>
      </w:tr>
      <w:tr w:rsidR="0087417D" w:rsidRPr="0087417D" w14:paraId="7C7381F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45DBDE25" w14:textId="77777777" w:rsidR="0087417D" w:rsidRPr="0087417D" w:rsidRDefault="0087417D" w:rsidP="0087417D">
            <w:pPr>
              <w:pStyle w:val="TableText"/>
            </w:pPr>
            <w:r w:rsidRPr="0087417D">
              <w:t>CO</w:t>
            </w:r>
          </w:p>
        </w:tc>
        <w:tc>
          <w:tcPr>
            <w:tcW w:w="7369" w:type="dxa"/>
          </w:tcPr>
          <w:p w14:paraId="1EE619AB"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Carbon monoxide</w:t>
            </w:r>
          </w:p>
        </w:tc>
      </w:tr>
      <w:tr w:rsidR="0087417D" w:rsidRPr="0087417D" w14:paraId="2E51E346"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764EFB69" w14:textId="77777777" w:rsidR="0087417D" w:rsidRPr="0087417D" w:rsidRDefault="0087417D" w:rsidP="0087417D">
            <w:pPr>
              <w:pStyle w:val="TableText"/>
            </w:pPr>
            <w:r w:rsidRPr="0087417D">
              <w:t>CO</w:t>
            </w:r>
            <w:r w:rsidRPr="00354199">
              <w:rPr>
                <w:vertAlign w:val="subscript"/>
              </w:rPr>
              <w:t>2</w:t>
            </w:r>
          </w:p>
        </w:tc>
        <w:tc>
          <w:tcPr>
            <w:tcW w:w="7369" w:type="dxa"/>
          </w:tcPr>
          <w:p w14:paraId="4F0FDB03"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Carbon dioxide</w:t>
            </w:r>
          </w:p>
        </w:tc>
      </w:tr>
      <w:tr w:rsidR="0087417D" w:rsidRPr="0087417D" w14:paraId="61F92B1E"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688BE76" w14:textId="77777777" w:rsidR="0087417D" w:rsidRPr="0087417D" w:rsidRDefault="0087417D" w:rsidP="0087417D">
            <w:pPr>
              <w:pStyle w:val="TableText"/>
            </w:pPr>
            <w:r w:rsidRPr="0087417D">
              <w:t>COHb</w:t>
            </w:r>
          </w:p>
        </w:tc>
        <w:tc>
          <w:tcPr>
            <w:tcW w:w="7369" w:type="dxa"/>
          </w:tcPr>
          <w:p w14:paraId="16FF7A07"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Carboxyhaemoglobin</w:t>
            </w:r>
          </w:p>
        </w:tc>
      </w:tr>
      <w:tr w:rsidR="0087417D" w:rsidRPr="0087417D" w14:paraId="3D1A71A0"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EF8102A" w14:textId="77777777" w:rsidR="0087417D" w:rsidRPr="0087417D" w:rsidRDefault="0087417D" w:rsidP="0087417D">
            <w:pPr>
              <w:pStyle w:val="TableText"/>
            </w:pPr>
            <w:r w:rsidRPr="0087417D">
              <w:t>COP</w:t>
            </w:r>
          </w:p>
        </w:tc>
        <w:tc>
          <w:tcPr>
            <w:tcW w:w="7369" w:type="dxa"/>
          </w:tcPr>
          <w:p w14:paraId="7D90F52B"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Conference of the Parties</w:t>
            </w:r>
          </w:p>
        </w:tc>
      </w:tr>
      <w:tr w:rsidR="0087417D" w:rsidRPr="0087417D" w14:paraId="72D0B85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A85DC78" w14:textId="77777777" w:rsidR="0087417D" w:rsidRPr="0087417D" w:rsidRDefault="0087417D" w:rsidP="0087417D">
            <w:pPr>
              <w:pStyle w:val="TableText"/>
            </w:pPr>
            <w:r w:rsidRPr="0087417D">
              <w:lastRenderedPageBreak/>
              <w:t>COPERT</w:t>
            </w:r>
          </w:p>
        </w:tc>
        <w:tc>
          <w:tcPr>
            <w:tcW w:w="7369" w:type="dxa"/>
          </w:tcPr>
          <w:p w14:paraId="3C67BD2A"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Computer Programme to calculate Emissions from Road Transport</w:t>
            </w:r>
          </w:p>
        </w:tc>
      </w:tr>
      <w:tr w:rsidR="0087417D" w:rsidRPr="0087417D" w14:paraId="036CEF4A"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4C3DCC42" w14:textId="77777777" w:rsidR="0087417D" w:rsidRPr="0087417D" w:rsidRDefault="0087417D" w:rsidP="0087417D">
            <w:pPr>
              <w:pStyle w:val="TableText"/>
            </w:pPr>
            <w:r w:rsidRPr="0087417D">
              <w:t>CoRTN</w:t>
            </w:r>
          </w:p>
        </w:tc>
        <w:tc>
          <w:tcPr>
            <w:tcW w:w="7369" w:type="dxa"/>
          </w:tcPr>
          <w:p w14:paraId="79D1DF3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Calculation of Road Traffic Noise </w:t>
            </w:r>
          </w:p>
        </w:tc>
      </w:tr>
      <w:tr w:rsidR="0087417D" w:rsidRPr="0087417D" w14:paraId="77B39FA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0524A741" w14:textId="77777777" w:rsidR="0087417D" w:rsidRPr="0087417D" w:rsidRDefault="0087417D" w:rsidP="0087417D">
            <w:pPr>
              <w:pStyle w:val="TableText"/>
            </w:pPr>
            <w:r w:rsidRPr="0087417D">
              <w:t>CSEMP</w:t>
            </w:r>
          </w:p>
        </w:tc>
        <w:tc>
          <w:tcPr>
            <w:tcW w:w="7369" w:type="dxa"/>
          </w:tcPr>
          <w:p w14:paraId="6A31130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Community and Stakeholder Engagement Management Plan </w:t>
            </w:r>
          </w:p>
        </w:tc>
      </w:tr>
      <w:tr w:rsidR="0087417D" w:rsidRPr="0087417D" w14:paraId="2913B2D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4101892A" w14:textId="77777777" w:rsidR="0087417D" w:rsidRPr="0087417D" w:rsidRDefault="0087417D" w:rsidP="0087417D">
            <w:pPr>
              <w:pStyle w:val="TableText"/>
            </w:pPr>
            <w:r w:rsidRPr="0087417D">
              <w:t>DAQMMP</w:t>
            </w:r>
          </w:p>
        </w:tc>
        <w:tc>
          <w:tcPr>
            <w:tcW w:w="7369" w:type="dxa"/>
          </w:tcPr>
          <w:p w14:paraId="72F7D783"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Dust and Air Quality Management and Monitoring Plan</w:t>
            </w:r>
          </w:p>
        </w:tc>
      </w:tr>
      <w:tr w:rsidR="0087417D" w:rsidRPr="0087417D" w14:paraId="5446AC87"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73C03AC4" w14:textId="77777777" w:rsidR="0087417D" w:rsidRPr="0087417D" w:rsidRDefault="0087417D" w:rsidP="0087417D">
            <w:pPr>
              <w:pStyle w:val="TableText"/>
            </w:pPr>
            <w:r w:rsidRPr="0087417D">
              <w:t>DART</w:t>
            </w:r>
          </w:p>
        </w:tc>
        <w:tc>
          <w:tcPr>
            <w:tcW w:w="7369" w:type="dxa"/>
          </w:tcPr>
          <w:p w14:paraId="309B638C"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Doncaster Area Rapid Transport</w:t>
            </w:r>
          </w:p>
        </w:tc>
      </w:tr>
      <w:tr w:rsidR="0087417D" w:rsidRPr="0087417D" w14:paraId="3739B9B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6559980" w14:textId="77777777" w:rsidR="0087417D" w:rsidRPr="0087417D" w:rsidRDefault="0087417D" w:rsidP="0087417D">
            <w:pPr>
              <w:pStyle w:val="TableText"/>
            </w:pPr>
            <w:r w:rsidRPr="0087417D">
              <w:t>DBH</w:t>
            </w:r>
          </w:p>
        </w:tc>
        <w:tc>
          <w:tcPr>
            <w:tcW w:w="7369" w:type="dxa"/>
          </w:tcPr>
          <w:p w14:paraId="0CEE90E8"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Diameter at breast height </w:t>
            </w:r>
          </w:p>
        </w:tc>
      </w:tr>
      <w:tr w:rsidR="0087417D" w:rsidRPr="0087417D" w14:paraId="62851C7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C97A755" w14:textId="77777777" w:rsidR="0087417D" w:rsidRPr="0087417D" w:rsidRDefault="0087417D" w:rsidP="0087417D">
            <w:pPr>
              <w:pStyle w:val="TableText"/>
            </w:pPr>
            <w:r w:rsidRPr="0087417D">
              <w:t>DDA</w:t>
            </w:r>
          </w:p>
        </w:tc>
        <w:tc>
          <w:tcPr>
            <w:tcW w:w="7369" w:type="dxa"/>
          </w:tcPr>
          <w:p w14:paraId="20FB44A4"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Disability Discrimination Act 1992</w:t>
            </w:r>
          </w:p>
        </w:tc>
      </w:tr>
      <w:tr w:rsidR="0087417D" w:rsidRPr="0087417D" w14:paraId="7A66CD4E"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7A22015" w14:textId="77777777" w:rsidR="0087417D" w:rsidRPr="0087417D" w:rsidRDefault="0087417D" w:rsidP="0087417D">
            <w:pPr>
              <w:pStyle w:val="TableText"/>
            </w:pPr>
            <w:r w:rsidRPr="0087417D">
              <w:t>DDO</w:t>
            </w:r>
          </w:p>
        </w:tc>
        <w:tc>
          <w:tcPr>
            <w:tcW w:w="7369" w:type="dxa"/>
          </w:tcPr>
          <w:p w14:paraId="11B57C1B"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Design and Development Overlay</w:t>
            </w:r>
          </w:p>
        </w:tc>
      </w:tr>
      <w:tr w:rsidR="0087417D" w:rsidRPr="0087417D" w14:paraId="5B3A915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4DF1DB3" w14:textId="77777777" w:rsidR="0087417D" w:rsidRPr="0087417D" w:rsidRDefault="0087417D" w:rsidP="0087417D">
            <w:pPr>
              <w:pStyle w:val="TableText"/>
            </w:pPr>
            <w:r w:rsidRPr="0087417D">
              <w:t>DHHS</w:t>
            </w:r>
          </w:p>
        </w:tc>
        <w:tc>
          <w:tcPr>
            <w:tcW w:w="7369" w:type="dxa"/>
          </w:tcPr>
          <w:p w14:paraId="0E83395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Department of Health and Human Services </w:t>
            </w:r>
          </w:p>
        </w:tc>
      </w:tr>
      <w:tr w:rsidR="0087417D" w:rsidRPr="0087417D" w14:paraId="08C28D3B"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5ADA0F8" w14:textId="77777777" w:rsidR="0087417D" w:rsidRPr="0087417D" w:rsidRDefault="0087417D" w:rsidP="0087417D">
            <w:pPr>
              <w:pStyle w:val="TableText"/>
            </w:pPr>
            <w:r w:rsidRPr="0087417D">
              <w:t>DELWP</w:t>
            </w:r>
          </w:p>
        </w:tc>
        <w:tc>
          <w:tcPr>
            <w:tcW w:w="7369" w:type="dxa"/>
          </w:tcPr>
          <w:p w14:paraId="110505F7"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Department of Environment, Land, Water and Planning </w:t>
            </w:r>
          </w:p>
        </w:tc>
      </w:tr>
      <w:tr w:rsidR="0087417D" w:rsidRPr="0087417D" w14:paraId="190B4A3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AB0C243" w14:textId="77777777" w:rsidR="0087417D" w:rsidRPr="0087417D" w:rsidRDefault="0087417D" w:rsidP="0087417D">
            <w:pPr>
              <w:pStyle w:val="TableText"/>
            </w:pPr>
            <w:r w:rsidRPr="0087417D">
              <w:t>DoEE</w:t>
            </w:r>
          </w:p>
        </w:tc>
        <w:tc>
          <w:tcPr>
            <w:tcW w:w="7369" w:type="dxa"/>
          </w:tcPr>
          <w:p w14:paraId="5A195629"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Department of Energy and Environment</w:t>
            </w:r>
          </w:p>
        </w:tc>
      </w:tr>
      <w:tr w:rsidR="0087417D" w:rsidRPr="0087417D" w14:paraId="4B74AFC5"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612B32B0" w14:textId="77777777" w:rsidR="0087417D" w:rsidRPr="0087417D" w:rsidRDefault="0087417D" w:rsidP="0087417D">
            <w:pPr>
              <w:pStyle w:val="TableText"/>
            </w:pPr>
            <w:r w:rsidRPr="0087417D">
              <w:t>DPM</w:t>
            </w:r>
          </w:p>
        </w:tc>
        <w:tc>
          <w:tcPr>
            <w:tcW w:w="7369" w:type="dxa"/>
          </w:tcPr>
          <w:p w14:paraId="51447CCD"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Diesel Particulate Matter </w:t>
            </w:r>
          </w:p>
        </w:tc>
      </w:tr>
      <w:tr w:rsidR="0087417D" w:rsidRPr="0087417D" w14:paraId="2787D26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687F69A" w14:textId="77777777" w:rsidR="0087417D" w:rsidRPr="0087417D" w:rsidRDefault="0087417D" w:rsidP="0087417D">
            <w:pPr>
              <w:pStyle w:val="TableText"/>
            </w:pPr>
            <w:r w:rsidRPr="0087417D">
              <w:t>EES</w:t>
            </w:r>
          </w:p>
        </w:tc>
        <w:tc>
          <w:tcPr>
            <w:tcW w:w="7369" w:type="dxa"/>
          </w:tcPr>
          <w:p w14:paraId="390C4A36"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Environment Effects Statement</w:t>
            </w:r>
          </w:p>
        </w:tc>
      </w:tr>
      <w:tr w:rsidR="0087417D" w:rsidRPr="0087417D" w14:paraId="504A620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09FC2FD" w14:textId="77777777" w:rsidR="0087417D" w:rsidRPr="0087417D" w:rsidRDefault="0087417D" w:rsidP="0087417D">
            <w:pPr>
              <w:pStyle w:val="TableText"/>
            </w:pPr>
            <w:r w:rsidRPr="0087417D">
              <w:t>EMF</w:t>
            </w:r>
          </w:p>
        </w:tc>
        <w:tc>
          <w:tcPr>
            <w:tcW w:w="7369" w:type="dxa"/>
          </w:tcPr>
          <w:p w14:paraId="2C082A4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Environmental Management Framework</w:t>
            </w:r>
          </w:p>
        </w:tc>
      </w:tr>
      <w:tr w:rsidR="0087417D" w:rsidRPr="0087417D" w14:paraId="408C3C8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0A03D0D" w14:textId="77777777" w:rsidR="0087417D" w:rsidRPr="0087417D" w:rsidRDefault="0087417D" w:rsidP="0087417D">
            <w:pPr>
              <w:pStyle w:val="TableText"/>
            </w:pPr>
            <w:r w:rsidRPr="0087417D">
              <w:t>EPA Victoria</w:t>
            </w:r>
          </w:p>
        </w:tc>
        <w:tc>
          <w:tcPr>
            <w:tcW w:w="7369" w:type="dxa"/>
          </w:tcPr>
          <w:p w14:paraId="2E52FBA2"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Environment Protection Authority Victoria</w:t>
            </w:r>
          </w:p>
        </w:tc>
      </w:tr>
      <w:tr w:rsidR="0087417D" w:rsidRPr="0087417D" w14:paraId="65BFDE26"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EFA2C14" w14:textId="77777777" w:rsidR="0087417D" w:rsidRPr="0087417D" w:rsidRDefault="0087417D" w:rsidP="0087417D">
            <w:pPr>
              <w:pStyle w:val="TableText"/>
            </w:pPr>
            <w:r w:rsidRPr="0087417D">
              <w:t xml:space="preserve">EPBC Act </w:t>
            </w:r>
          </w:p>
        </w:tc>
        <w:tc>
          <w:tcPr>
            <w:tcW w:w="7369" w:type="dxa"/>
          </w:tcPr>
          <w:p w14:paraId="3E79E7D6" w14:textId="385C29DE"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Environmental Protection and Bi</w:t>
            </w:r>
            <w:r w:rsidR="000743CC">
              <w:t>odiversity Conservation Act 1999</w:t>
            </w:r>
          </w:p>
        </w:tc>
      </w:tr>
      <w:tr w:rsidR="0087417D" w:rsidRPr="0087417D" w14:paraId="587B78F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0CBA36BE" w14:textId="77777777" w:rsidR="0087417D" w:rsidRPr="0087417D" w:rsidRDefault="0087417D" w:rsidP="0087417D">
            <w:pPr>
              <w:pStyle w:val="TableText"/>
            </w:pPr>
            <w:r w:rsidRPr="0087417D">
              <w:t>EPR</w:t>
            </w:r>
          </w:p>
        </w:tc>
        <w:tc>
          <w:tcPr>
            <w:tcW w:w="7369" w:type="dxa"/>
          </w:tcPr>
          <w:p w14:paraId="5ED2CFD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Environmental Performance Requirement</w:t>
            </w:r>
          </w:p>
        </w:tc>
      </w:tr>
      <w:tr w:rsidR="0087417D" w:rsidRPr="0087417D" w14:paraId="4080DC66"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3DD699D" w14:textId="77777777" w:rsidR="0087417D" w:rsidRPr="0087417D" w:rsidRDefault="0087417D" w:rsidP="0087417D">
            <w:pPr>
              <w:pStyle w:val="TableText"/>
            </w:pPr>
            <w:r w:rsidRPr="0087417D">
              <w:t>ESO</w:t>
            </w:r>
          </w:p>
        </w:tc>
        <w:tc>
          <w:tcPr>
            <w:tcW w:w="7369" w:type="dxa"/>
          </w:tcPr>
          <w:p w14:paraId="30296E7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Environmental Significance Overlay</w:t>
            </w:r>
          </w:p>
        </w:tc>
      </w:tr>
      <w:tr w:rsidR="0087417D" w:rsidRPr="0087417D" w14:paraId="3F113F7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A93FBDD" w14:textId="77777777" w:rsidR="0087417D" w:rsidRPr="0087417D" w:rsidRDefault="0087417D" w:rsidP="0087417D">
            <w:pPr>
              <w:pStyle w:val="TableText"/>
            </w:pPr>
            <w:r w:rsidRPr="0087417D">
              <w:t>EVC</w:t>
            </w:r>
          </w:p>
        </w:tc>
        <w:tc>
          <w:tcPr>
            <w:tcW w:w="7369" w:type="dxa"/>
          </w:tcPr>
          <w:p w14:paraId="0A3219B7"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Ecological Vegetation Class</w:t>
            </w:r>
          </w:p>
        </w:tc>
      </w:tr>
      <w:tr w:rsidR="0087417D" w:rsidRPr="0087417D" w14:paraId="728D88C5"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3BBDA93" w14:textId="77777777" w:rsidR="0087417D" w:rsidRPr="0087417D" w:rsidRDefault="0087417D" w:rsidP="0087417D">
            <w:pPr>
              <w:pStyle w:val="TableText"/>
            </w:pPr>
            <w:r w:rsidRPr="0087417D">
              <w:t>FFG Act</w:t>
            </w:r>
          </w:p>
        </w:tc>
        <w:tc>
          <w:tcPr>
            <w:tcW w:w="7369" w:type="dxa"/>
          </w:tcPr>
          <w:p w14:paraId="28BCEAE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Flora and Fauna Guarantee Act 1988</w:t>
            </w:r>
          </w:p>
        </w:tc>
      </w:tr>
      <w:tr w:rsidR="0087417D" w:rsidRPr="0087417D" w14:paraId="5E2D39AA"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AC4E561" w14:textId="77777777" w:rsidR="0087417D" w:rsidRPr="0087417D" w:rsidRDefault="0087417D" w:rsidP="0087417D">
            <w:pPr>
              <w:pStyle w:val="TableText"/>
            </w:pPr>
            <w:r w:rsidRPr="0087417D">
              <w:t>GDE</w:t>
            </w:r>
          </w:p>
        </w:tc>
        <w:tc>
          <w:tcPr>
            <w:tcW w:w="7369" w:type="dxa"/>
          </w:tcPr>
          <w:p w14:paraId="2EA07ECD"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Groundwater dependent ecosystem</w:t>
            </w:r>
          </w:p>
        </w:tc>
      </w:tr>
      <w:tr w:rsidR="0087417D" w:rsidRPr="0087417D" w14:paraId="5F12523B"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080A1BA2" w14:textId="77777777" w:rsidR="0087417D" w:rsidRPr="0087417D" w:rsidRDefault="0087417D" w:rsidP="0087417D">
            <w:pPr>
              <w:pStyle w:val="TableText"/>
            </w:pPr>
            <w:r w:rsidRPr="0087417D">
              <w:t xml:space="preserve">GIS </w:t>
            </w:r>
          </w:p>
        </w:tc>
        <w:tc>
          <w:tcPr>
            <w:tcW w:w="7369" w:type="dxa"/>
          </w:tcPr>
          <w:p w14:paraId="06D2C669"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Geographical Information Systems </w:t>
            </w:r>
          </w:p>
        </w:tc>
      </w:tr>
      <w:tr w:rsidR="0087417D" w:rsidRPr="0087417D" w14:paraId="336AA8E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CE98217" w14:textId="77777777" w:rsidR="0087417D" w:rsidRPr="0087417D" w:rsidRDefault="0087417D" w:rsidP="0087417D">
            <w:pPr>
              <w:pStyle w:val="TableText"/>
            </w:pPr>
            <w:r w:rsidRPr="0087417D">
              <w:t xml:space="preserve">GLCs </w:t>
            </w:r>
          </w:p>
        </w:tc>
        <w:tc>
          <w:tcPr>
            <w:tcW w:w="7369" w:type="dxa"/>
          </w:tcPr>
          <w:p w14:paraId="05309256"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Ground Level Concentrations </w:t>
            </w:r>
          </w:p>
        </w:tc>
      </w:tr>
      <w:tr w:rsidR="0087417D" w:rsidRPr="0087417D" w14:paraId="23F8454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DDDD66C" w14:textId="77777777" w:rsidR="0087417D" w:rsidRPr="0087417D" w:rsidRDefault="0087417D" w:rsidP="0087417D">
            <w:pPr>
              <w:pStyle w:val="TableText"/>
            </w:pPr>
            <w:r w:rsidRPr="0087417D">
              <w:t>HML</w:t>
            </w:r>
          </w:p>
        </w:tc>
        <w:tc>
          <w:tcPr>
            <w:tcW w:w="7369" w:type="dxa"/>
          </w:tcPr>
          <w:p w14:paraId="6277AB6C"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Higher Mass Limits</w:t>
            </w:r>
          </w:p>
        </w:tc>
      </w:tr>
      <w:tr w:rsidR="0087417D" w:rsidRPr="0087417D" w14:paraId="5B400B0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06874024" w14:textId="77777777" w:rsidR="0087417D" w:rsidRPr="0087417D" w:rsidRDefault="0087417D" w:rsidP="0087417D">
            <w:pPr>
              <w:pStyle w:val="TableText"/>
            </w:pPr>
            <w:r w:rsidRPr="0087417D">
              <w:t>HNA</w:t>
            </w:r>
          </w:p>
        </w:tc>
        <w:tc>
          <w:tcPr>
            <w:tcW w:w="7369" w:type="dxa"/>
          </w:tcPr>
          <w:p w14:paraId="0DB45C27"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Highly Noise Affected </w:t>
            </w:r>
          </w:p>
        </w:tc>
      </w:tr>
      <w:tr w:rsidR="0087417D" w:rsidRPr="0087417D" w14:paraId="471A1E57"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42F4C51E" w14:textId="77777777" w:rsidR="0087417D" w:rsidRPr="0087417D" w:rsidRDefault="0087417D" w:rsidP="0087417D">
            <w:pPr>
              <w:pStyle w:val="TableText"/>
            </w:pPr>
            <w:r w:rsidRPr="0087417D">
              <w:t>HPFV</w:t>
            </w:r>
          </w:p>
        </w:tc>
        <w:tc>
          <w:tcPr>
            <w:tcW w:w="7369" w:type="dxa"/>
          </w:tcPr>
          <w:p w14:paraId="433AF01B"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High priority freight vehicle</w:t>
            </w:r>
          </w:p>
        </w:tc>
      </w:tr>
      <w:tr w:rsidR="0087417D" w:rsidRPr="0087417D" w14:paraId="38FFAF5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00AC3F9" w14:textId="77777777" w:rsidR="0087417D" w:rsidRPr="0087417D" w:rsidRDefault="0087417D" w:rsidP="0087417D">
            <w:pPr>
              <w:pStyle w:val="TableText"/>
            </w:pPr>
            <w:r w:rsidRPr="0087417D">
              <w:t>HO</w:t>
            </w:r>
          </w:p>
        </w:tc>
        <w:tc>
          <w:tcPr>
            <w:tcW w:w="7369" w:type="dxa"/>
          </w:tcPr>
          <w:p w14:paraId="480D1587"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Heritage Overlay </w:t>
            </w:r>
          </w:p>
        </w:tc>
      </w:tr>
      <w:tr w:rsidR="0087417D" w:rsidRPr="0087417D" w14:paraId="1B9B1760"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43F75C06" w14:textId="77777777" w:rsidR="0087417D" w:rsidRPr="0087417D" w:rsidRDefault="0087417D" w:rsidP="0087417D">
            <w:pPr>
              <w:pStyle w:val="TableText"/>
            </w:pPr>
            <w:r w:rsidRPr="0087417D">
              <w:t>IAIA</w:t>
            </w:r>
          </w:p>
        </w:tc>
        <w:tc>
          <w:tcPr>
            <w:tcW w:w="7369" w:type="dxa"/>
          </w:tcPr>
          <w:p w14:paraId="039238D6"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International Association for Impact Assessment</w:t>
            </w:r>
          </w:p>
        </w:tc>
      </w:tr>
      <w:tr w:rsidR="0087417D" w:rsidRPr="0087417D" w14:paraId="42F01DE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7DC891B" w14:textId="77777777" w:rsidR="0087417D" w:rsidRPr="0087417D" w:rsidRDefault="0087417D" w:rsidP="0087417D">
            <w:pPr>
              <w:pStyle w:val="TableText"/>
            </w:pPr>
            <w:r w:rsidRPr="0087417D">
              <w:t>ICNG</w:t>
            </w:r>
          </w:p>
        </w:tc>
        <w:tc>
          <w:tcPr>
            <w:tcW w:w="7369" w:type="dxa"/>
          </w:tcPr>
          <w:p w14:paraId="5284925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Interim Construction Noise Guideline</w:t>
            </w:r>
          </w:p>
        </w:tc>
      </w:tr>
      <w:tr w:rsidR="0087417D" w:rsidRPr="0087417D" w14:paraId="337BD6AB"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0B712A3" w14:textId="77777777" w:rsidR="0087417D" w:rsidRPr="0087417D" w:rsidRDefault="0087417D" w:rsidP="0087417D">
            <w:pPr>
              <w:pStyle w:val="TableText"/>
            </w:pPr>
            <w:r w:rsidRPr="0087417D">
              <w:t>IRC</w:t>
            </w:r>
          </w:p>
        </w:tc>
        <w:tc>
          <w:tcPr>
            <w:tcW w:w="7369" w:type="dxa"/>
          </w:tcPr>
          <w:p w14:paraId="5A52BF2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Index of River Condition</w:t>
            </w:r>
          </w:p>
        </w:tc>
      </w:tr>
      <w:tr w:rsidR="0087417D" w:rsidRPr="0087417D" w14:paraId="78A48BE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0E72B00" w14:textId="77777777" w:rsidR="0087417D" w:rsidRPr="0087417D" w:rsidRDefault="0087417D" w:rsidP="0087417D">
            <w:pPr>
              <w:pStyle w:val="TableText"/>
            </w:pPr>
            <w:r w:rsidRPr="0087417D">
              <w:t>IRSAD</w:t>
            </w:r>
          </w:p>
        </w:tc>
        <w:tc>
          <w:tcPr>
            <w:tcW w:w="7369" w:type="dxa"/>
          </w:tcPr>
          <w:p w14:paraId="2F69606A"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Index of Relative Socio-Economic Advantage and Disadvantage</w:t>
            </w:r>
          </w:p>
        </w:tc>
      </w:tr>
      <w:tr w:rsidR="0087417D" w:rsidRPr="0087417D" w14:paraId="029F14C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B995053" w14:textId="77777777" w:rsidR="0087417D" w:rsidRPr="0087417D" w:rsidRDefault="0087417D" w:rsidP="0087417D">
            <w:pPr>
              <w:pStyle w:val="TableText"/>
            </w:pPr>
            <w:r w:rsidRPr="0087417D">
              <w:t>ISC</w:t>
            </w:r>
          </w:p>
        </w:tc>
        <w:tc>
          <w:tcPr>
            <w:tcW w:w="7369" w:type="dxa"/>
          </w:tcPr>
          <w:p w14:paraId="23AB6DC6"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Index of Stream Condition</w:t>
            </w:r>
          </w:p>
        </w:tc>
      </w:tr>
      <w:tr w:rsidR="0087417D" w:rsidRPr="0087417D" w14:paraId="150C297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BEDEE71" w14:textId="77777777" w:rsidR="0087417D" w:rsidRPr="0087417D" w:rsidRDefault="0087417D" w:rsidP="0087417D">
            <w:pPr>
              <w:pStyle w:val="TableText"/>
            </w:pPr>
            <w:r w:rsidRPr="0087417D">
              <w:lastRenderedPageBreak/>
              <w:t>ISCA</w:t>
            </w:r>
          </w:p>
        </w:tc>
        <w:tc>
          <w:tcPr>
            <w:tcW w:w="7369" w:type="dxa"/>
          </w:tcPr>
          <w:p w14:paraId="61E12318"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Infrastructure Sustainability Council of Australia</w:t>
            </w:r>
          </w:p>
        </w:tc>
      </w:tr>
      <w:tr w:rsidR="0087417D" w:rsidRPr="0087417D" w14:paraId="3172733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0EA044C1" w14:textId="77777777" w:rsidR="0087417D" w:rsidRPr="0087417D" w:rsidRDefault="0087417D" w:rsidP="0087417D">
            <w:pPr>
              <w:pStyle w:val="TableText"/>
            </w:pPr>
            <w:r w:rsidRPr="0087417D">
              <w:t>IWRG</w:t>
            </w:r>
          </w:p>
        </w:tc>
        <w:tc>
          <w:tcPr>
            <w:tcW w:w="7369" w:type="dxa"/>
          </w:tcPr>
          <w:p w14:paraId="357A5743"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EPA Victoria Industrial Waste Resource Guideline</w:t>
            </w:r>
          </w:p>
        </w:tc>
      </w:tr>
      <w:tr w:rsidR="0087417D" w:rsidRPr="0087417D" w14:paraId="2BFD870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0EB9EE14" w14:textId="77777777" w:rsidR="0087417D" w:rsidRPr="0087417D" w:rsidRDefault="0087417D" w:rsidP="0087417D">
            <w:pPr>
              <w:pStyle w:val="TableText"/>
            </w:pPr>
            <w:r w:rsidRPr="0087417D">
              <w:t xml:space="preserve">LGAs </w:t>
            </w:r>
          </w:p>
        </w:tc>
        <w:tc>
          <w:tcPr>
            <w:tcW w:w="7369" w:type="dxa"/>
          </w:tcPr>
          <w:p w14:paraId="0DEF2F7D"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Local Government Areas </w:t>
            </w:r>
          </w:p>
        </w:tc>
      </w:tr>
      <w:tr w:rsidR="0087417D" w:rsidRPr="0087417D" w14:paraId="5544BB06"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8330A37" w14:textId="77777777" w:rsidR="0087417D" w:rsidRPr="0087417D" w:rsidRDefault="0087417D" w:rsidP="0087417D">
            <w:pPr>
              <w:pStyle w:val="TableText"/>
            </w:pPr>
            <w:r w:rsidRPr="0087417D">
              <w:t>LPP</w:t>
            </w:r>
          </w:p>
        </w:tc>
        <w:tc>
          <w:tcPr>
            <w:tcW w:w="7369" w:type="dxa"/>
          </w:tcPr>
          <w:p w14:paraId="191BA990"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Local Planning Policies </w:t>
            </w:r>
          </w:p>
        </w:tc>
      </w:tr>
      <w:tr w:rsidR="0087417D" w:rsidRPr="0087417D" w14:paraId="7CA3F21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48C7BA7C" w14:textId="77777777" w:rsidR="0087417D" w:rsidRPr="0087417D" w:rsidRDefault="0087417D" w:rsidP="0087417D">
            <w:pPr>
              <w:pStyle w:val="TableText"/>
            </w:pPr>
            <w:r w:rsidRPr="0087417D">
              <w:t>LPPF</w:t>
            </w:r>
          </w:p>
        </w:tc>
        <w:tc>
          <w:tcPr>
            <w:tcW w:w="7369" w:type="dxa"/>
          </w:tcPr>
          <w:p w14:paraId="3149F0B4"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Local Planning Policy Framework</w:t>
            </w:r>
          </w:p>
        </w:tc>
      </w:tr>
      <w:tr w:rsidR="0087417D" w:rsidRPr="0087417D" w14:paraId="62478530"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88A7DB9" w14:textId="77777777" w:rsidR="0087417D" w:rsidRPr="0087417D" w:rsidRDefault="0087417D" w:rsidP="0087417D">
            <w:pPr>
              <w:pStyle w:val="TableText"/>
            </w:pPr>
            <w:r w:rsidRPr="0087417D">
              <w:t>LUMS</w:t>
            </w:r>
          </w:p>
        </w:tc>
        <w:tc>
          <w:tcPr>
            <w:tcW w:w="7369" w:type="dxa"/>
          </w:tcPr>
          <w:p w14:paraId="3405EC50"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Land use management signs</w:t>
            </w:r>
          </w:p>
        </w:tc>
      </w:tr>
      <w:tr w:rsidR="0087417D" w:rsidRPr="0087417D" w14:paraId="392F3D2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6CCD7141" w14:textId="77777777" w:rsidR="0087417D" w:rsidRPr="0087417D" w:rsidRDefault="0087417D" w:rsidP="0087417D">
            <w:pPr>
              <w:pStyle w:val="TableText"/>
            </w:pPr>
            <w:r w:rsidRPr="0087417D">
              <w:t>M80 Ring Road</w:t>
            </w:r>
          </w:p>
        </w:tc>
        <w:tc>
          <w:tcPr>
            <w:tcW w:w="7369" w:type="dxa"/>
          </w:tcPr>
          <w:p w14:paraId="207EBD4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Metropolitan Ring Road</w:t>
            </w:r>
          </w:p>
        </w:tc>
      </w:tr>
      <w:tr w:rsidR="0087417D" w:rsidRPr="0087417D" w14:paraId="5CF254F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6449F980" w14:textId="77777777" w:rsidR="0087417D" w:rsidRPr="0087417D" w:rsidRDefault="0087417D" w:rsidP="0087417D">
            <w:pPr>
              <w:pStyle w:val="TableText"/>
            </w:pPr>
            <w:r w:rsidRPr="0087417D">
              <w:t>MACs</w:t>
            </w:r>
          </w:p>
        </w:tc>
        <w:tc>
          <w:tcPr>
            <w:tcW w:w="7369" w:type="dxa"/>
          </w:tcPr>
          <w:p w14:paraId="04F598C4"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Metropolitan Activity Centres</w:t>
            </w:r>
          </w:p>
        </w:tc>
      </w:tr>
      <w:tr w:rsidR="0087417D" w:rsidRPr="0087417D" w14:paraId="6A818CC6"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7B1952A" w14:textId="77777777" w:rsidR="0087417D" w:rsidRPr="0087417D" w:rsidRDefault="0087417D" w:rsidP="0087417D">
            <w:pPr>
              <w:pStyle w:val="TableText"/>
            </w:pPr>
            <w:r w:rsidRPr="0087417D">
              <w:t>MLTV</w:t>
            </w:r>
          </w:p>
        </w:tc>
        <w:tc>
          <w:tcPr>
            <w:tcW w:w="7369" w:type="dxa"/>
          </w:tcPr>
          <w:p w14:paraId="52B45083"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Medium or Long Term Viable</w:t>
            </w:r>
          </w:p>
        </w:tc>
      </w:tr>
      <w:tr w:rsidR="0087417D" w:rsidRPr="0087417D" w14:paraId="6EAA8865"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07028A4F" w14:textId="77777777" w:rsidR="0087417D" w:rsidRPr="0087417D" w:rsidRDefault="0087417D" w:rsidP="0087417D">
            <w:pPr>
              <w:pStyle w:val="TableText"/>
            </w:pPr>
            <w:r w:rsidRPr="0087417D">
              <w:t>MSS</w:t>
            </w:r>
          </w:p>
        </w:tc>
        <w:tc>
          <w:tcPr>
            <w:tcW w:w="7369" w:type="dxa"/>
          </w:tcPr>
          <w:p w14:paraId="0780AE47"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Municipal Strategic Statement</w:t>
            </w:r>
          </w:p>
        </w:tc>
      </w:tr>
      <w:tr w:rsidR="00124240" w:rsidRPr="0087417D" w14:paraId="13C82036"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42230FA" w14:textId="2CB42A68" w:rsidR="00124240" w:rsidRPr="0087417D" w:rsidRDefault="00124240" w:rsidP="0087417D">
            <w:pPr>
              <w:pStyle w:val="TableText"/>
            </w:pPr>
            <w:r>
              <w:t>MTIA</w:t>
            </w:r>
          </w:p>
        </w:tc>
        <w:tc>
          <w:tcPr>
            <w:tcW w:w="7369" w:type="dxa"/>
          </w:tcPr>
          <w:p w14:paraId="3EBDD604" w14:textId="3F4C7E3B" w:rsidR="00124240" w:rsidRPr="0087417D" w:rsidRDefault="00124240" w:rsidP="00124240">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Major Transport Infrastructure Authority</w:t>
            </w:r>
          </w:p>
        </w:tc>
      </w:tr>
      <w:tr w:rsidR="0087417D" w:rsidRPr="0087417D" w14:paraId="136168A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F3F8A26" w14:textId="77777777" w:rsidR="0087417D" w:rsidRPr="0087417D" w:rsidRDefault="0087417D" w:rsidP="0087417D">
            <w:pPr>
              <w:pStyle w:val="TableText"/>
            </w:pPr>
            <w:r w:rsidRPr="0087417D">
              <w:t>MTPF Act</w:t>
            </w:r>
          </w:p>
        </w:tc>
        <w:tc>
          <w:tcPr>
            <w:tcW w:w="7369" w:type="dxa"/>
          </w:tcPr>
          <w:p w14:paraId="63A3863B"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Major Transport Projects Facilitation Act 2009</w:t>
            </w:r>
          </w:p>
        </w:tc>
      </w:tr>
      <w:tr w:rsidR="0087417D" w:rsidRPr="0087417D" w14:paraId="3477F150"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AF821F0" w14:textId="77777777" w:rsidR="0087417D" w:rsidRPr="0087417D" w:rsidRDefault="0087417D" w:rsidP="0087417D">
            <w:pPr>
              <w:pStyle w:val="TableText"/>
            </w:pPr>
            <w:r w:rsidRPr="0087417D">
              <w:t>MVA</w:t>
            </w:r>
          </w:p>
        </w:tc>
        <w:tc>
          <w:tcPr>
            <w:tcW w:w="7369" w:type="dxa"/>
          </w:tcPr>
          <w:p w14:paraId="3C3ABD2B"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Mega Volt Amps</w:t>
            </w:r>
          </w:p>
        </w:tc>
      </w:tr>
      <w:tr w:rsidR="0087417D" w:rsidRPr="0087417D" w14:paraId="0E3E097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787169F8" w14:textId="77777777" w:rsidR="0087417D" w:rsidRPr="0087417D" w:rsidRDefault="0087417D" w:rsidP="0087417D">
            <w:pPr>
              <w:pStyle w:val="TableText"/>
            </w:pPr>
            <w:r w:rsidRPr="0087417D">
              <w:t>NEIC</w:t>
            </w:r>
          </w:p>
        </w:tc>
        <w:tc>
          <w:tcPr>
            <w:tcW w:w="7369" w:type="dxa"/>
          </w:tcPr>
          <w:p w14:paraId="31FB3C1E"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National Employment and Innovation Cluster</w:t>
            </w:r>
          </w:p>
        </w:tc>
      </w:tr>
      <w:tr w:rsidR="0087417D" w:rsidRPr="0087417D" w14:paraId="1D5C9190"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7CFDE767" w14:textId="77777777" w:rsidR="0087417D" w:rsidRPr="0087417D" w:rsidRDefault="0087417D" w:rsidP="0087417D">
            <w:pPr>
              <w:pStyle w:val="TableText"/>
            </w:pPr>
            <w:r w:rsidRPr="0087417D">
              <w:t>NELA</w:t>
            </w:r>
          </w:p>
        </w:tc>
        <w:tc>
          <w:tcPr>
            <w:tcW w:w="7369" w:type="dxa"/>
          </w:tcPr>
          <w:p w14:paraId="33A35E1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North East Link Authority </w:t>
            </w:r>
          </w:p>
        </w:tc>
      </w:tr>
      <w:tr w:rsidR="003B4C23" w:rsidRPr="0087417D" w14:paraId="0B64D3FB"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67E1A5C" w14:textId="61B8E90E" w:rsidR="003B4C23" w:rsidRPr="0087417D" w:rsidRDefault="003B4C23" w:rsidP="0087417D">
            <w:pPr>
              <w:pStyle w:val="TableText"/>
            </w:pPr>
            <w:r>
              <w:t>NELP</w:t>
            </w:r>
          </w:p>
        </w:tc>
        <w:tc>
          <w:tcPr>
            <w:tcW w:w="7369" w:type="dxa"/>
          </w:tcPr>
          <w:p w14:paraId="7EC5F56A" w14:textId="79705B94" w:rsidR="003B4C23" w:rsidRPr="0087417D" w:rsidRDefault="003B4C23" w:rsidP="0087417D">
            <w:pPr>
              <w:pStyle w:val="TableText"/>
              <w:cnfStyle w:val="000000000000" w:firstRow="0" w:lastRow="0" w:firstColumn="0" w:lastColumn="0" w:oddVBand="0" w:evenVBand="0" w:oddHBand="0" w:evenHBand="0" w:firstRowFirstColumn="0" w:firstRowLastColumn="0" w:lastRowFirstColumn="0" w:lastRowLastColumn="0"/>
            </w:pPr>
            <w:r>
              <w:t>North East Link Project</w:t>
            </w:r>
          </w:p>
        </w:tc>
      </w:tr>
      <w:tr w:rsidR="0087417D" w:rsidRPr="0087417D" w14:paraId="41BA46A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0348FD8F" w14:textId="77777777" w:rsidR="0087417D" w:rsidRPr="0087417D" w:rsidRDefault="0087417D" w:rsidP="0087417D">
            <w:pPr>
              <w:pStyle w:val="TableText"/>
            </w:pPr>
            <w:r w:rsidRPr="0087417D">
              <w:t xml:space="preserve">NEPC </w:t>
            </w:r>
          </w:p>
        </w:tc>
        <w:tc>
          <w:tcPr>
            <w:tcW w:w="7369" w:type="dxa"/>
          </w:tcPr>
          <w:p w14:paraId="22340BED"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National Environment Protection Council</w:t>
            </w:r>
          </w:p>
        </w:tc>
      </w:tr>
      <w:tr w:rsidR="0087417D" w:rsidRPr="0087417D" w14:paraId="7C247C7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2369246" w14:textId="77777777" w:rsidR="0087417D" w:rsidRPr="0087417D" w:rsidRDefault="0087417D" w:rsidP="0087417D">
            <w:pPr>
              <w:pStyle w:val="TableText"/>
            </w:pPr>
            <w:r w:rsidRPr="0087417D">
              <w:t>NEPM</w:t>
            </w:r>
          </w:p>
        </w:tc>
        <w:tc>
          <w:tcPr>
            <w:tcW w:w="7369" w:type="dxa"/>
          </w:tcPr>
          <w:p w14:paraId="2296541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National Environment Protection Measure</w:t>
            </w:r>
          </w:p>
        </w:tc>
      </w:tr>
      <w:tr w:rsidR="0087417D" w:rsidRPr="0087417D" w14:paraId="12CB49F6"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EC9104C" w14:textId="77777777" w:rsidR="0087417D" w:rsidRPr="0087417D" w:rsidRDefault="0087417D" w:rsidP="0087417D">
            <w:pPr>
              <w:pStyle w:val="TableText"/>
            </w:pPr>
            <w:r w:rsidRPr="0087417D">
              <w:t>Matters of NES</w:t>
            </w:r>
          </w:p>
        </w:tc>
        <w:tc>
          <w:tcPr>
            <w:tcW w:w="7369" w:type="dxa"/>
          </w:tcPr>
          <w:p w14:paraId="2282E657"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Matters of national environmental significance </w:t>
            </w:r>
          </w:p>
        </w:tc>
      </w:tr>
      <w:tr w:rsidR="0087417D" w:rsidRPr="0087417D" w14:paraId="33A467F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BE1183E" w14:textId="77777777" w:rsidR="0087417D" w:rsidRPr="0087417D" w:rsidRDefault="0087417D" w:rsidP="0087417D">
            <w:pPr>
              <w:pStyle w:val="TableText"/>
            </w:pPr>
            <w:r w:rsidRPr="0087417D">
              <w:t>NML</w:t>
            </w:r>
          </w:p>
        </w:tc>
        <w:tc>
          <w:tcPr>
            <w:tcW w:w="7369" w:type="dxa"/>
          </w:tcPr>
          <w:p w14:paraId="256BCD0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Noise Management Level</w:t>
            </w:r>
          </w:p>
        </w:tc>
      </w:tr>
      <w:tr w:rsidR="0087417D" w:rsidRPr="0087417D" w14:paraId="36602AFB"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45356F4F" w14:textId="77777777" w:rsidR="0087417D" w:rsidRPr="0087417D" w:rsidRDefault="0087417D" w:rsidP="0087417D">
            <w:pPr>
              <w:pStyle w:val="TableText"/>
            </w:pPr>
            <w:r w:rsidRPr="0087417D">
              <w:t>NO</w:t>
            </w:r>
          </w:p>
        </w:tc>
        <w:tc>
          <w:tcPr>
            <w:tcW w:w="7369" w:type="dxa"/>
          </w:tcPr>
          <w:p w14:paraId="2DFBF7DA"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Nitric Oxide</w:t>
            </w:r>
          </w:p>
        </w:tc>
      </w:tr>
      <w:tr w:rsidR="0087417D" w:rsidRPr="0087417D" w14:paraId="2CBC7AC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25DAF49" w14:textId="77777777" w:rsidR="0087417D" w:rsidRPr="0087417D" w:rsidRDefault="0087417D" w:rsidP="0087417D">
            <w:pPr>
              <w:pStyle w:val="TableText"/>
            </w:pPr>
            <w:r w:rsidRPr="0087417D">
              <w:t>NO</w:t>
            </w:r>
            <w:r w:rsidRPr="00354199">
              <w:rPr>
                <w:vertAlign w:val="subscript"/>
              </w:rPr>
              <w:t>2</w:t>
            </w:r>
          </w:p>
        </w:tc>
        <w:tc>
          <w:tcPr>
            <w:tcW w:w="7369" w:type="dxa"/>
          </w:tcPr>
          <w:p w14:paraId="7F1A3DA9"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Nitrogen dioxide</w:t>
            </w:r>
          </w:p>
        </w:tc>
      </w:tr>
      <w:tr w:rsidR="0087417D" w:rsidRPr="0087417D" w14:paraId="746D179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5BFCE6E" w14:textId="77777777" w:rsidR="0087417D" w:rsidRPr="0087417D" w:rsidRDefault="0087417D" w:rsidP="0087417D">
            <w:pPr>
              <w:pStyle w:val="TableText"/>
            </w:pPr>
            <w:r w:rsidRPr="0087417D">
              <w:t>NOx</w:t>
            </w:r>
          </w:p>
        </w:tc>
        <w:tc>
          <w:tcPr>
            <w:tcW w:w="7369" w:type="dxa"/>
          </w:tcPr>
          <w:p w14:paraId="3A5F4880"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Oxides of nitrogen</w:t>
            </w:r>
          </w:p>
        </w:tc>
      </w:tr>
      <w:tr w:rsidR="0087417D" w:rsidRPr="0087417D" w14:paraId="1568C26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82FB5F5" w14:textId="77777777" w:rsidR="0087417D" w:rsidRPr="0087417D" w:rsidRDefault="0087417D" w:rsidP="0087417D">
            <w:pPr>
              <w:pStyle w:val="TableText"/>
            </w:pPr>
            <w:r w:rsidRPr="0087417D">
              <w:t>OD</w:t>
            </w:r>
          </w:p>
        </w:tc>
        <w:tc>
          <w:tcPr>
            <w:tcW w:w="7369" w:type="dxa"/>
          </w:tcPr>
          <w:p w14:paraId="79643C43"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Over Dimensional </w:t>
            </w:r>
          </w:p>
        </w:tc>
      </w:tr>
      <w:tr w:rsidR="0087417D" w:rsidRPr="0087417D" w14:paraId="66C391B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6EF6271B" w14:textId="77777777" w:rsidR="0087417D" w:rsidRPr="0087417D" w:rsidRDefault="0087417D" w:rsidP="0087417D">
            <w:pPr>
              <w:pStyle w:val="TableText"/>
            </w:pPr>
            <w:r w:rsidRPr="0087417D">
              <w:t>OEMP</w:t>
            </w:r>
          </w:p>
        </w:tc>
        <w:tc>
          <w:tcPr>
            <w:tcW w:w="7369" w:type="dxa"/>
          </w:tcPr>
          <w:p w14:paraId="74471A29"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Operations Environmental Management Plan </w:t>
            </w:r>
          </w:p>
        </w:tc>
      </w:tr>
      <w:tr w:rsidR="0087417D" w:rsidRPr="0087417D" w14:paraId="5C759287"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77B97523" w14:textId="77777777" w:rsidR="0087417D" w:rsidRPr="0087417D" w:rsidRDefault="0087417D" w:rsidP="0087417D">
            <w:pPr>
              <w:pStyle w:val="TableText"/>
            </w:pPr>
            <w:r w:rsidRPr="0087417D">
              <w:t>OVGA</w:t>
            </w:r>
          </w:p>
        </w:tc>
        <w:tc>
          <w:tcPr>
            <w:tcW w:w="7369" w:type="dxa"/>
          </w:tcPr>
          <w:p w14:paraId="20CFBC3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Office of the Victorian Government Architect</w:t>
            </w:r>
          </w:p>
        </w:tc>
      </w:tr>
      <w:tr w:rsidR="0087417D" w:rsidRPr="0087417D" w14:paraId="3CD6F1E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583367D" w14:textId="77777777" w:rsidR="0087417D" w:rsidRPr="0087417D" w:rsidRDefault="0087417D" w:rsidP="0087417D">
            <w:pPr>
              <w:pStyle w:val="TableText"/>
            </w:pPr>
            <w:r w:rsidRPr="0087417D">
              <w:t>OSOM</w:t>
            </w:r>
          </w:p>
        </w:tc>
        <w:tc>
          <w:tcPr>
            <w:tcW w:w="7369" w:type="dxa"/>
          </w:tcPr>
          <w:p w14:paraId="35CE0D09" w14:textId="6A8AE601" w:rsidR="0087417D" w:rsidRPr="0087417D" w:rsidRDefault="0087417D" w:rsidP="000743CC">
            <w:pPr>
              <w:pStyle w:val="TableText"/>
              <w:cnfStyle w:val="000000000000" w:firstRow="0" w:lastRow="0" w:firstColumn="0" w:lastColumn="0" w:oddVBand="0" w:evenVBand="0" w:oddHBand="0" w:evenHBand="0" w:firstRowFirstColumn="0" w:firstRowLastColumn="0" w:lastRowFirstColumn="0" w:lastRowLastColumn="0"/>
            </w:pPr>
            <w:r w:rsidRPr="0087417D">
              <w:t>Over-si</w:t>
            </w:r>
            <w:r w:rsidR="000743CC">
              <w:t>ze and Over</w:t>
            </w:r>
            <w:r w:rsidRPr="0087417D">
              <w:t>mass</w:t>
            </w:r>
          </w:p>
        </w:tc>
      </w:tr>
      <w:tr w:rsidR="0087417D" w:rsidRPr="0087417D" w14:paraId="57DDD7C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D0A15E3" w14:textId="77777777" w:rsidR="0087417D" w:rsidRPr="0087417D" w:rsidRDefault="0087417D" w:rsidP="0087417D">
            <w:pPr>
              <w:pStyle w:val="TableText"/>
            </w:pPr>
            <w:r w:rsidRPr="0087417D">
              <w:t>PAHs</w:t>
            </w:r>
          </w:p>
        </w:tc>
        <w:tc>
          <w:tcPr>
            <w:tcW w:w="7369" w:type="dxa"/>
          </w:tcPr>
          <w:p w14:paraId="26F6747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Polycyclic Aromatic Hydrocarbons</w:t>
            </w:r>
          </w:p>
        </w:tc>
      </w:tr>
      <w:tr w:rsidR="0087417D" w:rsidRPr="0087417D" w14:paraId="3C70A2F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74AB1CF8" w14:textId="77777777" w:rsidR="0087417D" w:rsidRPr="0087417D" w:rsidRDefault="0087417D" w:rsidP="0087417D">
            <w:pPr>
              <w:pStyle w:val="TableText"/>
            </w:pPr>
            <w:r w:rsidRPr="0087417D">
              <w:t>PAR</w:t>
            </w:r>
          </w:p>
        </w:tc>
        <w:tc>
          <w:tcPr>
            <w:tcW w:w="7369" w:type="dxa"/>
          </w:tcPr>
          <w:p w14:paraId="63833AB8"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Photosynthetically active radiation</w:t>
            </w:r>
          </w:p>
        </w:tc>
      </w:tr>
      <w:tr w:rsidR="0087417D" w:rsidRPr="0087417D" w14:paraId="41DD0F2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482812A7" w14:textId="77777777" w:rsidR="0087417D" w:rsidRPr="0087417D" w:rsidRDefault="0087417D" w:rsidP="0087417D">
            <w:pPr>
              <w:pStyle w:val="TableText"/>
            </w:pPr>
            <w:r w:rsidRPr="0087417D">
              <w:t>PASS</w:t>
            </w:r>
          </w:p>
        </w:tc>
        <w:tc>
          <w:tcPr>
            <w:tcW w:w="7369" w:type="dxa"/>
          </w:tcPr>
          <w:p w14:paraId="44606A5B" w14:textId="60140591" w:rsidR="0087417D" w:rsidRPr="0087417D" w:rsidRDefault="00C2694C" w:rsidP="0087417D">
            <w:pPr>
              <w:pStyle w:val="TableText"/>
              <w:cnfStyle w:val="000000000000" w:firstRow="0" w:lastRow="0" w:firstColumn="0" w:lastColumn="0" w:oddVBand="0" w:evenVBand="0" w:oddHBand="0" w:evenHBand="0" w:firstRowFirstColumn="0" w:firstRowLastColumn="0" w:lastRowFirstColumn="0" w:lastRowLastColumn="0"/>
            </w:pPr>
            <w:r>
              <w:t>Potential Acid Sulf</w:t>
            </w:r>
            <w:r w:rsidR="0087417D" w:rsidRPr="0087417D">
              <w:t>ate Soil</w:t>
            </w:r>
          </w:p>
        </w:tc>
      </w:tr>
      <w:tr w:rsidR="0087417D" w:rsidRPr="0087417D" w14:paraId="71E3E217"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89B5329" w14:textId="77777777" w:rsidR="0087417D" w:rsidRPr="0087417D" w:rsidRDefault="0087417D" w:rsidP="0087417D">
            <w:pPr>
              <w:pStyle w:val="TableText"/>
            </w:pPr>
            <w:r w:rsidRPr="0087417D">
              <w:t>PER</w:t>
            </w:r>
          </w:p>
        </w:tc>
        <w:tc>
          <w:tcPr>
            <w:tcW w:w="7369" w:type="dxa"/>
          </w:tcPr>
          <w:p w14:paraId="59D23FBB"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Public Environment Report</w:t>
            </w:r>
          </w:p>
        </w:tc>
      </w:tr>
      <w:tr w:rsidR="0087417D" w:rsidRPr="0087417D" w14:paraId="3397AE3A"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4E65818B" w14:textId="77777777" w:rsidR="0087417D" w:rsidRPr="0087417D" w:rsidRDefault="0087417D" w:rsidP="0087417D">
            <w:pPr>
              <w:pStyle w:val="TableText"/>
            </w:pPr>
            <w:r w:rsidRPr="0087417D">
              <w:t>PFAS</w:t>
            </w:r>
          </w:p>
        </w:tc>
        <w:tc>
          <w:tcPr>
            <w:tcW w:w="7369" w:type="dxa"/>
          </w:tcPr>
          <w:p w14:paraId="27278EA2"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Poly-fluoroalkyl substances</w:t>
            </w:r>
          </w:p>
        </w:tc>
      </w:tr>
      <w:tr w:rsidR="0087417D" w:rsidRPr="0087417D" w14:paraId="4A11AE25"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D03A496" w14:textId="77777777" w:rsidR="0087417D" w:rsidRPr="0087417D" w:rsidRDefault="0087417D" w:rsidP="0087417D">
            <w:pPr>
              <w:pStyle w:val="TableText"/>
            </w:pPr>
            <w:r w:rsidRPr="0087417D">
              <w:lastRenderedPageBreak/>
              <w:t>PIARC</w:t>
            </w:r>
          </w:p>
        </w:tc>
        <w:tc>
          <w:tcPr>
            <w:tcW w:w="7369" w:type="dxa"/>
          </w:tcPr>
          <w:p w14:paraId="6FCDED33"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Permanent International Association of Road Congresses, also known as World Road Association</w:t>
            </w:r>
          </w:p>
        </w:tc>
      </w:tr>
      <w:tr w:rsidR="0087417D" w:rsidRPr="0087417D" w14:paraId="0A2647F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3529B95" w14:textId="77777777" w:rsidR="0087417D" w:rsidRPr="0087417D" w:rsidRDefault="0087417D" w:rsidP="0087417D">
            <w:pPr>
              <w:pStyle w:val="TableText"/>
            </w:pPr>
            <w:r w:rsidRPr="0087417D">
              <w:t>PM</w:t>
            </w:r>
            <w:r w:rsidRPr="00354199">
              <w:rPr>
                <w:vertAlign w:val="subscript"/>
              </w:rPr>
              <w:t>10</w:t>
            </w:r>
          </w:p>
        </w:tc>
        <w:tc>
          <w:tcPr>
            <w:tcW w:w="7369" w:type="dxa"/>
          </w:tcPr>
          <w:p w14:paraId="33276A50"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Particulate matter with aerodynamic diameter less than 10 micrometres (0.01 mm).</w:t>
            </w:r>
          </w:p>
        </w:tc>
      </w:tr>
      <w:tr w:rsidR="0087417D" w:rsidRPr="0087417D" w14:paraId="2F67A25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79A3C4D0" w14:textId="77777777" w:rsidR="0087417D" w:rsidRPr="0087417D" w:rsidRDefault="0087417D" w:rsidP="0087417D">
            <w:pPr>
              <w:pStyle w:val="TableText"/>
            </w:pPr>
            <w:r w:rsidRPr="0087417D">
              <w:t>PM</w:t>
            </w:r>
            <w:r w:rsidRPr="00354199">
              <w:rPr>
                <w:vertAlign w:val="subscript"/>
              </w:rPr>
              <w:t>2.5</w:t>
            </w:r>
          </w:p>
        </w:tc>
        <w:tc>
          <w:tcPr>
            <w:tcW w:w="7369" w:type="dxa"/>
          </w:tcPr>
          <w:p w14:paraId="1AC269F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Particulate matter with aerodynamic diameter less than 2.5 micrometres (0.0025 mm).</w:t>
            </w:r>
          </w:p>
        </w:tc>
      </w:tr>
      <w:tr w:rsidR="0087417D" w:rsidRPr="0087417D" w14:paraId="70CB141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5CC92C4" w14:textId="77777777" w:rsidR="0087417D" w:rsidRPr="0087417D" w:rsidRDefault="0087417D" w:rsidP="0087417D">
            <w:pPr>
              <w:pStyle w:val="TableText"/>
            </w:pPr>
            <w:r w:rsidRPr="0087417D">
              <w:t>PPF</w:t>
            </w:r>
          </w:p>
        </w:tc>
        <w:tc>
          <w:tcPr>
            <w:tcW w:w="7369" w:type="dxa"/>
          </w:tcPr>
          <w:p w14:paraId="04273FE6"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Planning Policy Framework</w:t>
            </w:r>
          </w:p>
        </w:tc>
      </w:tr>
      <w:tr w:rsidR="0087417D" w:rsidRPr="0087417D" w14:paraId="28DB020E"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9CEF01A" w14:textId="77777777" w:rsidR="0087417D" w:rsidRPr="0087417D" w:rsidRDefault="0087417D" w:rsidP="0087417D">
            <w:pPr>
              <w:pStyle w:val="TableText"/>
            </w:pPr>
            <w:r w:rsidRPr="0087417D">
              <w:t>PPV</w:t>
            </w:r>
          </w:p>
        </w:tc>
        <w:tc>
          <w:tcPr>
            <w:tcW w:w="7369" w:type="dxa"/>
          </w:tcPr>
          <w:p w14:paraId="52DDFA5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Peak Particle Velocity</w:t>
            </w:r>
          </w:p>
        </w:tc>
      </w:tr>
      <w:tr w:rsidR="0087417D" w:rsidRPr="0087417D" w14:paraId="4D678AE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74EA8A01" w14:textId="77777777" w:rsidR="0087417D" w:rsidRPr="0087417D" w:rsidRDefault="0087417D" w:rsidP="0087417D">
            <w:pPr>
              <w:pStyle w:val="TableText"/>
            </w:pPr>
            <w:r w:rsidRPr="0087417D">
              <w:t>PSA</w:t>
            </w:r>
          </w:p>
        </w:tc>
        <w:tc>
          <w:tcPr>
            <w:tcW w:w="7369" w:type="dxa"/>
          </w:tcPr>
          <w:p w14:paraId="64BD4E09"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Planning scheme amendment</w:t>
            </w:r>
          </w:p>
        </w:tc>
      </w:tr>
      <w:tr w:rsidR="0087417D" w:rsidRPr="0087417D" w14:paraId="5D8C4E0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848C5BE" w14:textId="77777777" w:rsidR="0087417D" w:rsidRPr="0087417D" w:rsidRDefault="0087417D" w:rsidP="0087417D">
            <w:pPr>
              <w:pStyle w:val="TableText"/>
            </w:pPr>
            <w:r w:rsidRPr="0087417D">
              <w:t>PTV</w:t>
            </w:r>
          </w:p>
        </w:tc>
        <w:tc>
          <w:tcPr>
            <w:tcW w:w="7369" w:type="dxa"/>
          </w:tcPr>
          <w:p w14:paraId="3AD6CD3C"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Public Transport Victoria </w:t>
            </w:r>
          </w:p>
        </w:tc>
      </w:tr>
      <w:tr w:rsidR="0087417D" w:rsidRPr="0087417D" w14:paraId="6FD42FA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6A99B369" w14:textId="77777777" w:rsidR="0087417D" w:rsidRPr="0087417D" w:rsidRDefault="0087417D" w:rsidP="0087417D">
            <w:pPr>
              <w:pStyle w:val="TableText"/>
            </w:pPr>
            <w:r w:rsidRPr="0087417D">
              <w:t>PUZ</w:t>
            </w:r>
          </w:p>
        </w:tc>
        <w:tc>
          <w:tcPr>
            <w:tcW w:w="7369" w:type="dxa"/>
          </w:tcPr>
          <w:p w14:paraId="2584B9A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Public Use Zone </w:t>
            </w:r>
          </w:p>
        </w:tc>
      </w:tr>
      <w:tr w:rsidR="0087417D" w:rsidRPr="0087417D" w14:paraId="44E412C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A3646DC" w14:textId="77777777" w:rsidR="0087417D" w:rsidRPr="0087417D" w:rsidRDefault="0087417D" w:rsidP="0087417D">
            <w:pPr>
              <w:pStyle w:val="TableText"/>
            </w:pPr>
            <w:r w:rsidRPr="0087417D">
              <w:t>RAP</w:t>
            </w:r>
          </w:p>
        </w:tc>
        <w:tc>
          <w:tcPr>
            <w:tcW w:w="7369" w:type="dxa"/>
          </w:tcPr>
          <w:p w14:paraId="4F492A2E"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Registered Aboriginal Party</w:t>
            </w:r>
          </w:p>
        </w:tc>
      </w:tr>
      <w:tr w:rsidR="0087417D" w:rsidRPr="0087417D" w14:paraId="00B687A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7CB07377" w14:textId="77777777" w:rsidR="0087417D" w:rsidRPr="0087417D" w:rsidRDefault="0087417D" w:rsidP="0087417D">
            <w:pPr>
              <w:pStyle w:val="TableText"/>
            </w:pPr>
            <w:r w:rsidRPr="0087417D">
              <w:t>SEPPs</w:t>
            </w:r>
          </w:p>
        </w:tc>
        <w:tc>
          <w:tcPr>
            <w:tcW w:w="7369" w:type="dxa"/>
          </w:tcPr>
          <w:p w14:paraId="184A9804"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State Environment Protection Policies</w:t>
            </w:r>
          </w:p>
        </w:tc>
      </w:tr>
      <w:tr w:rsidR="0087417D" w:rsidRPr="0087417D" w14:paraId="207D172A"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757DEB79" w14:textId="77777777" w:rsidR="0087417D" w:rsidRPr="0087417D" w:rsidRDefault="0087417D" w:rsidP="0087417D">
            <w:pPr>
              <w:pStyle w:val="TableText"/>
            </w:pPr>
            <w:r w:rsidRPr="0087417D">
              <w:t>SLO</w:t>
            </w:r>
          </w:p>
        </w:tc>
        <w:tc>
          <w:tcPr>
            <w:tcW w:w="7369" w:type="dxa"/>
          </w:tcPr>
          <w:p w14:paraId="7ABF85CE"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Significant Landscape Overlay </w:t>
            </w:r>
          </w:p>
        </w:tc>
      </w:tr>
      <w:tr w:rsidR="0087417D" w:rsidRPr="0087417D" w14:paraId="7DB3628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79EE6C50" w14:textId="77777777" w:rsidR="0087417D" w:rsidRPr="0087417D" w:rsidRDefault="0087417D" w:rsidP="0087417D">
            <w:pPr>
              <w:pStyle w:val="TableText"/>
            </w:pPr>
            <w:r w:rsidRPr="0087417D">
              <w:t>SMP</w:t>
            </w:r>
          </w:p>
        </w:tc>
        <w:tc>
          <w:tcPr>
            <w:tcW w:w="7369" w:type="dxa"/>
          </w:tcPr>
          <w:p w14:paraId="4ABE32E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Spoil Management Plan</w:t>
            </w:r>
          </w:p>
        </w:tc>
      </w:tr>
      <w:tr w:rsidR="0087417D" w:rsidRPr="0087417D" w14:paraId="2C6248F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65D74E4C" w14:textId="77777777" w:rsidR="0087417D" w:rsidRPr="0087417D" w:rsidRDefault="0087417D" w:rsidP="0087417D">
            <w:pPr>
              <w:pStyle w:val="TableText"/>
            </w:pPr>
            <w:r w:rsidRPr="0087417D">
              <w:t>SO</w:t>
            </w:r>
            <w:r w:rsidRPr="00354199">
              <w:rPr>
                <w:vertAlign w:val="subscript"/>
              </w:rPr>
              <w:t>2</w:t>
            </w:r>
          </w:p>
        </w:tc>
        <w:tc>
          <w:tcPr>
            <w:tcW w:w="7369" w:type="dxa"/>
          </w:tcPr>
          <w:p w14:paraId="0FE3ACA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Sulphur dioxide</w:t>
            </w:r>
          </w:p>
        </w:tc>
      </w:tr>
      <w:tr w:rsidR="0087417D" w:rsidRPr="0087417D" w14:paraId="4C6DA09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197346E" w14:textId="77777777" w:rsidR="0087417D" w:rsidRPr="0087417D" w:rsidRDefault="0087417D" w:rsidP="0087417D">
            <w:pPr>
              <w:pStyle w:val="TableText"/>
            </w:pPr>
            <w:r w:rsidRPr="0087417D">
              <w:t xml:space="preserve">SVOCs </w:t>
            </w:r>
          </w:p>
        </w:tc>
        <w:tc>
          <w:tcPr>
            <w:tcW w:w="7369" w:type="dxa"/>
          </w:tcPr>
          <w:p w14:paraId="30C338FA"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Semi-Volatile Organic Compounds</w:t>
            </w:r>
          </w:p>
        </w:tc>
      </w:tr>
      <w:tr w:rsidR="0087417D" w:rsidRPr="0087417D" w14:paraId="0B2EB90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4B5BB09" w14:textId="77777777" w:rsidR="0087417D" w:rsidRPr="0087417D" w:rsidRDefault="0087417D" w:rsidP="0087417D">
            <w:pPr>
              <w:pStyle w:val="TableText"/>
            </w:pPr>
            <w:r w:rsidRPr="0087417D">
              <w:t>SUP</w:t>
            </w:r>
          </w:p>
        </w:tc>
        <w:tc>
          <w:tcPr>
            <w:tcW w:w="7369" w:type="dxa"/>
          </w:tcPr>
          <w:p w14:paraId="6AD5125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Shared use path</w:t>
            </w:r>
          </w:p>
        </w:tc>
      </w:tr>
      <w:tr w:rsidR="0087417D" w:rsidRPr="0087417D" w14:paraId="1A9DC01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A7C23D2" w14:textId="77777777" w:rsidR="0087417D" w:rsidRPr="0087417D" w:rsidRDefault="0087417D" w:rsidP="0087417D">
            <w:pPr>
              <w:pStyle w:val="TableText"/>
            </w:pPr>
            <w:r w:rsidRPr="0087417D">
              <w:t>TBM</w:t>
            </w:r>
          </w:p>
        </w:tc>
        <w:tc>
          <w:tcPr>
            <w:tcW w:w="7369" w:type="dxa"/>
          </w:tcPr>
          <w:p w14:paraId="2776FB9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Tunnel boring machine</w:t>
            </w:r>
          </w:p>
        </w:tc>
      </w:tr>
      <w:tr w:rsidR="0087417D" w:rsidRPr="0087417D" w14:paraId="5A16C3DA"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0DE3693" w14:textId="77777777" w:rsidR="0087417D" w:rsidRPr="0087417D" w:rsidRDefault="0087417D" w:rsidP="0087417D">
            <w:pPr>
              <w:pStyle w:val="TableText"/>
            </w:pPr>
            <w:r w:rsidRPr="0087417D">
              <w:t>TfV</w:t>
            </w:r>
          </w:p>
        </w:tc>
        <w:tc>
          <w:tcPr>
            <w:tcW w:w="7369" w:type="dxa"/>
          </w:tcPr>
          <w:p w14:paraId="57E07C8B"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Transport for Victoria</w:t>
            </w:r>
          </w:p>
        </w:tc>
      </w:tr>
      <w:tr w:rsidR="0087417D" w:rsidRPr="0087417D" w14:paraId="19EFD90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664567E" w14:textId="77777777" w:rsidR="0087417D" w:rsidRPr="0087417D" w:rsidRDefault="0087417D" w:rsidP="0087417D">
            <w:pPr>
              <w:pStyle w:val="TableText"/>
            </w:pPr>
            <w:r w:rsidRPr="0087417D">
              <w:t>TDS</w:t>
            </w:r>
          </w:p>
        </w:tc>
        <w:tc>
          <w:tcPr>
            <w:tcW w:w="7369" w:type="dxa"/>
          </w:tcPr>
          <w:p w14:paraId="4256E083"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Total dissolved solids</w:t>
            </w:r>
          </w:p>
        </w:tc>
      </w:tr>
      <w:tr w:rsidR="0087417D" w:rsidRPr="0087417D" w14:paraId="556A6E4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165E0C6" w14:textId="77777777" w:rsidR="0087417D" w:rsidRPr="0087417D" w:rsidRDefault="0087417D" w:rsidP="0087417D">
            <w:pPr>
              <w:pStyle w:val="TableText"/>
            </w:pPr>
            <w:r w:rsidRPr="0087417D">
              <w:t xml:space="preserve">TIA Act </w:t>
            </w:r>
          </w:p>
        </w:tc>
        <w:tc>
          <w:tcPr>
            <w:tcW w:w="7369" w:type="dxa"/>
          </w:tcPr>
          <w:p w14:paraId="5C6CCFBD"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Transport Integration Act 2010</w:t>
            </w:r>
          </w:p>
        </w:tc>
      </w:tr>
      <w:tr w:rsidR="0087417D" w:rsidRPr="0087417D" w14:paraId="5C16D13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6F14C9B1" w14:textId="77777777" w:rsidR="0087417D" w:rsidRPr="0087417D" w:rsidRDefault="0087417D" w:rsidP="0087417D">
            <w:pPr>
              <w:pStyle w:val="TableText"/>
            </w:pPr>
            <w:r w:rsidRPr="0087417D">
              <w:t>TMP</w:t>
            </w:r>
          </w:p>
        </w:tc>
        <w:tc>
          <w:tcPr>
            <w:tcW w:w="7369" w:type="dxa"/>
          </w:tcPr>
          <w:p w14:paraId="0B8A84D7"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Transport Management Plan</w:t>
            </w:r>
          </w:p>
        </w:tc>
      </w:tr>
      <w:tr w:rsidR="0087417D" w:rsidRPr="0087417D" w14:paraId="4BDEDAA7"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726441A1" w14:textId="77777777" w:rsidR="0087417D" w:rsidRPr="0087417D" w:rsidRDefault="0087417D" w:rsidP="0087417D">
            <w:pPr>
              <w:pStyle w:val="TableText"/>
            </w:pPr>
            <w:r w:rsidRPr="0087417D">
              <w:t>TPZ</w:t>
            </w:r>
          </w:p>
        </w:tc>
        <w:tc>
          <w:tcPr>
            <w:tcW w:w="7369" w:type="dxa"/>
          </w:tcPr>
          <w:p w14:paraId="0B36AEDC"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Tree Protection Zone </w:t>
            </w:r>
          </w:p>
        </w:tc>
      </w:tr>
      <w:tr w:rsidR="0087417D" w:rsidRPr="0087417D" w14:paraId="57DD205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F77235E" w14:textId="77777777" w:rsidR="0087417D" w:rsidRPr="0087417D" w:rsidRDefault="0087417D" w:rsidP="0087417D">
            <w:pPr>
              <w:pStyle w:val="TableText"/>
            </w:pPr>
            <w:r w:rsidRPr="0087417D">
              <w:t>TRG</w:t>
            </w:r>
          </w:p>
        </w:tc>
        <w:tc>
          <w:tcPr>
            <w:tcW w:w="7369" w:type="dxa"/>
          </w:tcPr>
          <w:p w14:paraId="589499CD"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Technical Reference Group</w:t>
            </w:r>
          </w:p>
        </w:tc>
      </w:tr>
      <w:tr w:rsidR="0087417D" w:rsidRPr="0087417D" w14:paraId="486C5D4E"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92EA5C3" w14:textId="77777777" w:rsidR="0087417D" w:rsidRPr="0087417D" w:rsidRDefault="0087417D" w:rsidP="0087417D">
            <w:pPr>
              <w:pStyle w:val="TableText"/>
            </w:pPr>
            <w:r w:rsidRPr="0087417D">
              <w:t>TSP</w:t>
            </w:r>
          </w:p>
        </w:tc>
        <w:tc>
          <w:tcPr>
            <w:tcW w:w="7369" w:type="dxa"/>
          </w:tcPr>
          <w:p w14:paraId="6D9A02DA"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Total suspended particulate matter</w:t>
            </w:r>
          </w:p>
        </w:tc>
      </w:tr>
      <w:tr w:rsidR="0087417D" w:rsidRPr="0087417D" w14:paraId="54A97A96"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004459C6" w14:textId="77777777" w:rsidR="0087417D" w:rsidRPr="0087417D" w:rsidRDefault="0087417D" w:rsidP="0087417D">
            <w:pPr>
              <w:pStyle w:val="TableText"/>
            </w:pPr>
            <w:r w:rsidRPr="0087417D">
              <w:t>UDAP</w:t>
            </w:r>
          </w:p>
        </w:tc>
        <w:tc>
          <w:tcPr>
            <w:tcW w:w="7369" w:type="dxa"/>
          </w:tcPr>
          <w:p w14:paraId="5934ABA3"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Urban Design Advisory Panel</w:t>
            </w:r>
          </w:p>
        </w:tc>
      </w:tr>
      <w:tr w:rsidR="0087417D" w:rsidRPr="0087417D" w14:paraId="573E6C70"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04D0A3B6" w14:textId="77777777" w:rsidR="0087417D" w:rsidRPr="0087417D" w:rsidRDefault="0087417D" w:rsidP="0087417D">
            <w:pPr>
              <w:pStyle w:val="TableText"/>
            </w:pPr>
            <w:r w:rsidRPr="0087417D">
              <w:t>UDLPs</w:t>
            </w:r>
          </w:p>
        </w:tc>
        <w:tc>
          <w:tcPr>
            <w:tcW w:w="7369" w:type="dxa"/>
          </w:tcPr>
          <w:p w14:paraId="53254114"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Urban Design and Landscape Plans</w:t>
            </w:r>
          </w:p>
        </w:tc>
      </w:tr>
      <w:tr w:rsidR="0087417D" w:rsidRPr="0087417D" w14:paraId="497737F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0D2EC2B" w14:textId="77777777" w:rsidR="0087417D" w:rsidRPr="0087417D" w:rsidRDefault="0087417D" w:rsidP="0087417D">
            <w:pPr>
              <w:pStyle w:val="TableText"/>
            </w:pPr>
            <w:r w:rsidRPr="0087417D">
              <w:t>UDS</w:t>
            </w:r>
          </w:p>
        </w:tc>
        <w:tc>
          <w:tcPr>
            <w:tcW w:w="7369" w:type="dxa"/>
          </w:tcPr>
          <w:p w14:paraId="06BADB2E"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Urban Design Strategy </w:t>
            </w:r>
          </w:p>
        </w:tc>
      </w:tr>
      <w:tr w:rsidR="0087417D" w:rsidRPr="0087417D" w14:paraId="4B74AD0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7DAB1123" w14:textId="77777777" w:rsidR="0087417D" w:rsidRPr="0087417D" w:rsidRDefault="0087417D" w:rsidP="0087417D">
            <w:pPr>
              <w:pStyle w:val="TableText"/>
            </w:pPr>
            <w:r w:rsidRPr="0087417D">
              <w:t>UFP</w:t>
            </w:r>
          </w:p>
        </w:tc>
        <w:tc>
          <w:tcPr>
            <w:tcW w:w="7369" w:type="dxa"/>
          </w:tcPr>
          <w:p w14:paraId="26BD6912"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Ultrafine particles</w:t>
            </w:r>
          </w:p>
        </w:tc>
      </w:tr>
      <w:tr w:rsidR="0087417D" w:rsidRPr="0087417D" w14:paraId="79B14EBB"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61EEF69" w14:textId="77777777" w:rsidR="0087417D" w:rsidRPr="0087417D" w:rsidRDefault="0087417D" w:rsidP="0087417D">
            <w:pPr>
              <w:pStyle w:val="TableText"/>
            </w:pPr>
            <w:r w:rsidRPr="0087417D">
              <w:t>ULE</w:t>
            </w:r>
          </w:p>
        </w:tc>
        <w:tc>
          <w:tcPr>
            <w:tcW w:w="7369" w:type="dxa"/>
          </w:tcPr>
          <w:p w14:paraId="7BD3715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Useful Life Expectancy </w:t>
            </w:r>
          </w:p>
        </w:tc>
      </w:tr>
      <w:tr w:rsidR="0087417D" w:rsidRPr="0087417D" w14:paraId="4798556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2265AA4" w14:textId="77777777" w:rsidR="0087417D" w:rsidRPr="0087417D" w:rsidRDefault="0087417D" w:rsidP="0087417D">
            <w:pPr>
              <w:pStyle w:val="TableText"/>
            </w:pPr>
            <w:r w:rsidRPr="0087417D">
              <w:t>UNFCCC</w:t>
            </w:r>
          </w:p>
        </w:tc>
        <w:tc>
          <w:tcPr>
            <w:tcW w:w="7369" w:type="dxa"/>
          </w:tcPr>
          <w:p w14:paraId="346FFF0D"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United Nations Framework Convention on Climate Change</w:t>
            </w:r>
          </w:p>
        </w:tc>
      </w:tr>
      <w:tr w:rsidR="0087417D" w:rsidRPr="0087417D" w14:paraId="07F692A7"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3A11861F" w14:textId="77777777" w:rsidR="0087417D" w:rsidRPr="0087417D" w:rsidRDefault="0087417D" w:rsidP="0087417D">
            <w:pPr>
              <w:pStyle w:val="TableText"/>
            </w:pPr>
            <w:r w:rsidRPr="0087417D">
              <w:t>VAHR</w:t>
            </w:r>
          </w:p>
        </w:tc>
        <w:tc>
          <w:tcPr>
            <w:tcW w:w="7369" w:type="dxa"/>
          </w:tcPr>
          <w:p w14:paraId="4D531918"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Victorian Aboriginal Heritage Register</w:t>
            </w:r>
          </w:p>
        </w:tc>
      </w:tr>
      <w:tr w:rsidR="0087417D" w:rsidRPr="0087417D" w14:paraId="6EE0F766"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964B77C" w14:textId="77777777" w:rsidR="0087417D" w:rsidRPr="0087417D" w:rsidRDefault="0087417D" w:rsidP="0087417D">
            <w:pPr>
              <w:pStyle w:val="TableText"/>
            </w:pPr>
            <w:r w:rsidRPr="0087417D">
              <w:t>VDV</w:t>
            </w:r>
          </w:p>
        </w:tc>
        <w:tc>
          <w:tcPr>
            <w:tcW w:w="7369" w:type="dxa"/>
          </w:tcPr>
          <w:p w14:paraId="47DFC6F8"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Vibration Dose Value </w:t>
            </w:r>
          </w:p>
        </w:tc>
      </w:tr>
      <w:tr w:rsidR="0087417D" w:rsidRPr="0087417D" w14:paraId="4A576BF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4780060E" w14:textId="77777777" w:rsidR="0087417D" w:rsidRPr="0087417D" w:rsidRDefault="0087417D" w:rsidP="0087417D">
            <w:pPr>
              <w:pStyle w:val="TableText"/>
            </w:pPr>
            <w:r w:rsidRPr="0087417D">
              <w:lastRenderedPageBreak/>
              <w:t>VISTA</w:t>
            </w:r>
          </w:p>
        </w:tc>
        <w:tc>
          <w:tcPr>
            <w:tcW w:w="7369" w:type="dxa"/>
          </w:tcPr>
          <w:p w14:paraId="1575269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Victorian Integrated Survey of Travel and Activity</w:t>
            </w:r>
          </w:p>
        </w:tc>
      </w:tr>
      <w:tr w:rsidR="0087417D" w:rsidRPr="0087417D" w14:paraId="09137B3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16D4CFA6" w14:textId="77777777" w:rsidR="0087417D" w:rsidRPr="0087417D" w:rsidRDefault="0087417D" w:rsidP="0087417D">
            <w:pPr>
              <w:pStyle w:val="TableText"/>
            </w:pPr>
            <w:r w:rsidRPr="0087417D">
              <w:t>VHI</w:t>
            </w:r>
          </w:p>
        </w:tc>
        <w:tc>
          <w:tcPr>
            <w:tcW w:w="7369" w:type="dxa"/>
          </w:tcPr>
          <w:p w14:paraId="7D2ED7A3"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Victorian Heritage Inventory</w:t>
            </w:r>
          </w:p>
        </w:tc>
      </w:tr>
      <w:tr w:rsidR="0087417D" w:rsidRPr="0087417D" w14:paraId="6422C3E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4B6B5961" w14:textId="77777777" w:rsidR="0087417D" w:rsidRPr="0087417D" w:rsidRDefault="0087417D" w:rsidP="0087417D">
            <w:pPr>
              <w:pStyle w:val="TableText"/>
            </w:pPr>
            <w:r w:rsidRPr="0087417D">
              <w:t>VHR</w:t>
            </w:r>
          </w:p>
        </w:tc>
        <w:tc>
          <w:tcPr>
            <w:tcW w:w="7369" w:type="dxa"/>
          </w:tcPr>
          <w:p w14:paraId="7050BAF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Victorian Heritage Register</w:t>
            </w:r>
          </w:p>
        </w:tc>
      </w:tr>
      <w:tr w:rsidR="0087417D" w:rsidRPr="0087417D" w14:paraId="2991DC4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24C1FA64" w14:textId="77777777" w:rsidR="0087417D" w:rsidRPr="0087417D" w:rsidRDefault="0087417D" w:rsidP="0087417D">
            <w:pPr>
              <w:pStyle w:val="TableText"/>
            </w:pPr>
            <w:r w:rsidRPr="0087417D">
              <w:t>VPA</w:t>
            </w:r>
          </w:p>
        </w:tc>
        <w:tc>
          <w:tcPr>
            <w:tcW w:w="7369" w:type="dxa"/>
          </w:tcPr>
          <w:p w14:paraId="40AF8BC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Victorian Planning Authority</w:t>
            </w:r>
          </w:p>
        </w:tc>
      </w:tr>
      <w:tr w:rsidR="0087417D" w:rsidRPr="0087417D" w14:paraId="6F270DF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BBD9113" w14:textId="77777777" w:rsidR="0087417D" w:rsidRPr="0087417D" w:rsidRDefault="0087417D" w:rsidP="0087417D">
            <w:pPr>
              <w:pStyle w:val="TableText"/>
            </w:pPr>
            <w:r w:rsidRPr="0087417D">
              <w:t>VPO</w:t>
            </w:r>
          </w:p>
        </w:tc>
        <w:tc>
          <w:tcPr>
            <w:tcW w:w="7369" w:type="dxa"/>
          </w:tcPr>
          <w:p w14:paraId="12735F98"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Victorian Protection Overlay </w:t>
            </w:r>
          </w:p>
        </w:tc>
      </w:tr>
      <w:tr w:rsidR="0087417D" w:rsidRPr="0087417D" w14:paraId="358C1BF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484F2B46" w14:textId="77777777" w:rsidR="0087417D" w:rsidRPr="0087417D" w:rsidRDefault="0087417D" w:rsidP="0087417D">
            <w:pPr>
              <w:pStyle w:val="TableText"/>
            </w:pPr>
            <w:r w:rsidRPr="0087417D">
              <w:t xml:space="preserve">VOCs </w:t>
            </w:r>
          </w:p>
        </w:tc>
        <w:tc>
          <w:tcPr>
            <w:tcW w:w="7369" w:type="dxa"/>
          </w:tcPr>
          <w:p w14:paraId="203BE9FC"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Volatile Organic Compounds </w:t>
            </w:r>
          </w:p>
        </w:tc>
      </w:tr>
      <w:tr w:rsidR="0087417D" w:rsidRPr="0087417D" w14:paraId="3574278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1702" w:type="dxa"/>
          </w:tcPr>
          <w:p w14:paraId="5B1903FB" w14:textId="77777777" w:rsidR="0087417D" w:rsidRPr="0087417D" w:rsidRDefault="0087417D" w:rsidP="0087417D">
            <w:pPr>
              <w:pStyle w:val="TableText"/>
            </w:pPr>
            <w:r w:rsidRPr="0087417D">
              <w:t>WSUD</w:t>
            </w:r>
          </w:p>
        </w:tc>
        <w:tc>
          <w:tcPr>
            <w:tcW w:w="7369" w:type="dxa"/>
          </w:tcPr>
          <w:p w14:paraId="69BA91B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Water Sensitive Urban Design</w:t>
            </w:r>
          </w:p>
        </w:tc>
      </w:tr>
    </w:tbl>
    <w:p w14:paraId="2CEECE4C" w14:textId="384AD689" w:rsidR="0087417D" w:rsidRDefault="0087417D" w:rsidP="0087417D">
      <w:pPr>
        <w:pStyle w:val="Source"/>
      </w:pPr>
    </w:p>
    <w:p w14:paraId="2A15200F" w14:textId="77777777" w:rsidR="0087417D" w:rsidRPr="0087417D" w:rsidRDefault="0087417D" w:rsidP="0087417D">
      <w:pPr>
        <w:pStyle w:val="BodyText"/>
      </w:pPr>
    </w:p>
    <w:p w14:paraId="2E0047E5" w14:textId="1CE8C7A2" w:rsidR="0087417D" w:rsidRDefault="0087417D" w:rsidP="0087417D">
      <w:pPr>
        <w:pStyle w:val="Heading2"/>
        <w:pageBreakBefore/>
        <w:numPr>
          <w:ilvl w:val="1"/>
          <w:numId w:val="47"/>
        </w:numPr>
      </w:pPr>
      <w:bookmarkStart w:id="4" w:name="_Toc4711415"/>
      <w:r>
        <w:lastRenderedPageBreak/>
        <w:t xml:space="preserve">EES </w:t>
      </w:r>
      <w:r w:rsidR="00476551">
        <w:t>g</w:t>
      </w:r>
      <w:r>
        <w:t xml:space="preserve">lossary of </w:t>
      </w:r>
      <w:r w:rsidR="00476551">
        <w:t>k</w:t>
      </w:r>
      <w:r>
        <w:t xml:space="preserve">ey </w:t>
      </w:r>
      <w:r w:rsidR="00476551">
        <w:t>t</w:t>
      </w:r>
      <w:r>
        <w:t>erms</w:t>
      </w:r>
      <w:bookmarkEnd w:id="4"/>
    </w:p>
    <w:tbl>
      <w:tblPr>
        <w:tblStyle w:val="MainTableStyle"/>
        <w:tblW w:w="0" w:type="auto"/>
        <w:tblLayout w:type="fixed"/>
        <w:tblLook w:val="04A0" w:firstRow="1" w:lastRow="0" w:firstColumn="1" w:lastColumn="0" w:noHBand="0" w:noVBand="1"/>
      </w:tblPr>
      <w:tblGrid>
        <w:gridCol w:w="2694"/>
        <w:gridCol w:w="6377"/>
      </w:tblGrid>
      <w:tr w:rsidR="0087417D" w:rsidRPr="0087417D" w14:paraId="50A6EA57" w14:textId="77777777" w:rsidTr="002558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531E7E4B" w14:textId="77777777" w:rsidR="0087417D" w:rsidRPr="0087417D" w:rsidRDefault="0087417D" w:rsidP="0087417D">
            <w:pPr>
              <w:pStyle w:val="TableText"/>
            </w:pPr>
            <w:r w:rsidRPr="0087417D">
              <w:t>Term</w:t>
            </w:r>
          </w:p>
        </w:tc>
        <w:tc>
          <w:tcPr>
            <w:tcW w:w="6377" w:type="dxa"/>
          </w:tcPr>
          <w:p w14:paraId="53DFED7E" w14:textId="77777777" w:rsidR="0087417D" w:rsidRPr="0087417D" w:rsidRDefault="0087417D" w:rsidP="0087417D">
            <w:pPr>
              <w:pStyle w:val="TableText"/>
              <w:cnfStyle w:val="100000000000" w:firstRow="1" w:lastRow="0" w:firstColumn="0" w:lastColumn="0" w:oddVBand="0" w:evenVBand="0" w:oddHBand="0" w:evenHBand="0" w:firstRowFirstColumn="0" w:firstRowLastColumn="0" w:lastRowFirstColumn="0" w:lastRowLastColumn="0"/>
            </w:pPr>
            <w:r w:rsidRPr="0087417D">
              <w:t>Description</w:t>
            </w:r>
          </w:p>
        </w:tc>
      </w:tr>
      <w:tr w:rsidR="0087417D" w:rsidRPr="0087417D" w14:paraId="1563E57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E78F734" w14:textId="77777777" w:rsidR="0087417D" w:rsidRPr="0087417D" w:rsidRDefault="0087417D" w:rsidP="0087417D">
            <w:pPr>
              <w:pStyle w:val="TableText"/>
            </w:pPr>
            <w:r w:rsidRPr="0087417D">
              <w:t>Acid sulfate soil and rock</w:t>
            </w:r>
          </w:p>
        </w:tc>
        <w:tc>
          <w:tcPr>
            <w:tcW w:w="6377" w:type="dxa"/>
          </w:tcPr>
          <w:p w14:paraId="71B0596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Natural soils or rocks that contain iron sulphides which when exposed to oxygen can release acid that may damage or otherwise adversely impact built structures and ecosystems.</w:t>
            </w:r>
          </w:p>
        </w:tc>
      </w:tr>
      <w:tr w:rsidR="0087417D" w:rsidRPr="0087417D" w14:paraId="747CDC26"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34670709" w14:textId="77777777" w:rsidR="0087417D" w:rsidRPr="0087417D" w:rsidRDefault="0087417D" w:rsidP="0087417D">
            <w:pPr>
              <w:pStyle w:val="TableText"/>
            </w:pPr>
            <w:r w:rsidRPr="0087417D">
              <w:t>Activity Centre</w:t>
            </w:r>
          </w:p>
        </w:tc>
        <w:tc>
          <w:tcPr>
            <w:tcW w:w="6377" w:type="dxa"/>
          </w:tcPr>
          <w:p w14:paraId="6F85A0F5" w14:textId="1C28CAAD"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Areas that provide a focus for services, employment, housing, transport, and</w:t>
            </w:r>
            <w:r w:rsidR="004A7265">
              <w:t> </w:t>
            </w:r>
            <w:r w:rsidRPr="0087417D">
              <w:t>social interaction. They range in size and intensity of use from smaller neighbourhood centres to major suburban centres and larger metropolitan</w:t>
            </w:r>
            <w:r w:rsidR="004A7265">
              <w:t> </w:t>
            </w:r>
            <w:r w:rsidRPr="0087417D">
              <w:t xml:space="preserve">centres. </w:t>
            </w:r>
          </w:p>
        </w:tc>
      </w:tr>
      <w:tr w:rsidR="0087417D" w:rsidRPr="0087417D" w14:paraId="4963CEDB"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5169576" w14:textId="77777777" w:rsidR="0087417D" w:rsidRPr="0087417D" w:rsidRDefault="0087417D" w:rsidP="0087417D">
            <w:pPr>
              <w:pStyle w:val="TableText"/>
            </w:pPr>
            <w:r w:rsidRPr="0087417D">
              <w:t>Acute or short-term exposure</w:t>
            </w:r>
          </w:p>
        </w:tc>
        <w:tc>
          <w:tcPr>
            <w:tcW w:w="6377" w:type="dxa"/>
          </w:tcPr>
          <w:p w14:paraId="7E70D337"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Contact with a substance that occurs only once or for a short period of time, typically an hour or less, but may be up to 14 days. </w:t>
            </w:r>
          </w:p>
        </w:tc>
      </w:tr>
      <w:tr w:rsidR="0087417D" w:rsidRPr="0087417D" w14:paraId="015B7AF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1503745D" w14:textId="77777777" w:rsidR="0087417D" w:rsidRPr="0087417D" w:rsidRDefault="0087417D" w:rsidP="0087417D">
            <w:pPr>
              <w:pStyle w:val="TableText"/>
            </w:pPr>
            <w:r w:rsidRPr="0087417D">
              <w:t xml:space="preserve">A-Double </w:t>
            </w:r>
          </w:p>
        </w:tc>
        <w:tc>
          <w:tcPr>
            <w:tcW w:w="6377" w:type="dxa"/>
          </w:tcPr>
          <w:p w14:paraId="4093CE3B"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heavy vehicle consisting of a prime mover towing two semi-trailers linked by a converted dolly between two trailers.</w:t>
            </w:r>
          </w:p>
        </w:tc>
      </w:tr>
      <w:tr w:rsidR="0087417D" w:rsidRPr="0087417D" w14:paraId="08743A3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D89EF50" w14:textId="77777777" w:rsidR="0087417D" w:rsidRPr="0087417D" w:rsidRDefault="0087417D" w:rsidP="0087417D">
            <w:pPr>
              <w:pStyle w:val="TableText"/>
            </w:pPr>
            <w:r w:rsidRPr="0087417D">
              <w:t xml:space="preserve">Adverse health effect </w:t>
            </w:r>
          </w:p>
        </w:tc>
        <w:tc>
          <w:tcPr>
            <w:tcW w:w="6377" w:type="dxa"/>
          </w:tcPr>
          <w:p w14:paraId="1FAE9AC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change in body function or cell structure that might lead to disease or health problems.</w:t>
            </w:r>
          </w:p>
        </w:tc>
      </w:tr>
      <w:tr w:rsidR="0087417D" w:rsidRPr="0087417D" w14:paraId="1C011BEA"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6DEA2C7A" w14:textId="77777777" w:rsidR="0087417D" w:rsidRPr="0087417D" w:rsidRDefault="0087417D" w:rsidP="0087417D">
            <w:pPr>
              <w:pStyle w:val="TableText"/>
            </w:pPr>
            <w:r w:rsidRPr="0087417D">
              <w:t>Afflux</w:t>
            </w:r>
          </w:p>
        </w:tc>
        <w:tc>
          <w:tcPr>
            <w:tcW w:w="6377" w:type="dxa"/>
          </w:tcPr>
          <w:p w14:paraId="4BB93A5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Referring to the change in typically flood level resulting from the flow of floodwater over proposed relative to existing conditions.</w:t>
            </w:r>
          </w:p>
        </w:tc>
      </w:tr>
      <w:tr w:rsidR="0087417D" w:rsidRPr="0087417D" w14:paraId="206B53C7"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198ABD5" w14:textId="77777777" w:rsidR="0087417D" w:rsidRPr="0087417D" w:rsidRDefault="0087417D" w:rsidP="0087417D">
            <w:pPr>
              <w:pStyle w:val="TableText"/>
            </w:pPr>
            <w:r w:rsidRPr="0087417D">
              <w:t xml:space="preserve">Alluvial </w:t>
            </w:r>
          </w:p>
        </w:tc>
        <w:tc>
          <w:tcPr>
            <w:tcW w:w="6377" w:type="dxa"/>
          </w:tcPr>
          <w:p w14:paraId="090503B1" w14:textId="1A3A2A8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Pertaining to, or composed of, alluvium or other deposits from streams and</w:t>
            </w:r>
            <w:r w:rsidR="004A7265">
              <w:t> </w:t>
            </w:r>
            <w:r w:rsidRPr="0087417D">
              <w:t xml:space="preserve">rivers. </w:t>
            </w:r>
          </w:p>
        </w:tc>
      </w:tr>
      <w:tr w:rsidR="0087417D" w:rsidRPr="0087417D" w14:paraId="3B52CF9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5079AECB" w14:textId="77777777" w:rsidR="0087417D" w:rsidRPr="0087417D" w:rsidRDefault="0087417D" w:rsidP="0087417D">
            <w:pPr>
              <w:pStyle w:val="TableText"/>
            </w:pPr>
            <w:r w:rsidRPr="0087417D">
              <w:t>Alluvium</w:t>
            </w:r>
          </w:p>
        </w:tc>
        <w:tc>
          <w:tcPr>
            <w:tcW w:w="6377" w:type="dxa"/>
          </w:tcPr>
          <w:p w14:paraId="67336FB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A general term for unconsolidated material deposited during recent geological time by a stream or other body of running water. Typically forms a sorted or semi-sorted sediment in stream beds, floodplains, deltas or as fan at the base of a mountain slope. </w:t>
            </w:r>
          </w:p>
        </w:tc>
      </w:tr>
      <w:tr w:rsidR="0087417D" w:rsidRPr="0087417D" w14:paraId="4E90A20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2F2F8EB" w14:textId="77777777" w:rsidR="0087417D" w:rsidRPr="0087417D" w:rsidRDefault="0087417D" w:rsidP="0087417D">
            <w:pPr>
              <w:pStyle w:val="TableText"/>
            </w:pPr>
            <w:r w:rsidRPr="0087417D">
              <w:t xml:space="preserve">Annual Exceedance Probability </w:t>
            </w:r>
          </w:p>
        </w:tc>
        <w:tc>
          <w:tcPr>
            <w:tcW w:w="6377" w:type="dxa"/>
          </w:tcPr>
          <w:p w14:paraId="6E44557E"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Defines the likelihood of a flood occurring in any given year. The most commonly used definition in planning is the ‘1 in 100 year flood’. This refers to a flood level that has a one in a hundred, or 1%, chance of being equalled or exceeded in any year (1% AEP = 100 year average recurrence interval).</w:t>
            </w:r>
          </w:p>
        </w:tc>
      </w:tr>
      <w:tr w:rsidR="0087417D" w:rsidRPr="0087417D" w14:paraId="267EEB2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1DA3FB79" w14:textId="77777777" w:rsidR="0087417D" w:rsidRPr="0087417D" w:rsidRDefault="0087417D" w:rsidP="0087417D">
            <w:pPr>
              <w:pStyle w:val="TableText"/>
            </w:pPr>
            <w:r w:rsidRPr="0087417D">
              <w:t>Asbestos-containing material</w:t>
            </w:r>
          </w:p>
        </w:tc>
        <w:tc>
          <w:tcPr>
            <w:tcW w:w="6377" w:type="dxa"/>
          </w:tcPr>
          <w:p w14:paraId="36F3152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A group of manufactured material that contains asbestos minerals. They can be friable (loose and easily crumbled) or non-friable (bonded) asbestos. </w:t>
            </w:r>
          </w:p>
        </w:tc>
      </w:tr>
      <w:tr w:rsidR="0087417D" w:rsidRPr="0087417D" w14:paraId="36FF31AE"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6E1038A4" w14:textId="77777777" w:rsidR="0087417D" w:rsidRPr="0087417D" w:rsidRDefault="0087417D" w:rsidP="0087417D">
            <w:pPr>
              <w:pStyle w:val="TableText"/>
            </w:pPr>
            <w:r w:rsidRPr="0087417D">
              <w:t>Aquaplaning</w:t>
            </w:r>
          </w:p>
        </w:tc>
        <w:tc>
          <w:tcPr>
            <w:tcW w:w="6377" w:type="dxa"/>
          </w:tcPr>
          <w:p w14:paraId="7F59E6FB"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situation in which a vehicle slides out of control on a wet road.</w:t>
            </w:r>
          </w:p>
        </w:tc>
      </w:tr>
      <w:tr w:rsidR="0087417D" w:rsidRPr="0087417D" w14:paraId="2CF8279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721BBD8" w14:textId="77777777" w:rsidR="0087417D" w:rsidRPr="0087417D" w:rsidRDefault="0087417D" w:rsidP="0087417D">
            <w:pPr>
              <w:pStyle w:val="TableText"/>
            </w:pPr>
            <w:r w:rsidRPr="0087417D">
              <w:t>Aquifer</w:t>
            </w:r>
          </w:p>
        </w:tc>
        <w:tc>
          <w:tcPr>
            <w:tcW w:w="6377" w:type="dxa"/>
          </w:tcPr>
          <w:p w14:paraId="6430534A"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A geological formation, group of formations or part of a formation, which contains sufficient saturated permeable material to transmit and yield significant quantities of water. </w:t>
            </w:r>
          </w:p>
        </w:tc>
      </w:tr>
      <w:tr w:rsidR="0087417D" w:rsidRPr="0087417D" w14:paraId="7E3BA53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7144A76" w14:textId="77777777" w:rsidR="0087417D" w:rsidRPr="0087417D" w:rsidRDefault="0087417D" w:rsidP="0087417D">
            <w:pPr>
              <w:pStyle w:val="TableText"/>
            </w:pPr>
            <w:r w:rsidRPr="0087417D">
              <w:t>Aquitard</w:t>
            </w:r>
          </w:p>
        </w:tc>
        <w:tc>
          <w:tcPr>
            <w:tcW w:w="6377" w:type="dxa"/>
          </w:tcPr>
          <w:p w14:paraId="707972F2"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confined aquifer where the head level is above the surface of the ground.</w:t>
            </w:r>
          </w:p>
        </w:tc>
      </w:tr>
      <w:tr w:rsidR="0087417D" w:rsidRPr="0087417D" w14:paraId="4FA2A9E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513D75F6" w14:textId="77777777" w:rsidR="0087417D" w:rsidRPr="0087417D" w:rsidRDefault="0087417D" w:rsidP="0087417D">
            <w:pPr>
              <w:pStyle w:val="TableText"/>
            </w:pPr>
            <w:r w:rsidRPr="0087417D">
              <w:t xml:space="preserve">B-Double </w:t>
            </w:r>
          </w:p>
        </w:tc>
        <w:tc>
          <w:tcPr>
            <w:tcW w:w="6377" w:type="dxa"/>
          </w:tcPr>
          <w:p w14:paraId="3DE32F84" w14:textId="0EDFAD39"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heavy vehicle consisting of a prime mover towing two semi-trailers. The</w:t>
            </w:r>
            <w:r w:rsidR="004A7265">
              <w:t> </w:t>
            </w:r>
            <w:r w:rsidRPr="0087417D">
              <w:t>first trailer is attached to the prime mover and the second is mounted on the rear of the first semi-trailer by a fifth wheel coupling.</w:t>
            </w:r>
          </w:p>
        </w:tc>
      </w:tr>
      <w:tr w:rsidR="0087417D" w:rsidRPr="0087417D" w14:paraId="2AB0EE2A"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E5DD42C" w14:textId="77777777" w:rsidR="0087417D" w:rsidRPr="0087417D" w:rsidRDefault="0087417D" w:rsidP="0087417D">
            <w:pPr>
              <w:pStyle w:val="TableText"/>
            </w:pPr>
            <w:r w:rsidRPr="0087417D">
              <w:lastRenderedPageBreak/>
              <w:t>B-Triple</w:t>
            </w:r>
          </w:p>
        </w:tc>
        <w:tc>
          <w:tcPr>
            <w:tcW w:w="6377" w:type="dxa"/>
          </w:tcPr>
          <w:p w14:paraId="60A1651D" w14:textId="1DFEC5F2"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heavy vehicle consisting of a prime mover towing three semi-trailers. The</w:t>
            </w:r>
            <w:r w:rsidR="004A7265">
              <w:t> </w:t>
            </w:r>
            <w:r w:rsidRPr="0087417D">
              <w:t>first trailer is attached to the prime mover and the second and third are mounted on the rear of the trailers in front of them.</w:t>
            </w:r>
          </w:p>
        </w:tc>
      </w:tr>
      <w:tr w:rsidR="0087417D" w:rsidRPr="0087417D" w14:paraId="2051C9A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60AD98EC" w14:textId="77777777" w:rsidR="0087417D" w:rsidRPr="0087417D" w:rsidRDefault="0087417D" w:rsidP="0087417D">
            <w:pPr>
              <w:pStyle w:val="TableText"/>
            </w:pPr>
            <w:r w:rsidRPr="0087417D">
              <w:t xml:space="preserve">Basalt </w:t>
            </w:r>
          </w:p>
        </w:tc>
        <w:tc>
          <w:tcPr>
            <w:tcW w:w="6377" w:type="dxa"/>
          </w:tcPr>
          <w:p w14:paraId="7ED08380"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A dark coloured, fine grained, mafic volcanic rock. </w:t>
            </w:r>
          </w:p>
        </w:tc>
      </w:tr>
      <w:tr w:rsidR="0087417D" w:rsidRPr="0087417D" w14:paraId="6C63530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CB2B534" w14:textId="77777777" w:rsidR="0087417D" w:rsidRPr="0087417D" w:rsidRDefault="0087417D" w:rsidP="0087417D">
            <w:pPr>
              <w:pStyle w:val="TableText"/>
            </w:pPr>
            <w:r w:rsidRPr="0087417D">
              <w:t>Bedrock</w:t>
            </w:r>
          </w:p>
        </w:tc>
        <w:tc>
          <w:tcPr>
            <w:tcW w:w="6377" w:type="dxa"/>
          </w:tcPr>
          <w:p w14:paraId="6EDE9768"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general term used for rock, usually solid that underlies soil or other unconsolidated material.</w:t>
            </w:r>
          </w:p>
        </w:tc>
      </w:tr>
      <w:tr w:rsidR="0087417D" w:rsidRPr="0087417D" w14:paraId="5B23492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39747906" w14:textId="77777777" w:rsidR="0087417D" w:rsidRPr="0087417D" w:rsidRDefault="0087417D" w:rsidP="0087417D">
            <w:pPr>
              <w:pStyle w:val="TableText"/>
            </w:pPr>
            <w:r w:rsidRPr="0087417D">
              <w:t xml:space="preserve">Biodiversity </w:t>
            </w:r>
          </w:p>
        </w:tc>
        <w:tc>
          <w:tcPr>
            <w:tcW w:w="6377" w:type="dxa"/>
          </w:tcPr>
          <w:p w14:paraId="4453BA6A" w14:textId="683475C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variety of all life forms, the different plants, animals and micro</w:t>
            </w:r>
            <w:r w:rsidR="00354199">
              <w:noBreakHyphen/>
            </w:r>
            <w:r w:rsidRPr="0087417D">
              <w:t>organisms, the genes they contain, and the ecosystems of which they form a</w:t>
            </w:r>
            <w:r w:rsidR="004A7265">
              <w:t> </w:t>
            </w:r>
            <w:r w:rsidRPr="0087417D">
              <w:t>part.</w:t>
            </w:r>
          </w:p>
        </w:tc>
      </w:tr>
      <w:tr w:rsidR="0087417D" w:rsidRPr="0087417D" w14:paraId="0EDCAD5A"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3BB26ED" w14:textId="77777777" w:rsidR="0087417D" w:rsidRPr="0087417D" w:rsidRDefault="0087417D" w:rsidP="0087417D">
            <w:pPr>
              <w:pStyle w:val="TableText"/>
            </w:pPr>
            <w:r w:rsidRPr="0087417D">
              <w:t>Bioregion</w:t>
            </w:r>
          </w:p>
        </w:tc>
        <w:tc>
          <w:tcPr>
            <w:tcW w:w="6377" w:type="dxa"/>
          </w:tcPr>
          <w:p w14:paraId="6DD13B4B" w14:textId="608CB954"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landscape based approach to classifying the land surface using a range of</w:t>
            </w:r>
            <w:r w:rsidR="004A7265">
              <w:t> </w:t>
            </w:r>
            <w:r w:rsidRPr="0087417D">
              <w:t>environmental attributes such as climate, geomorphology, lithology and</w:t>
            </w:r>
            <w:r w:rsidR="004A7265">
              <w:t> </w:t>
            </w:r>
            <w:r w:rsidRPr="0087417D">
              <w:t>vegetation.</w:t>
            </w:r>
          </w:p>
        </w:tc>
      </w:tr>
      <w:tr w:rsidR="0087417D" w:rsidRPr="0087417D" w14:paraId="23D99E2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2F307F9" w14:textId="77777777" w:rsidR="0087417D" w:rsidRPr="0087417D" w:rsidRDefault="0087417D" w:rsidP="0087417D">
            <w:pPr>
              <w:pStyle w:val="TableText"/>
            </w:pPr>
            <w:r w:rsidRPr="0087417D">
              <w:t>Business</w:t>
            </w:r>
          </w:p>
        </w:tc>
        <w:tc>
          <w:tcPr>
            <w:tcW w:w="6377" w:type="dxa"/>
          </w:tcPr>
          <w:p w14:paraId="0085B0BB"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Commercial activity in which the aim is to make a profit.</w:t>
            </w:r>
          </w:p>
        </w:tc>
      </w:tr>
      <w:tr w:rsidR="0087417D" w:rsidRPr="0087417D" w14:paraId="3654D07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6E95C637" w14:textId="77777777" w:rsidR="0087417D" w:rsidRPr="0087417D" w:rsidRDefault="0087417D" w:rsidP="0087417D">
            <w:pPr>
              <w:pStyle w:val="TableText"/>
            </w:pPr>
            <w:r w:rsidRPr="0087417D">
              <w:t>Business cluster</w:t>
            </w:r>
          </w:p>
        </w:tc>
        <w:tc>
          <w:tcPr>
            <w:tcW w:w="6377" w:type="dxa"/>
          </w:tcPr>
          <w:p w14:paraId="02E21539"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A business cluster is a geographic concentration of interconnected businesses, suppliers, and associated institutions in a particular field. Clusters are considered to increase the productivity with which companies can compete, nationally and globally. </w:t>
            </w:r>
          </w:p>
        </w:tc>
      </w:tr>
      <w:tr w:rsidR="0087417D" w:rsidRPr="0087417D" w14:paraId="58F4601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6ECF7918" w14:textId="77777777" w:rsidR="0087417D" w:rsidRPr="0087417D" w:rsidRDefault="0087417D" w:rsidP="0087417D">
            <w:pPr>
              <w:pStyle w:val="TableText"/>
            </w:pPr>
            <w:r w:rsidRPr="0087417D">
              <w:t>Canopy tree</w:t>
            </w:r>
          </w:p>
        </w:tc>
        <w:tc>
          <w:tcPr>
            <w:tcW w:w="6377" w:type="dxa"/>
          </w:tcPr>
          <w:p w14:paraId="28658036" w14:textId="3330FEBF"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mature tree (that is, it is able to flower) that is greater than three metres in</w:t>
            </w:r>
            <w:r w:rsidR="004A7265">
              <w:t> </w:t>
            </w:r>
            <w:r w:rsidRPr="0087417D">
              <w:t>height and is normally found in the upper layer of the relevant vegetation</w:t>
            </w:r>
            <w:r w:rsidR="004A7265">
              <w:t> </w:t>
            </w:r>
            <w:r w:rsidRPr="0087417D">
              <w:t>type.</w:t>
            </w:r>
          </w:p>
        </w:tc>
      </w:tr>
      <w:tr w:rsidR="0087417D" w:rsidRPr="0087417D" w14:paraId="0DDD2BD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3216852E" w14:textId="77777777" w:rsidR="0087417D" w:rsidRPr="0087417D" w:rsidRDefault="0087417D" w:rsidP="0087417D">
            <w:pPr>
              <w:pStyle w:val="TableText"/>
            </w:pPr>
            <w:r w:rsidRPr="0087417D">
              <w:t>Carcinogen</w:t>
            </w:r>
          </w:p>
        </w:tc>
        <w:tc>
          <w:tcPr>
            <w:tcW w:w="6377" w:type="dxa"/>
          </w:tcPr>
          <w:p w14:paraId="25000C1B"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substance that causes cancer.</w:t>
            </w:r>
          </w:p>
        </w:tc>
      </w:tr>
      <w:tr w:rsidR="0087417D" w:rsidRPr="0087417D" w14:paraId="1ADC08F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8E7D49B" w14:textId="77777777" w:rsidR="0087417D" w:rsidRPr="0087417D" w:rsidRDefault="0087417D" w:rsidP="0087417D">
            <w:pPr>
              <w:pStyle w:val="TableText"/>
            </w:pPr>
            <w:r w:rsidRPr="0087417D">
              <w:t>Chronic or long-term exposure</w:t>
            </w:r>
          </w:p>
        </w:tc>
        <w:tc>
          <w:tcPr>
            <w:tcW w:w="6377" w:type="dxa"/>
          </w:tcPr>
          <w:p w14:paraId="70D44806"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Contact with a substance that occurs repeatedly over a long time, with the USEPA indicating defining this as exposures that occur for more than approximately 10% of a lifetime, Exposures that occur for less than 10% of a lifespan are considered sub-chronic.</w:t>
            </w:r>
          </w:p>
        </w:tc>
      </w:tr>
      <w:tr w:rsidR="0087417D" w:rsidRPr="0087417D" w14:paraId="3B4BEECE"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651A0AA" w14:textId="77777777" w:rsidR="0087417D" w:rsidRPr="0087417D" w:rsidRDefault="0087417D" w:rsidP="0087417D">
            <w:pPr>
              <w:pStyle w:val="TableText"/>
            </w:pPr>
            <w:r w:rsidRPr="0087417D">
              <w:t>Collector-distributor</w:t>
            </w:r>
          </w:p>
        </w:tc>
        <w:tc>
          <w:tcPr>
            <w:tcW w:w="6377" w:type="dxa"/>
          </w:tcPr>
          <w:p w14:paraId="048D4991" w14:textId="2D41C55B"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collector-distributor is a component of a freeway, usually an outer carriageway, which facilitates entry and exit movements for on and off</w:t>
            </w:r>
            <w:r w:rsidR="004A7265">
              <w:noBreakHyphen/>
            </w:r>
            <w:r w:rsidRPr="0087417D">
              <w:t>ramps.</w:t>
            </w:r>
          </w:p>
        </w:tc>
      </w:tr>
      <w:tr w:rsidR="0087417D" w:rsidRPr="0087417D" w14:paraId="527A47A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6B153857" w14:textId="77777777" w:rsidR="0087417D" w:rsidRPr="0087417D" w:rsidRDefault="0087417D" w:rsidP="0087417D">
            <w:pPr>
              <w:pStyle w:val="TableText"/>
            </w:pPr>
            <w:r w:rsidRPr="0087417D">
              <w:t>Community facilities</w:t>
            </w:r>
          </w:p>
        </w:tc>
        <w:tc>
          <w:tcPr>
            <w:tcW w:w="6377" w:type="dxa"/>
          </w:tcPr>
          <w:p w14:paraId="281F43D7"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Refers to recreational, social or educational spaces (for example schools, sports ovals or local halls) available for use by the local community.</w:t>
            </w:r>
          </w:p>
        </w:tc>
      </w:tr>
      <w:tr w:rsidR="0087417D" w:rsidRPr="0087417D" w14:paraId="33A93E4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381C9702" w14:textId="77777777" w:rsidR="0087417D" w:rsidRPr="0087417D" w:rsidRDefault="0087417D" w:rsidP="0087417D">
            <w:pPr>
              <w:pStyle w:val="TableText"/>
            </w:pPr>
            <w:r w:rsidRPr="0087417D">
              <w:t xml:space="preserve">Community severance </w:t>
            </w:r>
          </w:p>
        </w:tc>
        <w:tc>
          <w:tcPr>
            <w:tcW w:w="6377" w:type="dxa"/>
          </w:tcPr>
          <w:p w14:paraId="3BD9F56E" w14:textId="01EC9503"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Community severance refers to reduced access to local amenities and disruption of local social networks caused by a physical barrier running through a community (</w:t>
            </w:r>
            <w:r w:rsidR="004A7265">
              <w:t>eg</w:t>
            </w:r>
            <w:r w:rsidRPr="0087417D">
              <w:t xml:space="preserve"> road, rail line or other transport route).</w:t>
            </w:r>
          </w:p>
        </w:tc>
      </w:tr>
      <w:tr w:rsidR="0087417D" w:rsidRPr="0087417D" w14:paraId="14C8A37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EC7D26E" w14:textId="77777777" w:rsidR="0087417D" w:rsidRPr="0087417D" w:rsidRDefault="0087417D" w:rsidP="0087417D">
            <w:pPr>
              <w:pStyle w:val="TableText"/>
            </w:pPr>
            <w:r w:rsidRPr="0087417D">
              <w:t>Community values</w:t>
            </w:r>
          </w:p>
        </w:tc>
        <w:tc>
          <w:tcPr>
            <w:tcW w:w="6377" w:type="dxa"/>
          </w:tcPr>
          <w:p w14:paraId="52E0CA9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Community values, or a sense of community, are generally accepted to be the social ties established within a community, in part based around the features and qualities of the built environment that encourage these social ties and contribute to quality of life and wellbeing (Maller &amp; Nicholls, 2014; Paranagamage, Austin, Price, &amp; Khandokar, 2010).</w:t>
            </w:r>
          </w:p>
        </w:tc>
      </w:tr>
      <w:tr w:rsidR="0087417D" w:rsidRPr="0087417D" w14:paraId="117B403E"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0334D23" w14:textId="77777777" w:rsidR="0087417D" w:rsidRPr="0087417D" w:rsidRDefault="0087417D" w:rsidP="0087417D">
            <w:pPr>
              <w:pStyle w:val="TableText"/>
            </w:pPr>
            <w:r w:rsidRPr="0087417D">
              <w:t>Contaminant</w:t>
            </w:r>
          </w:p>
        </w:tc>
        <w:tc>
          <w:tcPr>
            <w:tcW w:w="6377" w:type="dxa"/>
          </w:tcPr>
          <w:p w14:paraId="7B233A29"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substance, element, or compound that has an adverse effect on the quality of soil and water.</w:t>
            </w:r>
          </w:p>
        </w:tc>
      </w:tr>
      <w:tr w:rsidR="0087417D" w:rsidRPr="0087417D" w14:paraId="06E079B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05C3C0D" w14:textId="77777777" w:rsidR="0087417D" w:rsidRPr="0087417D" w:rsidRDefault="0087417D" w:rsidP="0087417D">
            <w:pPr>
              <w:pStyle w:val="TableText"/>
            </w:pPr>
            <w:r w:rsidRPr="0087417D">
              <w:lastRenderedPageBreak/>
              <w:t>Continuous vibration</w:t>
            </w:r>
          </w:p>
        </w:tc>
        <w:tc>
          <w:tcPr>
            <w:tcW w:w="6377" w:type="dxa"/>
          </w:tcPr>
          <w:p w14:paraId="2D789B09"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vibration source that is continuous in nature during an assessment period (may be constant or variable). ISO10137 defines continuous vibration as having a duration of more than 30 minutes per 24-hour period.</w:t>
            </w:r>
          </w:p>
        </w:tc>
      </w:tr>
      <w:tr w:rsidR="0087417D" w:rsidRPr="0087417D" w14:paraId="79E68F8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6CAA4C53" w14:textId="77777777" w:rsidR="0087417D" w:rsidRPr="0087417D" w:rsidRDefault="0087417D" w:rsidP="0087417D">
            <w:pPr>
              <w:pStyle w:val="TableText"/>
            </w:pPr>
            <w:r w:rsidRPr="0087417D">
              <w:t>Counter-peak</w:t>
            </w:r>
          </w:p>
        </w:tc>
        <w:tc>
          <w:tcPr>
            <w:tcW w:w="6377" w:type="dxa"/>
          </w:tcPr>
          <w:p w14:paraId="5C3F0D1A" w14:textId="75BC95DF"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Describes travel that occurs in the opposite direction to peak flow, </w:t>
            </w:r>
            <w:r w:rsidR="004A7265">
              <w:t>ie</w:t>
            </w:r>
            <w:r w:rsidRPr="0087417D">
              <w:t xml:space="preserve"> outbound in the AM peak or inbound in the PM peak.</w:t>
            </w:r>
          </w:p>
        </w:tc>
      </w:tr>
      <w:tr w:rsidR="0087417D" w:rsidRPr="0087417D" w14:paraId="543ABBE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1D1C721A" w14:textId="77777777" w:rsidR="0087417D" w:rsidRPr="0087417D" w:rsidRDefault="0087417D" w:rsidP="0087417D">
            <w:pPr>
              <w:pStyle w:val="TableText"/>
            </w:pPr>
            <w:r w:rsidRPr="0087417D">
              <w:t>Culturally significant landscapes</w:t>
            </w:r>
          </w:p>
        </w:tc>
        <w:tc>
          <w:tcPr>
            <w:tcW w:w="6377" w:type="dxa"/>
          </w:tcPr>
          <w:p w14:paraId="67521D4B"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For the purpose of this report, culturally significant landscapes are those that have cultural or historical characteristics such as Bolin Bolin Billabong, Yarra Flats and Heide Museum of Modern Art.</w:t>
            </w:r>
          </w:p>
        </w:tc>
      </w:tr>
      <w:tr w:rsidR="0087417D" w:rsidRPr="0087417D" w14:paraId="0A1DC74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6C46ADAF" w14:textId="77777777" w:rsidR="0087417D" w:rsidRPr="0087417D" w:rsidRDefault="0087417D" w:rsidP="0087417D">
            <w:pPr>
              <w:pStyle w:val="TableText"/>
            </w:pPr>
            <w:r w:rsidRPr="0087417D">
              <w:t>Cut and cover tunnels</w:t>
            </w:r>
          </w:p>
        </w:tc>
        <w:tc>
          <w:tcPr>
            <w:tcW w:w="6377" w:type="dxa"/>
          </w:tcPr>
          <w:p w14:paraId="6E81F19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Cut and cover construction involves using excavation equipment to dig a large trench or rectangular hole in the ground which is then covered by a concrete deck. Cut and cover construction can be conducted through a top-down or bottom-up configuration.</w:t>
            </w:r>
          </w:p>
        </w:tc>
      </w:tr>
      <w:tr w:rsidR="0087417D" w:rsidRPr="0087417D" w14:paraId="08656D9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3371F8A2" w14:textId="77777777" w:rsidR="0087417D" w:rsidRPr="0087417D" w:rsidRDefault="0087417D" w:rsidP="0087417D">
            <w:pPr>
              <w:pStyle w:val="TableText"/>
            </w:pPr>
            <w:r w:rsidRPr="0087417D">
              <w:t>Decibel (dB)</w:t>
            </w:r>
          </w:p>
        </w:tc>
        <w:tc>
          <w:tcPr>
            <w:tcW w:w="6377" w:type="dxa"/>
          </w:tcPr>
          <w:p w14:paraId="365C2788" w14:textId="547B0F92"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logarithmic scale is used to describe the level of sound, referenced to a standard level. It is widely accepted that a 3dB change in traffic noise levels (of the same character) is barely, if at all detectable; whereas a change of 5</w:t>
            </w:r>
            <w:r w:rsidR="004A7265">
              <w:t> </w:t>
            </w:r>
            <w:r w:rsidRPr="0087417D">
              <w:t>dB is clearly noticeable. A 10 dB increase is typically considered to sound twice as loud (noting a change of -10 dB would typically sound half as loud).</w:t>
            </w:r>
          </w:p>
        </w:tc>
      </w:tr>
      <w:tr w:rsidR="0087417D" w:rsidRPr="0087417D" w14:paraId="352D26B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362A03E3" w14:textId="77777777" w:rsidR="0087417D" w:rsidRPr="0087417D" w:rsidRDefault="0087417D" w:rsidP="0087417D">
            <w:pPr>
              <w:pStyle w:val="TableText"/>
            </w:pPr>
            <w:r w:rsidRPr="0087417D">
              <w:t xml:space="preserve">Dewatering </w:t>
            </w:r>
          </w:p>
        </w:tc>
        <w:tc>
          <w:tcPr>
            <w:tcW w:w="6377" w:type="dxa"/>
          </w:tcPr>
          <w:p w14:paraId="04E3E0A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lowering of static groundwater levels through extraction, usually by means of pumping from one or several groundwater bores.</w:t>
            </w:r>
          </w:p>
        </w:tc>
      </w:tr>
      <w:tr w:rsidR="0087417D" w:rsidRPr="0087417D" w14:paraId="5179C38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032934C" w14:textId="77777777" w:rsidR="0087417D" w:rsidRPr="0087417D" w:rsidRDefault="0087417D" w:rsidP="0087417D">
            <w:pPr>
              <w:pStyle w:val="TableText"/>
            </w:pPr>
            <w:r w:rsidRPr="0087417D">
              <w:t>Discharge</w:t>
            </w:r>
          </w:p>
        </w:tc>
        <w:tc>
          <w:tcPr>
            <w:tcW w:w="6377" w:type="dxa"/>
          </w:tcPr>
          <w:p w14:paraId="4F497E29"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Any process by which water is removed from an aquifer. Includes water that flows to a surface feature, such as a spring, river or wetland, as well as water which flows to an adjacent aquifer.</w:t>
            </w:r>
          </w:p>
        </w:tc>
      </w:tr>
      <w:tr w:rsidR="0087417D" w:rsidRPr="0087417D" w14:paraId="516FF007"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74F340A" w14:textId="77777777" w:rsidR="0087417D" w:rsidRPr="0087417D" w:rsidRDefault="0087417D" w:rsidP="0087417D">
            <w:pPr>
              <w:pStyle w:val="TableText"/>
            </w:pPr>
            <w:r w:rsidRPr="0087417D">
              <w:t>Dissolved oxygen</w:t>
            </w:r>
          </w:p>
        </w:tc>
        <w:tc>
          <w:tcPr>
            <w:tcW w:w="6377" w:type="dxa"/>
          </w:tcPr>
          <w:p w14:paraId="448C323C"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amount of oxygen dissolved in water, such as groundwater or surface water. Usually measured in parts per million.</w:t>
            </w:r>
          </w:p>
        </w:tc>
      </w:tr>
      <w:tr w:rsidR="0087417D" w:rsidRPr="0087417D" w14:paraId="64EFFC2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E581A47" w14:textId="77777777" w:rsidR="0087417D" w:rsidRPr="0087417D" w:rsidRDefault="0087417D" w:rsidP="0087417D">
            <w:pPr>
              <w:pStyle w:val="TableText"/>
            </w:pPr>
            <w:r w:rsidRPr="0087417D">
              <w:t>Dive structure</w:t>
            </w:r>
          </w:p>
        </w:tc>
        <w:tc>
          <w:tcPr>
            <w:tcW w:w="6377" w:type="dxa"/>
          </w:tcPr>
          <w:p w14:paraId="24F4F88D"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Section of roadway where the tunnel portal gradually rises in elevation to meet the existing road network.</w:t>
            </w:r>
          </w:p>
        </w:tc>
      </w:tr>
      <w:tr w:rsidR="0087417D" w:rsidRPr="0087417D" w14:paraId="62BA3CD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65A8860E" w14:textId="77777777" w:rsidR="0087417D" w:rsidRPr="0087417D" w:rsidRDefault="0087417D" w:rsidP="0087417D">
            <w:pPr>
              <w:pStyle w:val="TableText"/>
            </w:pPr>
            <w:r w:rsidRPr="0087417D">
              <w:t>Drawdown</w:t>
            </w:r>
          </w:p>
        </w:tc>
        <w:tc>
          <w:tcPr>
            <w:tcW w:w="6377" w:type="dxa"/>
          </w:tcPr>
          <w:p w14:paraId="0D2BC1E6"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change in groundwater head level that can be attributed to the operation of a pumping bore.</w:t>
            </w:r>
          </w:p>
        </w:tc>
      </w:tr>
      <w:tr w:rsidR="0087417D" w:rsidRPr="0087417D" w14:paraId="1F44358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1DBDDFDA" w14:textId="77777777" w:rsidR="0087417D" w:rsidRPr="0087417D" w:rsidRDefault="0087417D" w:rsidP="0087417D">
            <w:pPr>
              <w:pStyle w:val="TableText"/>
            </w:pPr>
            <w:r w:rsidRPr="0087417D">
              <w:t>Ecological Vegetation Class (EVC)</w:t>
            </w:r>
          </w:p>
        </w:tc>
        <w:tc>
          <w:tcPr>
            <w:tcW w:w="6377" w:type="dxa"/>
          </w:tcPr>
          <w:p w14:paraId="18416173"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type of indigenous vegetation classification that is described through a combination of floristics, lifeforms and ecological characteristics and through an inferred fidelity to particular environmental attributes. Each EVC includes a collection of floristic communities that occurs across a biogeographic range, and although differing in species, have similar habitat and ecological processes operating.</w:t>
            </w:r>
          </w:p>
        </w:tc>
      </w:tr>
      <w:tr w:rsidR="0087417D" w:rsidRPr="0087417D" w14:paraId="539EBA0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16C6FB40" w14:textId="77777777" w:rsidR="0087417D" w:rsidRPr="0087417D" w:rsidRDefault="0087417D" w:rsidP="0087417D">
            <w:pPr>
              <w:pStyle w:val="TableText"/>
            </w:pPr>
            <w:r w:rsidRPr="0087417D">
              <w:t>Ecosystem</w:t>
            </w:r>
          </w:p>
        </w:tc>
        <w:tc>
          <w:tcPr>
            <w:tcW w:w="6377" w:type="dxa"/>
          </w:tcPr>
          <w:p w14:paraId="6AA19359"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system that is made up of a community of animals, plants, and bacteria and its interrelated physical and chemical environment.</w:t>
            </w:r>
          </w:p>
        </w:tc>
      </w:tr>
      <w:tr w:rsidR="0087417D" w:rsidRPr="0087417D" w14:paraId="05423DC0"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B52E886" w14:textId="77777777" w:rsidR="0087417D" w:rsidRPr="0087417D" w:rsidRDefault="0087417D" w:rsidP="0087417D">
            <w:pPr>
              <w:pStyle w:val="TableText"/>
            </w:pPr>
            <w:r w:rsidRPr="0087417D">
              <w:t xml:space="preserve">Electrical conductivity </w:t>
            </w:r>
          </w:p>
        </w:tc>
        <w:tc>
          <w:tcPr>
            <w:tcW w:w="6377" w:type="dxa"/>
          </w:tcPr>
          <w:p w14:paraId="06AF1195" w14:textId="7FB73D34"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ability of a material to conduct electricity under an applied voltage. This</w:t>
            </w:r>
            <w:r w:rsidR="004A7265">
              <w:t> </w:t>
            </w:r>
            <w:r w:rsidRPr="0087417D">
              <w:t>is used to estimate the Total Dissolved Solids in a water sample.</w:t>
            </w:r>
          </w:p>
        </w:tc>
      </w:tr>
      <w:tr w:rsidR="0087417D" w:rsidRPr="0087417D" w14:paraId="5BB0935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5947A034" w14:textId="77777777" w:rsidR="0087417D" w:rsidRPr="0087417D" w:rsidRDefault="0087417D" w:rsidP="0087417D">
            <w:pPr>
              <w:pStyle w:val="TableText"/>
            </w:pPr>
            <w:r w:rsidRPr="0087417D">
              <w:t>Environment Effects Statement</w:t>
            </w:r>
          </w:p>
        </w:tc>
        <w:tc>
          <w:tcPr>
            <w:tcW w:w="6377" w:type="dxa"/>
          </w:tcPr>
          <w:p w14:paraId="2BD9C03C"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Provides a comprehensive framework for assessing the effects of major projects in Victoria. The guidelines state the objective of the assessment process is to provide for the transparent, integrated and timely assessment of projects capable of having a significant effect on the environment.</w:t>
            </w:r>
          </w:p>
        </w:tc>
      </w:tr>
      <w:tr w:rsidR="0087417D" w:rsidRPr="0087417D" w14:paraId="7A72AE3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0124143" w14:textId="77777777" w:rsidR="0087417D" w:rsidRPr="0087417D" w:rsidRDefault="0087417D" w:rsidP="0087417D">
            <w:pPr>
              <w:pStyle w:val="TableText"/>
            </w:pPr>
            <w:r w:rsidRPr="0087417D">
              <w:lastRenderedPageBreak/>
              <w:t xml:space="preserve">Erosion </w:t>
            </w:r>
          </w:p>
        </w:tc>
        <w:tc>
          <w:tcPr>
            <w:tcW w:w="6377" w:type="dxa"/>
          </w:tcPr>
          <w:p w14:paraId="775E5F1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process or group of processes whereby solids in the natural environment are relocated by moving water, glacial ice or wind.</w:t>
            </w:r>
          </w:p>
        </w:tc>
      </w:tr>
      <w:tr w:rsidR="0087417D" w:rsidRPr="0087417D" w14:paraId="4D9FC81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1C92BBD1" w14:textId="77777777" w:rsidR="0087417D" w:rsidRPr="0087417D" w:rsidRDefault="0087417D" w:rsidP="0087417D">
            <w:pPr>
              <w:pStyle w:val="TableText"/>
            </w:pPr>
            <w:r w:rsidRPr="0087417D">
              <w:t>Ex situ</w:t>
            </w:r>
          </w:p>
        </w:tc>
        <w:tc>
          <w:tcPr>
            <w:tcW w:w="6377" w:type="dxa"/>
          </w:tcPr>
          <w:p w14:paraId="443C052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In the case of soil it refers to soil that has been removed from its original place of deposition or formation (that is, excavated or drilled).</w:t>
            </w:r>
          </w:p>
        </w:tc>
      </w:tr>
      <w:tr w:rsidR="0087417D" w:rsidRPr="0087417D" w14:paraId="29B8BA7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5CD2442" w14:textId="77777777" w:rsidR="0087417D" w:rsidRPr="0087417D" w:rsidRDefault="0087417D" w:rsidP="0087417D">
            <w:pPr>
              <w:pStyle w:val="TableText"/>
            </w:pPr>
            <w:r w:rsidRPr="0087417D">
              <w:t xml:space="preserve">Exotic vegetation </w:t>
            </w:r>
          </w:p>
        </w:tc>
        <w:tc>
          <w:tcPr>
            <w:tcW w:w="6377" w:type="dxa"/>
          </w:tcPr>
          <w:p w14:paraId="29F4A709"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Any vegetation that is not native to Australia or its states and territories.</w:t>
            </w:r>
          </w:p>
        </w:tc>
      </w:tr>
      <w:tr w:rsidR="0087417D" w:rsidRPr="0087417D" w14:paraId="537E51A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ED56767" w14:textId="77777777" w:rsidR="0087417D" w:rsidRPr="0087417D" w:rsidRDefault="0087417D" w:rsidP="0087417D">
            <w:pPr>
              <w:pStyle w:val="TableText"/>
            </w:pPr>
            <w:r w:rsidRPr="0087417D">
              <w:t>Exposure</w:t>
            </w:r>
          </w:p>
        </w:tc>
        <w:tc>
          <w:tcPr>
            <w:tcW w:w="6377" w:type="dxa"/>
          </w:tcPr>
          <w:p w14:paraId="4BECB8E7"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Contact with a substance by swallowing, breathing, or touching the skin or eyes. Exposure may be short-term (acute exposure), of intermediate duration, or long-term (chronic exposure).</w:t>
            </w:r>
          </w:p>
        </w:tc>
      </w:tr>
      <w:tr w:rsidR="0087417D" w:rsidRPr="0087417D" w14:paraId="4D4E2F75"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300E73EB" w14:textId="77777777" w:rsidR="0087417D" w:rsidRPr="0087417D" w:rsidRDefault="0087417D" w:rsidP="0087417D">
            <w:pPr>
              <w:pStyle w:val="TableText"/>
            </w:pPr>
            <w:r w:rsidRPr="0087417D">
              <w:t>Fill material</w:t>
            </w:r>
          </w:p>
        </w:tc>
        <w:tc>
          <w:tcPr>
            <w:tcW w:w="6377" w:type="dxa"/>
          </w:tcPr>
          <w:p w14:paraId="3581BD76"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designation of waste material defined by EPA Victoria. Often referred to as ‘clean fill’.</w:t>
            </w:r>
          </w:p>
        </w:tc>
      </w:tr>
      <w:tr w:rsidR="0087417D" w:rsidRPr="0087417D" w14:paraId="00C7360E"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B7F824E" w14:textId="77777777" w:rsidR="0087417D" w:rsidRPr="0087417D" w:rsidRDefault="0087417D" w:rsidP="0087417D">
            <w:pPr>
              <w:pStyle w:val="TableText"/>
            </w:pPr>
            <w:r w:rsidRPr="0087417D">
              <w:t>Flow breakdown</w:t>
            </w:r>
          </w:p>
        </w:tc>
        <w:tc>
          <w:tcPr>
            <w:tcW w:w="6377" w:type="dxa"/>
          </w:tcPr>
          <w:p w14:paraId="75B6CC44"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condition that can occur on freeways and motorways when demand exceeds capacity (at a bottleneck or due to an incident) and free flowing conditions cannot be maintained. A flow breakdown results in significant decreases in speed and capacity decreases to below the geometric capacity of the facility.</w:t>
            </w:r>
          </w:p>
        </w:tc>
      </w:tr>
      <w:tr w:rsidR="0087417D" w:rsidRPr="0087417D" w14:paraId="40004D9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571798B" w14:textId="77777777" w:rsidR="0087417D" w:rsidRPr="0087417D" w:rsidRDefault="0087417D" w:rsidP="0087417D">
            <w:pPr>
              <w:pStyle w:val="TableText"/>
            </w:pPr>
            <w:r w:rsidRPr="0087417D">
              <w:t xml:space="preserve">Frequency </w:t>
            </w:r>
          </w:p>
        </w:tc>
        <w:tc>
          <w:tcPr>
            <w:tcW w:w="6377" w:type="dxa"/>
          </w:tcPr>
          <w:p w14:paraId="1D50CE1F" w14:textId="41E38BF2"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rate per second of a vibration constituting a wave, either in the rock mass material (as in vibration) or in the air (as in sound waves), The number of cycles per unit of time, commonly per second, is called the frequency. The</w:t>
            </w:r>
            <w:r w:rsidR="004A7265">
              <w:t> </w:t>
            </w:r>
            <w:r w:rsidRPr="0087417D">
              <w:t>measurement is reported in Hertz (Hz).</w:t>
            </w:r>
          </w:p>
        </w:tc>
      </w:tr>
      <w:tr w:rsidR="0087417D" w:rsidRPr="0087417D" w14:paraId="6B49E0D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66AE250C" w14:textId="77777777" w:rsidR="0087417D" w:rsidRPr="0087417D" w:rsidRDefault="0087417D" w:rsidP="0087417D">
            <w:pPr>
              <w:pStyle w:val="TableText"/>
            </w:pPr>
            <w:r w:rsidRPr="0087417D">
              <w:t xml:space="preserve">Full-time equivalent </w:t>
            </w:r>
          </w:p>
        </w:tc>
        <w:tc>
          <w:tcPr>
            <w:tcW w:w="6377" w:type="dxa"/>
          </w:tcPr>
          <w:p w14:paraId="41D03339"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ratio of the total number of paid hours during a fixed time period by the number of hours worked in that period.</w:t>
            </w:r>
          </w:p>
        </w:tc>
      </w:tr>
      <w:tr w:rsidR="0087417D" w:rsidRPr="0087417D" w14:paraId="0B6A4837"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C431E07" w14:textId="77777777" w:rsidR="0087417D" w:rsidRPr="0087417D" w:rsidRDefault="0087417D" w:rsidP="0087417D">
            <w:pPr>
              <w:pStyle w:val="TableText"/>
            </w:pPr>
            <w:r w:rsidRPr="0087417D">
              <w:t>Graminoid</w:t>
            </w:r>
          </w:p>
        </w:tc>
        <w:tc>
          <w:tcPr>
            <w:tcW w:w="6377" w:type="dxa"/>
          </w:tcPr>
          <w:p w14:paraId="05E3B382"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herbaceous plant with a grass-like morphology</w:t>
            </w:r>
          </w:p>
        </w:tc>
      </w:tr>
      <w:tr w:rsidR="0087417D" w:rsidRPr="0087417D" w14:paraId="6B324A3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7610C1F" w14:textId="77777777" w:rsidR="0087417D" w:rsidRPr="0087417D" w:rsidRDefault="0087417D" w:rsidP="0087417D">
            <w:pPr>
              <w:pStyle w:val="TableText"/>
            </w:pPr>
            <w:r w:rsidRPr="0087417D">
              <w:t xml:space="preserve">Greater Melbourne </w:t>
            </w:r>
          </w:p>
        </w:tc>
        <w:tc>
          <w:tcPr>
            <w:tcW w:w="6377" w:type="dxa"/>
          </w:tcPr>
          <w:p w14:paraId="311AC632"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Greater Melbourne area is defined by the Australian Bureau of Statistics’ Greater Capital City Statistical Area for Greater Melbourne.</w:t>
            </w:r>
          </w:p>
        </w:tc>
      </w:tr>
      <w:tr w:rsidR="0087417D" w:rsidRPr="0087417D" w14:paraId="2C63ACB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3555ECC" w14:textId="77777777" w:rsidR="0087417D" w:rsidRPr="0087417D" w:rsidRDefault="0087417D" w:rsidP="0087417D">
            <w:pPr>
              <w:pStyle w:val="TableText"/>
            </w:pPr>
            <w:r w:rsidRPr="0087417D">
              <w:t>Ground improvement</w:t>
            </w:r>
          </w:p>
        </w:tc>
        <w:tc>
          <w:tcPr>
            <w:tcW w:w="6377" w:type="dxa"/>
          </w:tcPr>
          <w:p w14:paraId="7D226AAF" w14:textId="09373FC4"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Ground improvement is a construction process that is used to improve the strength, stiffness and permeability characteristics of the ground. Ground</w:t>
            </w:r>
            <w:r w:rsidR="004A7265">
              <w:t> </w:t>
            </w:r>
            <w:r w:rsidRPr="0087417D">
              <w:t>improvement is undertaken to improve the stability and safety of an</w:t>
            </w:r>
            <w:r w:rsidR="004A7265">
              <w:t> </w:t>
            </w:r>
            <w:r w:rsidRPr="0087417D">
              <w:t>excavation.</w:t>
            </w:r>
          </w:p>
        </w:tc>
      </w:tr>
      <w:tr w:rsidR="0087417D" w:rsidRPr="0087417D" w14:paraId="4DA4CC0E"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6E5E40B" w14:textId="77777777" w:rsidR="0087417D" w:rsidRPr="0087417D" w:rsidRDefault="0087417D" w:rsidP="0087417D">
            <w:pPr>
              <w:pStyle w:val="TableText"/>
            </w:pPr>
            <w:r w:rsidRPr="0087417D">
              <w:t>Ground-borne vibration</w:t>
            </w:r>
          </w:p>
        </w:tc>
        <w:tc>
          <w:tcPr>
            <w:tcW w:w="6377" w:type="dxa"/>
          </w:tcPr>
          <w:p w14:paraId="3C6A1B44"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Vibration transmitted from a source to a receptor via the ground.</w:t>
            </w:r>
          </w:p>
        </w:tc>
      </w:tr>
      <w:tr w:rsidR="0087417D" w:rsidRPr="0087417D" w14:paraId="2442AED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6351272" w14:textId="77777777" w:rsidR="0087417D" w:rsidRPr="0087417D" w:rsidRDefault="0087417D" w:rsidP="0087417D">
            <w:pPr>
              <w:pStyle w:val="TableText"/>
            </w:pPr>
            <w:r w:rsidRPr="0087417D">
              <w:t>Groundwater</w:t>
            </w:r>
          </w:p>
        </w:tc>
        <w:tc>
          <w:tcPr>
            <w:tcW w:w="6377" w:type="dxa"/>
          </w:tcPr>
          <w:p w14:paraId="7D1185B0"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Water occurring naturally below ground level or water pumped, diverted and released into a bore for storage underground.</w:t>
            </w:r>
          </w:p>
        </w:tc>
      </w:tr>
      <w:tr w:rsidR="0087417D" w:rsidRPr="0087417D" w14:paraId="704D1B0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D3967C3" w14:textId="77777777" w:rsidR="0087417D" w:rsidRPr="0087417D" w:rsidRDefault="0087417D" w:rsidP="0087417D">
            <w:pPr>
              <w:pStyle w:val="TableText"/>
            </w:pPr>
            <w:r w:rsidRPr="0087417D">
              <w:t>Groundwater Dependant Ecosystem</w:t>
            </w:r>
          </w:p>
        </w:tc>
        <w:tc>
          <w:tcPr>
            <w:tcW w:w="6377" w:type="dxa"/>
          </w:tcPr>
          <w:p w14:paraId="0E4E6388"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An ecosystem that is partially or wholly reliant on groundwater for its survival. This can include terrestrial, subsurface and marine ecosystems.</w:t>
            </w:r>
          </w:p>
        </w:tc>
      </w:tr>
      <w:tr w:rsidR="0087417D" w:rsidRPr="0087417D" w14:paraId="36744FF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591254A6" w14:textId="77777777" w:rsidR="0087417D" w:rsidRPr="0087417D" w:rsidRDefault="0087417D" w:rsidP="0087417D">
            <w:pPr>
              <w:pStyle w:val="TableText"/>
            </w:pPr>
            <w:r w:rsidRPr="0087417D">
              <w:t>Groundwater drawdown</w:t>
            </w:r>
          </w:p>
        </w:tc>
        <w:tc>
          <w:tcPr>
            <w:tcW w:w="6377" w:type="dxa"/>
          </w:tcPr>
          <w:p w14:paraId="2F46493C"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Groundwater drawdown is the lowering of the water table from the existing groundwater level. </w:t>
            </w:r>
          </w:p>
        </w:tc>
      </w:tr>
      <w:tr w:rsidR="0087417D" w:rsidRPr="0087417D" w14:paraId="1FCA7085"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72CE0BF" w14:textId="77777777" w:rsidR="0087417D" w:rsidRPr="0087417D" w:rsidRDefault="0087417D" w:rsidP="0087417D">
            <w:pPr>
              <w:pStyle w:val="TableText"/>
            </w:pPr>
            <w:r w:rsidRPr="0087417D">
              <w:t>Groundwater monitoring bore</w:t>
            </w:r>
          </w:p>
        </w:tc>
        <w:tc>
          <w:tcPr>
            <w:tcW w:w="6377" w:type="dxa"/>
          </w:tcPr>
          <w:p w14:paraId="7FB6B854"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bore installed with the purpose to; determine the nature and properties of subsurface ground conditions; provide access to groundwater for measuring level, physical and chemical properties; and permit the collection of groundwater samples and conduct of aquifer testing.</w:t>
            </w:r>
          </w:p>
        </w:tc>
      </w:tr>
      <w:tr w:rsidR="0087417D" w:rsidRPr="0087417D" w14:paraId="3AB713F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344B577D" w14:textId="77777777" w:rsidR="0087417D" w:rsidRPr="0087417D" w:rsidRDefault="0087417D" w:rsidP="0087417D">
            <w:pPr>
              <w:pStyle w:val="TableText"/>
            </w:pPr>
            <w:r w:rsidRPr="0087417D">
              <w:lastRenderedPageBreak/>
              <w:t>Hardness</w:t>
            </w:r>
          </w:p>
        </w:tc>
        <w:tc>
          <w:tcPr>
            <w:tcW w:w="6377" w:type="dxa"/>
          </w:tcPr>
          <w:p w14:paraId="49682097"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measure of the mineral content of water, primarily calcium and magnesium ions. ‘Hard’ water causes an insoluble residue to form when water is used with soap.</w:t>
            </w:r>
          </w:p>
        </w:tc>
      </w:tr>
      <w:tr w:rsidR="0087417D" w:rsidRPr="0087417D" w14:paraId="387D9ED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1C853BFA" w14:textId="77777777" w:rsidR="0087417D" w:rsidRPr="0087417D" w:rsidRDefault="0087417D" w:rsidP="0087417D">
            <w:pPr>
              <w:pStyle w:val="TableText"/>
            </w:pPr>
            <w:r w:rsidRPr="0087417D">
              <w:t>Heritage place</w:t>
            </w:r>
          </w:p>
        </w:tc>
        <w:tc>
          <w:tcPr>
            <w:tcW w:w="6377" w:type="dxa"/>
          </w:tcPr>
          <w:p w14:paraId="3E5AB279"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In an historical heritage context, the term ‘place’ is wide ranging. An industry standard which is most frequently referenced as a guide to best practice management of cultural heritage places in Australia is the Australia ICOMOS Burra Charter, 2013 (Burra Charter). Consistent with the Burra Charter, a ‘place’ is a geographically defined area. It may include elements, objects, spaces and views. Places may have tangible and intangible dimensions (Australia ICOMOS: 2013, refer Article 1). Heritage places can encompass a range of place types, including buildings, gardens, trees, shipwrecks, archaeological sites, precincts, sites and associated land. Monuments and memorials can also be considered, whether as heritage places (or as part of a heritage place) or as objects.</w:t>
            </w:r>
          </w:p>
        </w:tc>
      </w:tr>
      <w:tr w:rsidR="0087417D" w:rsidRPr="0087417D" w14:paraId="1E93B5BB"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64300CF" w14:textId="77777777" w:rsidR="0087417D" w:rsidRPr="0087417D" w:rsidRDefault="0087417D" w:rsidP="0087417D">
            <w:pPr>
              <w:pStyle w:val="TableText"/>
            </w:pPr>
            <w:r w:rsidRPr="0087417D">
              <w:t>Higher Mass Limits (HML) network</w:t>
            </w:r>
          </w:p>
        </w:tc>
        <w:tc>
          <w:tcPr>
            <w:tcW w:w="6377" w:type="dxa"/>
          </w:tcPr>
          <w:p w14:paraId="1382DE38"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VicRoads gazetted network for Class 2 and 3 heavy vehicles operating above their prescribed general maximum weights. Some vehicles are permitted to operate above these limits along roads gazetted for Higher Mass Limits.</w:t>
            </w:r>
          </w:p>
        </w:tc>
      </w:tr>
      <w:tr w:rsidR="0087417D" w:rsidRPr="0087417D" w14:paraId="43402ACE"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3AF80EE" w14:textId="77777777" w:rsidR="0087417D" w:rsidRPr="0087417D" w:rsidRDefault="0087417D" w:rsidP="0087417D">
            <w:pPr>
              <w:pStyle w:val="TableText"/>
            </w:pPr>
            <w:r w:rsidRPr="0087417D">
              <w:t xml:space="preserve">Historical archaeology </w:t>
            </w:r>
          </w:p>
        </w:tc>
        <w:tc>
          <w:tcPr>
            <w:tcW w:w="6377" w:type="dxa"/>
          </w:tcPr>
          <w:p w14:paraId="1EF1F49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As defined in the Heritage Act 2017, historical archaeological sites are those heritage places that contain archaeological artefacts, deposits or features which are more than 75 years old, and that provide information of past activity in the State and require archaeological methods to reveal information about the settlement, development or use of the place, and are not associated only with Aboriginal occupation of the place. Sites which contain artefacts, deposits or features less than 75 years in age can be approved by the Heritage Council </w:t>
            </w:r>
            <w:proofErr w:type="spellStart"/>
            <w:r w:rsidRPr="0087417D">
              <w:t>as</w:t>
            </w:r>
            <w:proofErr w:type="spellEnd"/>
            <w:r w:rsidRPr="0087417D">
              <w:t xml:space="preserve"> approved sites of archaeological value.</w:t>
            </w:r>
          </w:p>
        </w:tc>
      </w:tr>
      <w:tr w:rsidR="0087417D" w:rsidRPr="0087417D" w14:paraId="3BD4211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FB6E94B" w14:textId="77777777" w:rsidR="0087417D" w:rsidRPr="0087417D" w:rsidRDefault="0087417D" w:rsidP="0087417D">
            <w:pPr>
              <w:pStyle w:val="TableText"/>
            </w:pPr>
            <w:r w:rsidRPr="0087417D">
              <w:t xml:space="preserve">Historical heritage </w:t>
            </w:r>
          </w:p>
        </w:tc>
        <w:tc>
          <w:tcPr>
            <w:tcW w:w="6377" w:type="dxa"/>
          </w:tcPr>
          <w:p w14:paraId="7720AE8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term ‘historical cultural heritage’ or ‘historical heritage’ (the two are used interchangeably) is understood in this report to mean places and objects that are of aesthetic, archaeological, architectural, cultural, scientific or social significance. It does not include places or objects that are of significance only on the grounds of their association with Aboriginal tradition. Accepting this, it is noted that the term ‘historical heritage’ should not be interpreted as excluding Aboriginal cultural heritage values and there are many historical heritage places which have Aboriginal cultural heritage values in addition to non-Aboriginal cultural values (shared values). This is consistent with the definitions and exclusions in the Heritage Act 2017.</w:t>
            </w:r>
          </w:p>
        </w:tc>
      </w:tr>
      <w:tr w:rsidR="0087417D" w:rsidRPr="0087417D" w14:paraId="6A08DAC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54059A03" w14:textId="77777777" w:rsidR="0087417D" w:rsidRPr="0087417D" w:rsidRDefault="0087417D" w:rsidP="0087417D">
            <w:pPr>
              <w:pStyle w:val="TableText"/>
            </w:pPr>
            <w:r w:rsidRPr="0087417D">
              <w:t>High Productivity Freight Vehicle (HPFV)</w:t>
            </w:r>
          </w:p>
        </w:tc>
        <w:tc>
          <w:tcPr>
            <w:tcW w:w="6377" w:type="dxa"/>
          </w:tcPr>
          <w:p w14:paraId="75F24332"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These are truck and trailer combinations that exceed nominal mass and dimension limits and require permits from the National Heavy Vehicle Regulator.</w:t>
            </w:r>
          </w:p>
        </w:tc>
      </w:tr>
      <w:tr w:rsidR="0087417D" w:rsidRPr="0087417D" w14:paraId="6F41CF1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0BD3F95" w14:textId="77777777" w:rsidR="0087417D" w:rsidRPr="0087417D" w:rsidRDefault="0087417D" w:rsidP="0087417D">
            <w:pPr>
              <w:pStyle w:val="TableText"/>
            </w:pPr>
            <w:r w:rsidRPr="0087417D">
              <w:t>Hydraulic hammer</w:t>
            </w:r>
          </w:p>
        </w:tc>
        <w:tc>
          <w:tcPr>
            <w:tcW w:w="6377" w:type="dxa"/>
          </w:tcPr>
          <w:p w14:paraId="273D21AE"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A rock breaker/hydraulic hammer is a percussion hammer fitted to an excavator for excavating rock material. It is powered by an auxiliary hydraulic system from the excavator. </w:t>
            </w:r>
          </w:p>
        </w:tc>
      </w:tr>
      <w:tr w:rsidR="0087417D" w:rsidRPr="0087417D" w14:paraId="62BCEC9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AB1F4F4" w14:textId="77777777" w:rsidR="0087417D" w:rsidRPr="0087417D" w:rsidRDefault="0087417D" w:rsidP="0087417D">
            <w:pPr>
              <w:pStyle w:val="TableText"/>
            </w:pPr>
            <w:r w:rsidRPr="0087417D">
              <w:lastRenderedPageBreak/>
              <w:t>Impact assessments</w:t>
            </w:r>
          </w:p>
        </w:tc>
        <w:tc>
          <w:tcPr>
            <w:tcW w:w="6377" w:type="dxa"/>
          </w:tcPr>
          <w:p w14:paraId="7AF27F1E"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An impact is the effect of an action on a resource or system. An impact assessment evaluates the severity and significance of the change through consideration of the:</w:t>
            </w:r>
          </w:p>
          <w:p w14:paraId="4403A878"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Value or sensitivity of a resource or system that is affected by an action</w:t>
            </w:r>
          </w:p>
          <w:p w14:paraId="5B62E620"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Consequence or magnitude of the effect on that resource or system </w:t>
            </w:r>
          </w:p>
          <w:p w14:paraId="280F0198" w14:textId="7C232DFE"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ability of the system to recover or for mitigation measures to be applied.</w:t>
            </w:r>
          </w:p>
        </w:tc>
      </w:tr>
      <w:tr w:rsidR="0087417D" w:rsidRPr="0087417D" w14:paraId="53E2EFA0"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C1C90EE" w14:textId="77777777" w:rsidR="0087417D" w:rsidRPr="0087417D" w:rsidRDefault="0087417D" w:rsidP="0087417D">
            <w:pPr>
              <w:pStyle w:val="TableText"/>
            </w:pPr>
            <w:r w:rsidRPr="0087417D">
              <w:t xml:space="preserve">Index of Relative Socio-Economic Advantage and Disadvantage </w:t>
            </w:r>
          </w:p>
        </w:tc>
        <w:tc>
          <w:tcPr>
            <w:tcW w:w="6377" w:type="dxa"/>
          </w:tcPr>
          <w:p w14:paraId="5EF0B880"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Socio-economic advantage and disadvantage are defined broadly by the Index of Relative Socio-Economic Advantage and Disadvantage (IRSAD) in terms of people’s access to material and social resources and their ability to participate in society (ABS, 2018c). In order to capture this broad definition, the IRSAD includes a range of data points, including income, education, employment, occupation, and housing. The IRSAD divides a population into ten equal groups. The lowest scoring 10 per cent of these groups are given a decile number of 1, which indicates the highest level of disadvantage, and the highest scoring 10 per cent of areas are given a decile of 10, which indicates the highest level of advantage.</w:t>
            </w:r>
          </w:p>
        </w:tc>
      </w:tr>
      <w:tr w:rsidR="0087417D" w:rsidRPr="0087417D" w14:paraId="55647EAA"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40FA0E5" w14:textId="77777777" w:rsidR="0087417D" w:rsidRPr="0087417D" w:rsidRDefault="0087417D" w:rsidP="0087417D">
            <w:pPr>
              <w:pStyle w:val="TableText"/>
            </w:pPr>
            <w:r w:rsidRPr="0087417D">
              <w:t xml:space="preserve">Indigenous vegetation </w:t>
            </w:r>
          </w:p>
        </w:tc>
        <w:tc>
          <w:tcPr>
            <w:tcW w:w="6377" w:type="dxa"/>
          </w:tcPr>
          <w:p w14:paraId="269C4DE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Indigenous vegetation includes vegetation that is native to Australia as well as being native to a specific geographic region. In the case of North East Link, this includes vegetation that is native to the Port Phillip and Westernport Catchment Management Region.</w:t>
            </w:r>
          </w:p>
        </w:tc>
      </w:tr>
      <w:tr w:rsidR="0087417D" w:rsidRPr="0087417D" w14:paraId="28FDC04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B5C1601" w14:textId="77777777" w:rsidR="0087417D" w:rsidRPr="0087417D" w:rsidRDefault="0087417D" w:rsidP="0087417D">
            <w:pPr>
              <w:pStyle w:val="TableText"/>
            </w:pPr>
            <w:r w:rsidRPr="0087417D">
              <w:t>Inert waste</w:t>
            </w:r>
          </w:p>
        </w:tc>
        <w:tc>
          <w:tcPr>
            <w:tcW w:w="6377" w:type="dxa"/>
          </w:tcPr>
          <w:p w14:paraId="66C4DA76"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 Waste which is neither chemically nor biologically reactive and will not decompose, such as concrete, building rubble.</w:t>
            </w:r>
          </w:p>
        </w:tc>
      </w:tr>
      <w:tr w:rsidR="0087417D" w:rsidRPr="0087417D" w14:paraId="303D782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9C539DB" w14:textId="77777777" w:rsidR="0087417D" w:rsidRPr="0087417D" w:rsidRDefault="0087417D" w:rsidP="0087417D">
            <w:pPr>
              <w:pStyle w:val="TableText"/>
            </w:pPr>
            <w:r w:rsidRPr="0087417D">
              <w:t>In situ</w:t>
            </w:r>
          </w:p>
        </w:tc>
        <w:tc>
          <w:tcPr>
            <w:tcW w:w="6377" w:type="dxa"/>
          </w:tcPr>
          <w:p w14:paraId="0E4961E6"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In the case of soil it refers to soil that has not been removed from its original place of deposition or formation.</w:t>
            </w:r>
          </w:p>
        </w:tc>
      </w:tr>
      <w:tr w:rsidR="0087417D" w:rsidRPr="0087417D" w14:paraId="2455DF5A"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136D0C6" w14:textId="77777777" w:rsidR="0087417D" w:rsidRPr="0087417D" w:rsidRDefault="0087417D" w:rsidP="0087417D">
            <w:pPr>
              <w:pStyle w:val="TableText"/>
            </w:pPr>
            <w:r w:rsidRPr="0087417D">
              <w:t>Landscape character area</w:t>
            </w:r>
          </w:p>
        </w:tc>
        <w:tc>
          <w:tcPr>
            <w:tcW w:w="6377" w:type="dxa"/>
          </w:tcPr>
          <w:p w14:paraId="6EF411A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characteristics that assist in defining the landscape character areas include geology, vegetation, topography and drainage patterns, as well as the extent of modifications and urban development.</w:t>
            </w:r>
          </w:p>
        </w:tc>
      </w:tr>
      <w:tr w:rsidR="0087417D" w:rsidRPr="0087417D" w14:paraId="7F347C1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D6655A4" w14:textId="77777777" w:rsidR="0087417D" w:rsidRPr="0087417D" w:rsidRDefault="0087417D" w:rsidP="0087417D">
            <w:pPr>
              <w:pStyle w:val="TableText"/>
            </w:pPr>
            <w:r w:rsidRPr="0087417D">
              <w:t>Landscape feature</w:t>
            </w:r>
          </w:p>
        </w:tc>
        <w:tc>
          <w:tcPr>
            <w:tcW w:w="6377" w:type="dxa"/>
          </w:tcPr>
          <w:p w14:paraId="29F0352B" w14:textId="3C29A203"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A component, part or feature of the landscape that is prominent or eye-catching, </w:t>
            </w:r>
            <w:r w:rsidR="004A7265">
              <w:t>eg</w:t>
            </w:r>
            <w:r w:rsidRPr="0087417D">
              <w:t xml:space="preserve"> hills, buildings, vegetation.</w:t>
            </w:r>
          </w:p>
        </w:tc>
      </w:tr>
      <w:tr w:rsidR="0087417D" w:rsidRPr="0087417D" w14:paraId="5E35DDB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1B8AB8BC" w14:textId="77777777" w:rsidR="0087417D" w:rsidRPr="0087417D" w:rsidRDefault="0087417D" w:rsidP="0087417D">
            <w:pPr>
              <w:pStyle w:val="TableText"/>
            </w:pPr>
            <w:r w:rsidRPr="0087417D">
              <w:t xml:space="preserve">Landscape sensitivity </w:t>
            </w:r>
          </w:p>
        </w:tc>
        <w:tc>
          <w:tcPr>
            <w:tcW w:w="6377" w:type="dxa"/>
          </w:tcPr>
          <w:p w14:paraId="33DDC75C"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extent to which landscape can accept a change of a particular type and scale without unacceptable adverse impacts on its character.</w:t>
            </w:r>
          </w:p>
        </w:tc>
      </w:tr>
      <w:tr w:rsidR="0087417D" w:rsidRPr="0087417D" w14:paraId="7BB6FE1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53870E98" w14:textId="77777777" w:rsidR="0087417D" w:rsidRPr="0087417D" w:rsidRDefault="0087417D" w:rsidP="0087417D">
            <w:pPr>
              <w:pStyle w:val="TableText"/>
            </w:pPr>
            <w:r w:rsidRPr="0087417D">
              <w:t xml:space="preserve">Landscape value </w:t>
            </w:r>
          </w:p>
        </w:tc>
        <w:tc>
          <w:tcPr>
            <w:tcW w:w="6377" w:type="dxa"/>
          </w:tcPr>
          <w:p w14:paraId="7F47ACA4"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relative value that is attached to different landscapes by society. Landscape characteristics the community considers are significant for reasons such as their aesthetic (predominantly visual), social, environmental and heritage values. (LI &amp; IEMA 2013. WAPC 2007)</w:t>
            </w:r>
          </w:p>
        </w:tc>
      </w:tr>
      <w:tr w:rsidR="0087417D" w:rsidRPr="0087417D" w14:paraId="0ADC246B"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363EDBED" w14:textId="77777777" w:rsidR="0087417D" w:rsidRPr="0087417D" w:rsidRDefault="0087417D" w:rsidP="0087417D">
            <w:pPr>
              <w:pStyle w:val="TableText"/>
            </w:pPr>
            <w:r w:rsidRPr="0087417D">
              <w:t>Level of Service (LoS)</w:t>
            </w:r>
          </w:p>
        </w:tc>
        <w:tc>
          <w:tcPr>
            <w:tcW w:w="6377" w:type="dxa"/>
          </w:tcPr>
          <w:p w14:paraId="2487DAA8"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qualitative measure (from A to F) for ranking operating conditions, based on factors such as traffic density and delays. A Level of Service A represents free-flowing conditions where individual users are virtually unaffected by the presence of others. A Level of Service F represents flow breakdown with demand exceeding capacity and low comfort and convenience. A road in constant traffic jam is considered Level of Service F.</w:t>
            </w:r>
          </w:p>
        </w:tc>
      </w:tr>
      <w:tr w:rsidR="0087417D" w:rsidRPr="0087417D" w14:paraId="6854089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3A6DD7FD" w14:textId="77777777" w:rsidR="0087417D" w:rsidRPr="0087417D" w:rsidRDefault="0087417D" w:rsidP="0087417D">
            <w:pPr>
              <w:pStyle w:val="TableText"/>
            </w:pPr>
            <w:r w:rsidRPr="0087417D">
              <w:lastRenderedPageBreak/>
              <w:t xml:space="preserve">Local catchment </w:t>
            </w:r>
          </w:p>
        </w:tc>
        <w:tc>
          <w:tcPr>
            <w:tcW w:w="6377" w:type="dxa"/>
          </w:tcPr>
          <w:p w14:paraId="2303EAD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Users are located within a short and safe walking distance, generally in the range of 150 m to 300 m, depending on the presence of barriers (Parks and Leisure Australia, 2013)</w:t>
            </w:r>
          </w:p>
        </w:tc>
      </w:tr>
      <w:tr w:rsidR="0087417D" w:rsidRPr="0087417D" w14:paraId="2843DBE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ADACA04" w14:textId="77777777" w:rsidR="0087417D" w:rsidRPr="0087417D" w:rsidRDefault="0087417D" w:rsidP="0087417D">
            <w:pPr>
              <w:pStyle w:val="TableText"/>
            </w:pPr>
            <w:r w:rsidRPr="0087417D">
              <w:t xml:space="preserve">Mainline </w:t>
            </w:r>
          </w:p>
        </w:tc>
        <w:tc>
          <w:tcPr>
            <w:tcW w:w="6377" w:type="dxa"/>
          </w:tcPr>
          <w:p w14:paraId="368505FF" w14:textId="6710D5BE"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mainline is a component of a freeway, usually the central carriageway, which facilitates the primary traffic demand along the freeway corridor. It</w:t>
            </w:r>
            <w:r w:rsidR="004A7265">
              <w:t> </w:t>
            </w:r>
            <w:r w:rsidRPr="0087417D">
              <w:t>is</w:t>
            </w:r>
            <w:r w:rsidR="004A7265">
              <w:t> </w:t>
            </w:r>
            <w:r w:rsidRPr="0087417D">
              <w:t>distinct from a collector-distributor which facilitates entry and exit</w:t>
            </w:r>
            <w:r w:rsidR="004A7265">
              <w:t> </w:t>
            </w:r>
            <w:r w:rsidRPr="0087417D">
              <w:t>movements.</w:t>
            </w:r>
          </w:p>
        </w:tc>
      </w:tr>
      <w:tr w:rsidR="0087417D" w:rsidRPr="0087417D" w14:paraId="4326C3FA"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E592090" w14:textId="77777777" w:rsidR="0087417D" w:rsidRPr="0087417D" w:rsidRDefault="0087417D" w:rsidP="0087417D">
            <w:pPr>
              <w:pStyle w:val="TableText"/>
            </w:pPr>
            <w:r w:rsidRPr="0087417D">
              <w:t>Major Activity Centre</w:t>
            </w:r>
          </w:p>
        </w:tc>
        <w:tc>
          <w:tcPr>
            <w:tcW w:w="6377" w:type="dxa"/>
          </w:tcPr>
          <w:p w14:paraId="4C430BC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Suburban centres that provide access to a wide range of goods and services. They have different attributes and provide different functions, with some serving larger subregional catchments. Plan Melbourne identifies 121 major activity centres. </w:t>
            </w:r>
          </w:p>
        </w:tc>
      </w:tr>
      <w:tr w:rsidR="00124240" w:rsidRPr="0087417D" w14:paraId="65349B3A"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577DC3C9" w14:textId="5AF452FE" w:rsidR="00124240" w:rsidRPr="0087417D" w:rsidRDefault="00124240" w:rsidP="0087417D">
            <w:pPr>
              <w:pStyle w:val="TableText"/>
            </w:pPr>
            <w:r>
              <w:t>Major Transport Infrastructure Authority (MTIA)</w:t>
            </w:r>
          </w:p>
        </w:tc>
        <w:tc>
          <w:tcPr>
            <w:tcW w:w="6377" w:type="dxa"/>
          </w:tcPr>
          <w:p w14:paraId="0ECCE332" w14:textId="46CC718C" w:rsidR="00124240" w:rsidRPr="0087417D" w:rsidRDefault="00124240" w:rsidP="00124240">
            <w:pPr>
              <w:pStyle w:val="TableText"/>
              <w:cnfStyle w:val="000000000000" w:firstRow="0" w:lastRow="0" w:firstColumn="0" w:lastColumn="0" w:oddVBand="0" w:evenVBand="0" w:oddHBand="0" w:evenHBand="0" w:firstRowFirstColumn="0" w:firstRowLastColumn="0" w:lastRowFirstColumn="0" w:lastRowLastColumn="0"/>
            </w:pPr>
            <w:r w:rsidRPr="00124240">
              <w:t>The Major Transport Infrastructure Authority (MTIA) is the proponent for the North East Link project. The MTIA is an administrative office within the Victorian Department of Transport with responsibility for overs</w:t>
            </w:r>
            <w:r>
              <w:t>eeing major transport projects.</w:t>
            </w:r>
          </w:p>
        </w:tc>
      </w:tr>
      <w:tr w:rsidR="0087417D" w:rsidRPr="0087417D" w14:paraId="0A09A1B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13937FE" w14:textId="77777777" w:rsidR="0087417D" w:rsidRPr="0087417D" w:rsidRDefault="0087417D" w:rsidP="0087417D">
            <w:pPr>
              <w:pStyle w:val="TableText"/>
            </w:pPr>
            <w:r w:rsidRPr="0087417D">
              <w:t>Medium and long term viable trees</w:t>
            </w:r>
          </w:p>
        </w:tc>
        <w:tc>
          <w:tcPr>
            <w:tcW w:w="6377" w:type="dxa"/>
          </w:tcPr>
          <w:p w14:paraId="4B25F3D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Semi-mature, mature and over-mature trees which are considered to be viable from 2018 to beyond the approximate timeframe of delivery of the project (10 years or more).</w:t>
            </w:r>
          </w:p>
        </w:tc>
      </w:tr>
      <w:tr w:rsidR="0087417D" w:rsidRPr="0087417D" w14:paraId="3D58C21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E8E561B" w14:textId="77777777" w:rsidR="0087417D" w:rsidRPr="0087417D" w:rsidRDefault="0087417D" w:rsidP="0087417D">
            <w:pPr>
              <w:pStyle w:val="TableText"/>
            </w:pPr>
            <w:r w:rsidRPr="0087417D">
              <w:t>Metropolitan Activity Centre (MAC)</w:t>
            </w:r>
          </w:p>
        </w:tc>
        <w:tc>
          <w:tcPr>
            <w:tcW w:w="6377" w:type="dxa"/>
          </w:tcPr>
          <w:p w14:paraId="258A151D"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Identified as part of Plan Melbourne, MACs are designated hubs which often comprise of a concentration of employment, services, education and transport links.</w:t>
            </w:r>
          </w:p>
        </w:tc>
      </w:tr>
      <w:tr w:rsidR="0087417D" w:rsidRPr="0087417D" w14:paraId="2C4FFDA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1119D96D" w14:textId="77777777" w:rsidR="0087417D" w:rsidRPr="0087417D" w:rsidRDefault="0087417D" w:rsidP="0087417D">
            <w:pPr>
              <w:pStyle w:val="TableText"/>
            </w:pPr>
            <w:r w:rsidRPr="0087417D">
              <w:t xml:space="preserve">Morbidity </w:t>
            </w:r>
          </w:p>
        </w:tc>
        <w:tc>
          <w:tcPr>
            <w:tcW w:w="6377" w:type="dxa"/>
          </w:tcPr>
          <w:p w14:paraId="27B6D682" w14:textId="2B6F0C69"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diseased condition or state or the incidence or prevalence of disease in a</w:t>
            </w:r>
            <w:r w:rsidR="004A7265">
              <w:t> </w:t>
            </w:r>
            <w:r w:rsidRPr="0087417D">
              <w:t>population.</w:t>
            </w:r>
          </w:p>
        </w:tc>
      </w:tr>
      <w:tr w:rsidR="0087417D" w:rsidRPr="0087417D" w14:paraId="166448F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13C229D6" w14:textId="77777777" w:rsidR="0087417D" w:rsidRPr="0087417D" w:rsidRDefault="0087417D" w:rsidP="0087417D">
            <w:pPr>
              <w:pStyle w:val="TableText"/>
            </w:pPr>
            <w:r w:rsidRPr="0087417D">
              <w:t xml:space="preserve">Mortality </w:t>
            </w:r>
          </w:p>
        </w:tc>
        <w:tc>
          <w:tcPr>
            <w:tcW w:w="6377" w:type="dxa"/>
          </w:tcPr>
          <w:p w14:paraId="1ACBC57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Death, which may occur as a result of a range of reasons or diseases.</w:t>
            </w:r>
          </w:p>
        </w:tc>
      </w:tr>
      <w:tr w:rsidR="0087417D" w:rsidRPr="0087417D" w14:paraId="01C908B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04F1B0C" w14:textId="77777777" w:rsidR="0087417D" w:rsidRPr="0087417D" w:rsidRDefault="0087417D" w:rsidP="0087417D">
            <w:pPr>
              <w:pStyle w:val="TableText"/>
            </w:pPr>
            <w:r w:rsidRPr="0087417D">
              <w:t>National Employment and Innovation Cluster (NEIC)</w:t>
            </w:r>
          </w:p>
        </w:tc>
        <w:tc>
          <w:tcPr>
            <w:tcW w:w="6377" w:type="dxa"/>
          </w:tcPr>
          <w:p w14:paraId="15CD588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Another key concept of Plan Melbourne, NEICs are a series of knowledge-intensive employment hubs of national significance and scale.</w:t>
            </w:r>
          </w:p>
        </w:tc>
      </w:tr>
      <w:tr w:rsidR="0087417D" w:rsidRPr="0087417D" w14:paraId="3476630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1860CCCC" w14:textId="77777777" w:rsidR="0087417D" w:rsidRPr="0087417D" w:rsidRDefault="0087417D" w:rsidP="0087417D">
            <w:pPr>
              <w:pStyle w:val="TableText"/>
            </w:pPr>
            <w:r w:rsidRPr="0087417D">
              <w:t>Native trees</w:t>
            </w:r>
          </w:p>
        </w:tc>
        <w:tc>
          <w:tcPr>
            <w:tcW w:w="6377" w:type="dxa"/>
          </w:tcPr>
          <w:p w14:paraId="549D5FF0" w14:textId="0F02A8C8"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Native trees include all trees that are native to Australia, and its states and</w:t>
            </w:r>
            <w:r w:rsidR="004A7265">
              <w:t> </w:t>
            </w:r>
            <w:r w:rsidRPr="0087417D">
              <w:t>territories.</w:t>
            </w:r>
          </w:p>
        </w:tc>
      </w:tr>
      <w:tr w:rsidR="0087417D" w:rsidRPr="0087417D" w14:paraId="7786004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3CC1485A" w14:textId="77777777" w:rsidR="0087417D" w:rsidRPr="0087417D" w:rsidRDefault="0087417D" w:rsidP="0087417D">
            <w:pPr>
              <w:pStyle w:val="TableText"/>
            </w:pPr>
            <w:r w:rsidRPr="0087417D">
              <w:t>Noise Management Level</w:t>
            </w:r>
          </w:p>
        </w:tc>
        <w:tc>
          <w:tcPr>
            <w:tcW w:w="6377" w:type="dxa"/>
          </w:tcPr>
          <w:p w14:paraId="5E016B80"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noise level (from the construction works) which triggers a particular action which is intended to manage the construction noise impacts.</w:t>
            </w:r>
          </w:p>
        </w:tc>
      </w:tr>
      <w:tr w:rsidR="003B4C23" w:rsidRPr="0087417D" w14:paraId="44A2E47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C6E785D" w14:textId="36A206F6" w:rsidR="003B4C23" w:rsidRPr="0087417D" w:rsidRDefault="003B4C23" w:rsidP="0087417D">
            <w:pPr>
              <w:pStyle w:val="TableText"/>
            </w:pPr>
            <w:r>
              <w:t>North East Link Project (NELP)</w:t>
            </w:r>
          </w:p>
        </w:tc>
        <w:tc>
          <w:tcPr>
            <w:tcW w:w="6377" w:type="dxa"/>
          </w:tcPr>
          <w:p w14:paraId="050C5198" w14:textId="25AAAC2F" w:rsidR="003B4C23" w:rsidRPr="0087417D" w:rsidRDefault="003B4C23" w:rsidP="003B4C23">
            <w:pPr>
              <w:pStyle w:val="TableText"/>
              <w:cnfStyle w:val="000000000000" w:firstRow="0" w:lastRow="0" w:firstColumn="0" w:lastColumn="0" w:oddVBand="0" w:evenVBand="0" w:oddHBand="0" w:evenHBand="0" w:firstRowFirstColumn="0" w:firstRowLastColumn="0" w:lastRowFirstColumn="0" w:lastRowLastColumn="0"/>
            </w:pPr>
            <w:r w:rsidRPr="003B4C23">
              <w:t>North East Link Project (NELP) is an organisation within MTIA that is responsible for developing and delivering North East Link. NELP was formerly known as the North East Link Authority prior to 1 January 2019. NELP is responsible for developing the reference project and coordinating development of the technical reports, engaging and informing stakeholders and the wider community, obtaining key planning and environmental approvals and coordinating procurement for construction and o</w:t>
            </w:r>
            <w:r>
              <w:t>peration.</w:t>
            </w:r>
          </w:p>
        </w:tc>
      </w:tr>
      <w:tr w:rsidR="0087417D" w:rsidRPr="0087417D" w14:paraId="5382EBC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6AC5FB36" w14:textId="77777777" w:rsidR="0087417D" w:rsidRPr="0087417D" w:rsidRDefault="0087417D" w:rsidP="0087417D">
            <w:pPr>
              <w:pStyle w:val="TableText"/>
            </w:pPr>
            <w:r w:rsidRPr="0087417D">
              <w:t>Open Space</w:t>
            </w:r>
          </w:p>
        </w:tc>
        <w:tc>
          <w:tcPr>
            <w:tcW w:w="6377" w:type="dxa"/>
          </w:tcPr>
          <w:p w14:paraId="484328D9"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Land that provides outdoor recreation, leisure and/or environmental benefits and/or visual amenity.</w:t>
            </w:r>
          </w:p>
        </w:tc>
      </w:tr>
      <w:tr w:rsidR="0087417D" w:rsidRPr="0087417D" w14:paraId="4BFB6AB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609B9D5C" w14:textId="77777777" w:rsidR="0087417D" w:rsidRPr="0087417D" w:rsidRDefault="0087417D" w:rsidP="0087417D">
            <w:pPr>
              <w:pStyle w:val="TableText"/>
            </w:pPr>
            <w:r w:rsidRPr="0087417D">
              <w:t>Over-dimensional (OD) vehicles</w:t>
            </w:r>
          </w:p>
        </w:tc>
        <w:tc>
          <w:tcPr>
            <w:tcW w:w="6377" w:type="dxa"/>
          </w:tcPr>
          <w:p w14:paraId="4CF0C67C"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Vehicle combinations that exceed five metres high or wide, 30 metres long or 100 tonnes gross mass.</w:t>
            </w:r>
          </w:p>
        </w:tc>
      </w:tr>
      <w:tr w:rsidR="0087417D" w:rsidRPr="0087417D" w14:paraId="47E6598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73B0A37" w14:textId="77777777" w:rsidR="0087417D" w:rsidRPr="0087417D" w:rsidRDefault="0087417D" w:rsidP="0087417D">
            <w:pPr>
              <w:pStyle w:val="TableText"/>
            </w:pPr>
            <w:r w:rsidRPr="0087417D">
              <w:lastRenderedPageBreak/>
              <w:t>Oversize/overmass (OSOM) vehicles</w:t>
            </w:r>
          </w:p>
        </w:tc>
        <w:tc>
          <w:tcPr>
            <w:tcW w:w="6377" w:type="dxa"/>
          </w:tcPr>
          <w:p w14:paraId="7F0397E0"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Vehicle combinations that operate up to five metres high or wide, 30 metres long or 100 tonnes gross mass.</w:t>
            </w:r>
          </w:p>
        </w:tc>
      </w:tr>
      <w:tr w:rsidR="0087417D" w:rsidRPr="0087417D" w14:paraId="590BD0E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6B061C5C" w14:textId="77777777" w:rsidR="0087417D" w:rsidRPr="0087417D" w:rsidRDefault="0087417D" w:rsidP="0087417D">
            <w:pPr>
              <w:pStyle w:val="TableText"/>
            </w:pPr>
            <w:r w:rsidRPr="0087417D">
              <w:t>Patch</w:t>
            </w:r>
          </w:p>
        </w:tc>
        <w:tc>
          <w:tcPr>
            <w:tcW w:w="6377" w:type="dxa"/>
          </w:tcPr>
          <w:p w14:paraId="6EE8230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A patch of native vegetation is either: </w:t>
            </w:r>
          </w:p>
          <w:p w14:paraId="5A947824" w14:textId="262ADB84" w:rsidR="0087417D" w:rsidRPr="0087417D" w:rsidRDefault="0087417D" w:rsidP="002558B5">
            <w:pPr>
              <w:pStyle w:val="TableNumbering2"/>
              <w:ind w:left="340"/>
              <w:cnfStyle w:val="000000000000" w:firstRow="0" w:lastRow="0" w:firstColumn="0" w:lastColumn="0" w:oddVBand="0" w:evenVBand="0" w:oddHBand="0" w:evenHBand="0" w:firstRowFirstColumn="0" w:firstRowLastColumn="0" w:lastRowFirstColumn="0" w:lastRowLastColumn="0"/>
            </w:pPr>
            <w:r w:rsidRPr="0087417D">
              <w:t xml:space="preserve">an area of vegetation where at least 25% of the total perennial understorey plant cover is native, or </w:t>
            </w:r>
          </w:p>
          <w:p w14:paraId="0CD1EAB4" w14:textId="4F59A2B7" w:rsidR="0087417D" w:rsidRPr="0087417D" w:rsidRDefault="0087417D" w:rsidP="002558B5">
            <w:pPr>
              <w:pStyle w:val="TableNumbering2"/>
              <w:ind w:left="340"/>
              <w:cnfStyle w:val="000000000000" w:firstRow="0" w:lastRow="0" w:firstColumn="0" w:lastColumn="0" w:oddVBand="0" w:evenVBand="0" w:oddHBand="0" w:evenHBand="0" w:firstRowFirstColumn="0" w:firstRowLastColumn="0" w:lastRowFirstColumn="0" w:lastRowLastColumn="0"/>
            </w:pPr>
            <w:r w:rsidRPr="0087417D">
              <w:t xml:space="preserve">any area with three or more native canopy trees where the drip line of each tree touches the drip line of at least one other tree, forming a continuous canopy, or </w:t>
            </w:r>
          </w:p>
          <w:p w14:paraId="647AE0B8" w14:textId="39467310" w:rsidR="0087417D" w:rsidRPr="0087417D" w:rsidRDefault="0087417D" w:rsidP="002558B5">
            <w:pPr>
              <w:pStyle w:val="TableNumbering2"/>
              <w:ind w:left="340"/>
              <w:cnfStyle w:val="000000000000" w:firstRow="0" w:lastRow="0" w:firstColumn="0" w:lastColumn="0" w:oddVBand="0" w:evenVBand="0" w:oddHBand="0" w:evenHBand="0" w:firstRowFirstColumn="0" w:firstRowLastColumn="0" w:lastRowFirstColumn="0" w:lastRowLastColumn="0"/>
            </w:pPr>
            <w:r w:rsidRPr="0087417D">
              <w:t>any mapped wetland included in the Current wetlands map, available in DELWP systems and tools (DELWP, 2017a).</w:t>
            </w:r>
          </w:p>
        </w:tc>
      </w:tr>
      <w:tr w:rsidR="0087417D" w:rsidRPr="0087417D" w14:paraId="3E8C2B0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124E16DE" w14:textId="77777777" w:rsidR="0087417D" w:rsidRPr="0087417D" w:rsidRDefault="0087417D" w:rsidP="0087417D">
            <w:pPr>
              <w:pStyle w:val="TableText"/>
            </w:pPr>
            <w:r w:rsidRPr="0087417D">
              <w:t>Peak Particle Velocity (Resultant PPV)</w:t>
            </w:r>
          </w:p>
        </w:tc>
        <w:tc>
          <w:tcPr>
            <w:tcW w:w="6377" w:type="dxa"/>
          </w:tcPr>
          <w:p w14:paraId="58CFFF90"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maximum instantaneous velocity of a particle at a point during a given time interval. The Resultant PPV is the vector sum of the three orthogonal component particle velocities (component PV).</w:t>
            </w:r>
          </w:p>
        </w:tc>
      </w:tr>
      <w:tr w:rsidR="0087417D" w:rsidRPr="0087417D" w14:paraId="654D1F50"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25A8A39" w14:textId="77777777" w:rsidR="0087417D" w:rsidRPr="0087417D" w:rsidRDefault="0087417D" w:rsidP="0087417D">
            <w:pPr>
              <w:pStyle w:val="TableText"/>
            </w:pPr>
            <w:r w:rsidRPr="0087417D">
              <w:t>Permeability</w:t>
            </w:r>
          </w:p>
        </w:tc>
        <w:tc>
          <w:tcPr>
            <w:tcW w:w="6377" w:type="dxa"/>
          </w:tcPr>
          <w:p w14:paraId="067583C7"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property or capacity of a porous rock, soil or sediment for transmitting a fluid; it is a measurement of the relative ease of fluid flow within a material.</w:t>
            </w:r>
          </w:p>
        </w:tc>
      </w:tr>
      <w:tr w:rsidR="0087417D" w:rsidRPr="0087417D" w14:paraId="71AA5A57"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5AB73ED7" w14:textId="77777777" w:rsidR="0087417D" w:rsidRPr="0087417D" w:rsidRDefault="0087417D" w:rsidP="0087417D">
            <w:pPr>
              <w:pStyle w:val="TableText"/>
            </w:pPr>
            <w:r w:rsidRPr="0087417D">
              <w:t>Placarded load</w:t>
            </w:r>
          </w:p>
        </w:tc>
        <w:tc>
          <w:tcPr>
            <w:tcW w:w="6377" w:type="dxa"/>
          </w:tcPr>
          <w:p w14:paraId="42F2A4D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placarded load is a quantity of dangerous goods being transported that requires placards to be displayed on the vehicle or unit carrying the load.</w:t>
            </w:r>
          </w:p>
        </w:tc>
      </w:tr>
      <w:tr w:rsidR="0087417D" w:rsidRPr="0087417D" w14:paraId="7ED84C9A"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F58A914" w14:textId="77777777" w:rsidR="0087417D" w:rsidRPr="0087417D" w:rsidRDefault="0087417D" w:rsidP="0087417D">
            <w:pPr>
              <w:pStyle w:val="TableText"/>
            </w:pPr>
            <w:r w:rsidRPr="0087417D">
              <w:t>Pollution</w:t>
            </w:r>
          </w:p>
        </w:tc>
        <w:tc>
          <w:tcPr>
            <w:tcW w:w="6377" w:type="dxa"/>
          </w:tcPr>
          <w:p w14:paraId="775B2646"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introduction of contaminants into the natural environment that cause adverse change.</w:t>
            </w:r>
          </w:p>
        </w:tc>
      </w:tr>
      <w:tr w:rsidR="0087417D" w:rsidRPr="0087417D" w14:paraId="64E63845"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AFFB5D8" w14:textId="77777777" w:rsidR="0087417D" w:rsidRPr="0087417D" w:rsidRDefault="0087417D" w:rsidP="0087417D">
            <w:pPr>
              <w:pStyle w:val="TableText"/>
            </w:pPr>
            <w:r w:rsidRPr="0087417D">
              <w:t>pH</w:t>
            </w:r>
          </w:p>
        </w:tc>
        <w:tc>
          <w:tcPr>
            <w:tcW w:w="6377" w:type="dxa"/>
          </w:tcPr>
          <w:p w14:paraId="4EEFE9B9" w14:textId="714B5C92"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measure of the acidity or alkalinity of a solution. Neutral solutions have a value of 7, this value increases for alkaline solutions and decreases for acidic</w:t>
            </w:r>
            <w:r w:rsidR="004A7265">
              <w:t> </w:t>
            </w:r>
            <w:r w:rsidRPr="0087417D">
              <w:t>solutions.</w:t>
            </w:r>
          </w:p>
        </w:tc>
      </w:tr>
      <w:tr w:rsidR="0087417D" w:rsidRPr="0087417D" w14:paraId="763EA47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6F0995A4" w14:textId="77777777" w:rsidR="0087417D" w:rsidRPr="0087417D" w:rsidRDefault="0087417D" w:rsidP="0087417D">
            <w:pPr>
              <w:pStyle w:val="TableText"/>
            </w:pPr>
            <w:r w:rsidRPr="0087417D">
              <w:t>Prescribed industrial waste</w:t>
            </w:r>
          </w:p>
        </w:tc>
        <w:tc>
          <w:tcPr>
            <w:tcW w:w="6377" w:type="dxa"/>
          </w:tcPr>
          <w:p w14:paraId="5DBEA7F7"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Any industrial waste or mixture containing industrial waste as defined by EPA Victoria’s Industrial Waste Resource Guideline.</w:t>
            </w:r>
          </w:p>
        </w:tc>
      </w:tr>
      <w:tr w:rsidR="0087417D" w:rsidRPr="0087417D" w14:paraId="335841A0"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5C376A9A" w14:textId="77777777" w:rsidR="0087417D" w:rsidRPr="0087417D" w:rsidRDefault="0087417D" w:rsidP="0087417D">
            <w:pPr>
              <w:pStyle w:val="TableText"/>
            </w:pPr>
            <w:r w:rsidRPr="0087417D">
              <w:t>Probable Maximum Flood (PMF)</w:t>
            </w:r>
          </w:p>
        </w:tc>
        <w:tc>
          <w:tcPr>
            <w:tcW w:w="6377" w:type="dxa"/>
          </w:tcPr>
          <w:p w14:paraId="550170FB" w14:textId="5DA9BEBE"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largest flood that could conceivable occur at a particular location, usually</w:t>
            </w:r>
            <w:r w:rsidR="004A7265">
              <w:t> </w:t>
            </w:r>
            <w:r w:rsidRPr="0087417D">
              <w:t>estimated from Probable Maximum Precipitation (PMP) and, where</w:t>
            </w:r>
            <w:r w:rsidR="004A7265">
              <w:t> </w:t>
            </w:r>
            <w:r w:rsidRPr="0087417D">
              <w:t>applicable, snow melt, coupled with the worst flood-producing catchment conditions.</w:t>
            </w:r>
          </w:p>
        </w:tc>
      </w:tr>
      <w:tr w:rsidR="0087417D" w:rsidRPr="0087417D" w14:paraId="3A27E6B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5BDA54F1" w14:textId="77777777" w:rsidR="0087417D" w:rsidRPr="0087417D" w:rsidRDefault="0087417D" w:rsidP="0087417D">
            <w:pPr>
              <w:pStyle w:val="TableText"/>
            </w:pPr>
            <w:r w:rsidRPr="0087417D">
              <w:t>Project boundary</w:t>
            </w:r>
          </w:p>
        </w:tc>
        <w:tc>
          <w:tcPr>
            <w:tcW w:w="6377" w:type="dxa"/>
          </w:tcPr>
          <w:p w14:paraId="61F975C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project boundary encompasses all areas that would be used for permanent structures, temporary construction areas and areas for potential minor road and rail works. It defines the area within which the project would be developed, and is the area that has been used as the basis for the specialist assessments. It is different to the study area adopted in the specialist assessments which is typically a much broader area allowing for a more comprehensive assessment of the impacts of the project.</w:t>
            </w:r>
          </w:p>
        </w:tc>
      </w:tr>
      <w:tr w:rsidR="0087417D" w:rsidRPr="0087417D" w14:paraId="0B082EAB"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7CA3C97" w14:textId="77777777" w:rsidR="0087417D" w:rsidRPr="0087417D" w:rsidRDefault="0087417D" w:rsidP="0087417D">
            <w:pPr>
              <w:pStyle w:val="TableText"/>
            </w:pPr>
            <w:r w:rsidRPr="0087417D">
              <w:t xml:space="preserve">Pumping test </w:t>
            </w:r>
          </w:p>
        </w:tc>
        <w:tc>
          <w:tcPr>
            <w:tcW w:w="6377" w:type="dxa"/>
          </w:tcPr>
          <w:p w14:paraId="14834559"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test that is conducted to determine aquifer or well characteristics.</w:t>
            </w:r>
          </w:p>
        </w:tc>
      </w:tr>
      <w:tr w:rsidR="0087417D" w:rsidRPr="0087417D" w14:paraId="18E37F6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53F30699" w14:textId="77777777" w:rsidR="0087417D" w:rsidRPr="0087417D" w:rsidRDefault="0087417D" w:rsidP="0087417D">
            <w:pPr>
              <w:pStyle w:val="TableText"/>
            </w:pPr>
            <w:r w:rsidRPr="0087417D">
              <w:t>Qualitative</w:t>
            </w:r>
          </w:p>
        </w:tc>
        <w:tc>
          <w:tcPr>
            <w:tcW w:w="6377" w:type="dxa"/>
          </w:tcPr>
          <w:p w14:paraId="2D51096E"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Relating to or concerned with quality or qualities, rather than quantity or measured value.</w:t>
            </w:r>
          </w:p>
        </w:tc>
      </w:tr>
      <w:tr w:rsidR="0087417D" w:rsidRPr="0087417D" w14:paraId="1F6BBF65"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6A9A6B7A" w14:textId="77777777" w:rsidR="0087417D" w:rsidRPr="0087417D" w:rsidRDefault="0087417D" w:rsidP="0087417D">
            <w:pPr>
              <w:pStyle w:val="TableText"/>
            </w:pPr>
            <w:r w:rsidRPr="0087417D">
              <w:t>Quantitative</w:t>
            </w:r>
          </w:p>
        </w:tc>
        <w:tc>
          <w:tcPr>
            <w:tcW w:w="6377" w:type="dxa"/>
          </w:tcPr>
          <w:p w14:paraId="411A0CD9"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An assessment based on quantifiable, measured data.</w:t>
            </w:r>
          </w:p>
        </w:tc>
      </w:tr>
      <w:tr w:rsidR="0087417D" w:rsidRPr="0087417D" w14:paraId="58A9FDB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39A4203" w14:textId="77777777" w:rsidR="0087417D" w:rsidRPr="0087417D" w:rsidRDefault="0087417D" w:rsidP="0087417D">
            <w:pPr>
              <w:pStyle w:val="TableText"/>
            </w:pPr>
            <w:r w:rsidRPr="0087417D">
              <w:t>Ramp metering</w:t>
            </w:r>
          </w:p>
        </w:tc>
        <w:tc>
          <w:tcPr>
            <w:tcW w:w="6377" w:type="dxa"/>
          </w:tcPr>
          <w:p w14:paraId="4FE32908"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traffic control system that regulates the flow of vehicles onto a freeway or motorway system from its entry ramps.</w:t>
            </w:r>
          </w:p>
        </w:tc>
      </w:tr>
      <w:tr w:rsidR="0087417D" w:rsidRPr="0087417D" w14:paraId="1A7B4CC7"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C77E95F" w14:textId="77777777" w:rsidR="0087417D" w:rsidRPr="0087417D" w:rsidRDefault="0087417D" w:rsidP="0087417D">
            <w:pPr>
              <w:pStyle w:val="TableText"/>
            </w:pPr>
            <w:r w:rsidRPr="0087417D">
              <w:lastRenderedPageBreak/>
              <w:t>Receptor</w:t>
            </w:r>
          </w:p>
        </w:tc>
        <w:tc>
          <w:tcPr>
            <w:tcW w:w="6377" w:type="dxa"/>
          </w:tcPr>
          <w:p w14:paraId="6F408D58"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place, location or point at which exposure to particular effects (such as noise, vibration, visual or airborne pollutants) is measured. ‘Sensitive receptors’ are those that are identified as likely to be more susceptible to adverse effects, such as schools, hospitals, day care facilities and residences.</w:t>
            </w:r>
          </w:p>
        </w:tc>
      </w:tr>
      <w:tr w:rsidR="0087417D" w:rsidRPr="0087417D" w14:paraId="2209EC9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73D1FAD" w14:textId="77777777" w:rsidR="0087417D" w:rsidRPr="0087417D" w:rsidRDefault="0087417D" w:rsidP="0087417D">
            <w:pPr>
              <w:pStyle w:val="TableText"/>
            </w:pPr>
            <w:r w:rsidRPr="0087417D">
              <w:t>Recharge</w:t>
            </w:r>
          </w:p>
        </w:tc>
        <w:tc>
          <w:tcPr>
            <w:tcW w:w="6377" w:type="dxa"/>
          </w:tcPr>
          <w:p w14:paraId="4EF4D7DC"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process of adding water, or the amount of water added, to the volume of water stored in an aquifer.</w:t>
            </w:r>
          </w:p>
        </w:tc>
      </w:tr>
      <w:tr w:rsidR="0087417D" w:rsidRPr="0087417D" w14:paraId="03779315"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1C706C5" w14:textId="77777777" w:rsidR="0087417D" w:rsidRPr="0087417D" w:rsidRDefault="0087417D" w:rsidP="0087417D">
            <w:pPr>
              <w:pStyle w:val="TableText"/>
            </w:pPr>
            <w:r w:rsidRPr="0087417D">
              <w:t xml:space="preserve">Reserve </w:t>
            </w:r>
          </w:p>
        </w:tc>
        <w:tc>
          <w:tcPr>
            <w:tcW w:w="6377" w:type="dxa"/>
          </w:tcPr>
          <w:p w14:paraId="7B5B9532"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Land reserved for community or public purposes.</w:t>
            </w:r>
          </w:p>
        </w:tc>
      </w:tr>
      <w:tr w:rsidR="0087417D" w:rsidRPr="0087417D" w14:paraId="6FE1D11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1D52401B" w14:textId="77777777" w:rsidR="0087417D" w:rsidRPr="0087417D" w:rsidRDefault="0087417D" w:rsidP="0087417D">
            <w:pPr>
              <w:pStyle w:val="TableText"/>
            </w:pPr>
            <w:r w:rsidRPr="0087417D">
              <w:t>Reticulation</w:t>
            </w:r>
          </w:p>
        </w:tc>
        <w:tc>
          <w:tcPr>
            <w:tcW w:w="6377" w:type="dxa"/>
          </w:tcPr>
          <w:p w14:paraId="77721D7A"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Refers to the network of piped-water, as opposed to water within a groundwater bore.</w:t>
            </w:r>
          </w:p>
        </w:tc>
      </w:tr>
      <w:tr w:rsidR="0087417D" w:rsidRPr="0087417D" w14:paraId="45386BC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51E9434" w14:textId="77777777" w:rsidR="0087417D" w:rsidRPr="0087417D" w:rsidRDefault="0087417D" w:rsidP="0087417D">
            <w:pPr>
              <w:pStyle w:val="TableText"/>
            </w:pPr>
            <w:r w:rsidRPr="0087417D">
              <w:t>Road header</w:t>
            </w:r>
          </w:p>
        </w:tc>
        <w:tc>
          <w:tcPr>
            <w:tcW w:w="6377" w:type="dxa"/>
          </w:tcPr>
          <w:p w14:paraId="412861B0"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road header, also called a boom-type road header, road header machine, road header or just header machine, is a piece of excavating equipment consisting of a boom-mounted cutting head, a loading device usually involving a conveyor, and a crawler travelling track to move the entire machine forward into the rock face.</w:t>
            </w:r>
          </w:p>
        </w:tc>
      </w:tr>
      <w:tr w:rsidR="0087417D" w:rsidRPr="0087417D" w14:paraId="2245F7A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08AF4FA" w14:textId="77777777" w:rsidR="0087417D" w:rsidRPr="0087417D" w:rsidRDefault="0087417D" w:rsidP="0087417D">
            <w:pPr>
              <w:pStyle w:val="TableText"/>
            </w:pPr>
            <w:r w:rsidRPr="0087417D">
              <w:t xml:space="preserve">Road Zone </w:t>
            </w:r>
          </w:p>
        </w:tc>
        <w:tc>
          <w:tcPr>
            <w:tcW w:w="6377" w:type="dxa"/>
          </w:tcPr>
          <w:p w14:paraId="0DE4EC32" w14:textId="6731922F"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Land Zoned for Category 1 (RDZ1) or Category 2 (RDZ2) roads, managed by</w:t>
            </w:r>
            <w:r w:rsidR="004A7265">
              <w:t> </w:t>
            </w:r>
            <w:r w:rsidRPr="0087417D">
              <w:t>VicRoads.</w:t>
            </w:r>
          </w:p>
        </w:tc>
      </w:tr>
      <w:tr w:rsidR="0087417D" w:rsidRPr="0087417D" w14:paraId="6B50FB0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13BACEB" w14:textId="77777777" w:rsidR="0087417D" w:rsidRPr="0087417D" w:rsidRDefault="0087417D" w:rsidP="0087417D">
            <w:pPr>
              <w:pStyle w:val="TableText"/>
            </w:pPr>
            <w:r w:rsidRPr="0087417D">
              <w:t>Risk</w:t>
            </w:r>
          </w:p>
        </w:tc>
        <w:tc>
          <w:tcPr>
            <w:tcW w:w="6377" w:type="dxa"/>
          </w:tcPr>
          <w:p w14:paraId="1965A3FE"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Risk is measured as a combination of the magnitude of potential consequences of an event happening, and the likelihood of the event and associated impact occurring.</w:t>
            </w:r>
          </w:p>
        </w:tc>
      </w:tr>
      <w:tr w:rsidR="0087417D" w:rsidRPr="0087417D" w14:paraId="6C1F21E6"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1CBBE8E8" w14:textId="77777777" w:rsidR="0087417D" w:rsidRPr="0087417D" w:rsidRDefault="0087417D" w:rsidP="0087417D">
            <w:pPr>
              <w:pStyle w:val="TableText"/>
            </w:pPr>
            <w:r w:rsidRPr="0087417D">
              <w:t>Salinity</w:t>
            </w:r>
          </w:p>
        </w:tc>
        <w:tc>
          <w:tcPr>
            <w:tcW w:w="6377" w:type="dxa"/>
          </w:tcPr>
          <w:p w14:paraId="6FE2D55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measure of the dissolved salt content of water or soil.</w:t>
            </w:r>
          </w:p>
        </w:tc>
      </w:tr>
      <w:tr w:rsidR="0087417D" w:rsidRPr="0087417D" w14:paraId="0E5BE80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16476DC" w14:textId="77777777" w:rsidR="0087417D" w:rsidRPr="0087417D" w:rsidRDefault="0087417D" w:rsidP="0087417D">
            <w:pPr>
              <w:pStyle w:val="TableText"/>
            </w:pPr>
            <w:r w:rsidRPr="0087417D">
              <w:t>Scattered tree</w:t>
            </w:r>
          </w:p>
        </w:tc>
        <w:tc>
          <w:tcPr>
            <w:tcW w:w="6377" w:type="dxa"/>
          </w:tcPr>
          <w:p w14:paraId="0630849B"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scattered tree is a native canopy tree that does not form part of a patch.</w:t>
            </w:r>
          </w:p>
        </w:tc>
      </w:tr>
      <w:tr w:rsidR="0087417D" w:rsidRPr="0087417D" w14:paraId="151AF30B"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6E04E73" w14:textId="77777777" w:rsidR="0087417D" w:rsidRPr="0087417D" w:rsidRDefault="0087417D" w:rsidP="0087417D">
            <w:pPr>
              <w:pStyle w:val="TableText"/>
            </w:pPr>
            <w:r w:rsidRPr="0087417D">
              <w:t>Sedimentary rock</w:t>
            </w:r>
          </w:p>
        </w:tc>
        <w:tc>
          <w:tcPr>
            <w:tcW w:w="6377" w:type="dxa"/>
          </w:tcPr>
          <w:p w14:paraId="162E9BC8"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Rocks resulting from the consolidation of loose sediments that has accumulated in layers.</w:t>
            </w:r>
          </w:p>
        </w:tc>
      </w:tr>
      <w:tr w:rsidR="0087417D" w:rsidRPr="0087417D" w14:paraId="04BADD5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5EAA6FE" w14:textId="77777777" w:rsidR="0087417D" w:rsidRPr="0087417D" w:rsidRDefault="0087417D" w:rsidP="0087417D">
            <w:pPr>
              <w:pStyle w:val="TableText"/>
            </w:pPr>
            <w:r w:rsidRPr="0087417D">
              <w:t>Shared use path</w:t>
            </w:r>
          </w:p>
        </w:tc>
        <w:tc>
          <w:tcPr>
            <w:tcW w:w="6377" w:type="dxa"/>
          </w:tcPr>
          <w:p w14:paraId="56152860"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shared use path (SUP) is a path that may be used by walkers and cyclists. For North East Link shared use paths have been designed to be not less than three metres wide.</w:t>
            </w:r>
          </w:p>
        </w:tc>
      </w:tr>
      <w:tr w:rsidR="0087417D" w:rsidRPr="0087417D" w14:paraId="4B6A1DE2"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FCB279B" w14:textId="77777777" w:rsidR="0087417D" w:rsidRPr="0087417D" w:rsidRDefault="0087417D" w:rsidP="0087417D">
            <w:pPr>
              <w:pStyle w:val="TableText"/>
            </w:pPr>
            <w:r w:rsidRPr="0087417D">
              <w:t>Shockwave</w:t>
            </w:r>
          </w:p>
        </w:tc>
        <w:tc>
          <w:tcPr>
            <w:tcW w:w="6377" w:type="dxa"/>
          </w:tcPr>
          <w:p w14:paraId="7FBB319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transition zone between free flowing and breakdown conditions that can propagate backwards from an area of flow breakdown.</w:t>
            </w:r>
          </w:p>
        </w:tc>
      </w:tr>
      <w:tr w:rsidR="0087417D" w:rsidRPr="0087417D" w14:paraId="04E94AD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1095193" w14:textId="77777777" w:rsidR="0087417D" w:rsidRPr="0087417D" w:rsidRDefault="0087417D" w:rsidP="0087417D">
            <w:pPr>
              <w:pStyle w:val="TableText"/>
            </w:pPr>
            <w:r w:rsidRPr="0087417D">
              <w:t>Siltstone</w:t>
            </w:r>
          </w:p>
        </w:tc>
        <w:tc>
          <w:tcPr>
            <w:tcW w:w="6377" w:type="dxa"/>
          </w:tcPr>
          <w:p w14:paraId="1D8B5284"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Indurated sedimentary rock composed predominantly of silt sized material.</w:t>
            </w:r>
          </w:p>
        </w:tc>
      </w:tr>
      <w:tr w:rsidR="0087417D" w:rsidRPr="0087417D" w14:paraId="7C1A155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4E85553" w14:textId="77777777" w:rsidR="0087417D" w:rsidRPr="0087417D" w:rsidRDefault="0087417D" w:rsidP="0087417D">
            <w:pPr>
              <w:pStyle w:val="TableText"/>
            </w:pPr>
            <w:r w:rsidRPr="0087417D">
              <w:t xml:space="preserve">Significant landscape </w:t>
            </w:r>
          </w:p>
        </w:tc>
        <w:tc>
          <w:tcPr>
            <w:tcW w:w="6377" w:type="dxa"/>
          </w:tcPr>
          <w:p w14:paraId="601E0E5E"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For the purposes of this assessment a significant landscape is defined as an area considered to be significant for a combination of historic, aesthetic, scientific, social and cultural reasons.</w:t>
            </w:r>
          </w:p>
        </w:tc>
      </w:tr>
      <w:tr w:rsidR="0087417D" w:rsidRPr="0087417D" w14:paraId="07031AF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FB1D213" w14:textId="77777777" w:rsidR="0087417D" w:rsidRPr="0087417D" w:rsidRDefault="0087417D" w:rsidP="0087417D">
            <w:pPr>
              <w:pStyle w:val="TableText"/>
            </w:pPr>
            <w:r w:rsidRPr="0087417D">
              <w:t>Spoil</w:t>
            </w:r>
          </w:p>
        </w:tc>
        <w:tc>
          <w:tcPr>
            <w:tcW w:w="6377" w:type="dxa"/>
          </w:tcPr>
          <w:p w14:paraId="33D4D52E"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Waste material brought up during the course of an excavation, tunnelling or a dredging or mining operation.</w:t>
            </w:r>
          </w:p>
        </w:tc>
      </w:tr>
      <w:tr w:rsidR="0087417D" w:rsidRPr="0087417D" w14:paraId="3DEAE4F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1D2EDDC9" w14:textId="77777777" w:rsidR="0087417D" w:rsidRPr="0087417D" w:rsidRDefault="0087417D" w:rsidP="0087417D">
            <w:pPr>
              <w:pStyle w:val="TableText"/>
            </w:pPr>
            <w:r w:rsidRPr="0087417D">
              <w:t>Spoil Management Plan</w:t>
            </w:r>
          </w:p>
        </w:tc>
        <w:tc>
          <w:tcPr>
            <w:tcW w:w="6377" w:type="dxa"/>
          </w:tcPr>
          <w:p w14:paraId="29FF304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plan that provide details on the spoil management measures to be implemented to comply with the Spoil Management Strategy.</w:t>
            </w:r>
          </w:p>
        </w:tc>
      </w:tr>
      <w:tr w:rsidR="0087417D" w:rsidRPr="0087417D" w14:paraId="5112E3AB"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75F7A4D" w14:textId="77777777" w:rsidR="0087417D" w:rsidRPr="0087417D" w:rsidRDefault="0087417D" w:rsidP="0087417D">
            <w:pPr>
              <w:pStyle w:val="TableText"/>
            </w:pPr>
            <w:r w:rsidRPr="0087417D">
              <w:t xml:space="preserve">Spoil Management Strategy </w:t>
            </w:r>
          </w:p>
        </w:tc>
        <w:tc>
          <w:tcPr>
            <w:tcW w:w="6377" w:type="dxa"/>
          </w:tcPr>
          <w:p w14:paraId="24E3C540"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An overarching strategy that provides guidance for spoil management and disposal during the construction to mitigate potential human health and environmental risks.</w:t>
            </w:r>
          </w:p>
        </w:tc>
      </w:tr>
      <w:tr w:rsidR="0087417D" w:rsidRPr="0087417D" w14:paraId="571C0BBA"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5CB4F288" w14:textId="77777777" w:rsidR="0087417D" w:rsidRPr="0087417D" w:rsidRDefault="0087417D" w:rsidP="0087417D">
            <w:pPr>
              <w:pStyle w:val="TableText"/>
            </w:pPr>
            <w:r w:rsidRPr="0087417D">
              <w:lastRenderedPageBreak/>
              <w:t>Stakeholder</w:t>
            </w:r>
          </w:p>
        </w:tc>
        <w:tc>
          <w:tcPr>
            <w:tcW w:w="6377" w:type="dxa"/>
          </w:tcPr>
          <w:p w14:paraId="24C93C53"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Person or group affected by or concerned with an issue.</w:t>
            </w:r>
          </w:p>
        </w:tc>
      </w:tr>
      <w:tr w:rsidR="0087417D" w:rsidRPr="0087417D" w14:paraId="3F6B2DC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69FAB4A9" w14:textId="77777777" w:rsidR="0087417D" w:rsidRPr="0087417D" w:rsidRDefault="0087417D" w:rsidP="0087417D">
            <w:pPr>
              <w:pStyle w:val="TableText"/>
            </w:pPr>
            <w:r w:rsidRPr="0087417D">
              <w:t>Surface water</w:t>
            </w:r>
          </w:p>
        </w:tc>
        <w:tc>
          <w:tcPr>
            <w:tcW w:w="6377" w:type="dxa"/>
          </w:tcPr>
          <w:p w14:paraId="51F1AC48"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Any water that collects as a surface features, including rivers, streams, lakes, wetlands and the ocean.</w:t>
            </w:r>
          </w:p>
        </w:tc>
      </w:tr>
      <w:tr w:rsidR="0087417D" w:rsidRPr="0087417D" w14:paraId="764AB8E3"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DC83384" w14:textId="77777777" w:rsidR="0087417D" w:rsidRPr="0087417D" w:rsidRDefault="0087417D" w:rsidP="0087417D">
            <w:pPr>
              <w:pStyle w:val="TableText"/>
            </w:pPr>
            <w:r w:rsidRPr="0087417D">
              <w:t>Shared use path (SUP)</w:t>
            </w:r>
          </w:p>
        </w:tc>
        <w:tc>
          <w:tcPr>
            <w:tcW w:w="6377" w:type="dxa"/>
          </w:tcPr>
          <w:p w14:paraId="546D0AF8" w14:textId="1BBAC7C9"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Shared Use Path is a pathway that may be used by both walking and</w:t>
            </w:r>
            <w:r w:rsidR="004A7265">
              <w:t> </w:t>
            </w:r>
            <w:r w:rsidRPr="0087417D">
              <w:t xml:space="preserve">cycling. </w:t>
            </w:r>
          </w:p>
        </w:tc>
      </w:tr>
      <w:tr w:rsidR="0087417D" w:rsidRPr="0087417D" w14:paraId="31B05471"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BA3D2C7" w14:textId="77777777" w:rsidR="0087417D" w:rsidRPr="0087417D" w:rsidRDefault="0087417D" w:rsidP="0087417D">
            <w:pPr>
              <w:pStyle w:val="TableText"/>
            </w:pPr>
            <w:r w:rsidRPr="0087417D">
              <w:t xml:space="preserve">Threatened species </w:t>
            </w:r>
          </w:p>
        </w:tc>
        <w:tc>
          <w:tcPr>
            <w:tcW w:w="6377" w:type="dxa"/>
          </w:tcPr>
          <w:p w14:paraId="503F05C1"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For the purposes of this report, threatened species refers to species considered threatened in Victoria or Australia. This includes species that are rare, vulnerable or endangered in Victoria as defined by DEPI (2014) listed under the Victorian Flora and Fauna Guarantee (FFG) Act 1988 or listed as vulnerable, endangered or critically endangered under the Commonwealth Environment Protection and Biodiversity Conservation (EPBC) Act 1999. </w:t>
            </w:r>
          </w:p>
          <w:p w14:paraId="46D9EEF0" w14:textId="1CCCA85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VROT near-threatened, poorly known or data deficient species are not considered threatened.</w:t>
            </w:r>
          </w:p>
        </w:tc>
      </w:tr>
      <w:tr w:rsidR="0087417D" w:rsidRPr="0087417D" w14:paraId="49E5039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CA8B376" w14:textId="77777777" w:rsidR="0087417D" w:rsidRPr="0087417D" w:rsidRDefault="0087417D" w:rsidP="0087417D">
            <w:pPr>
              <w:pStyle w:val="TableText"/>
            </w:pPr>
            <w:r w:rsidRPr="0087417D">
              <w:t>Through traffic</w:t>
            </w:r>
          </w:p>
        </w:tc>
        <w:tc>
          <w:tcPr>
            <w:tcW w:w="6377" w:type="dxa"/>
          </w:tcPr>
          <w:p w14:paraId="7EF9A2BC"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Traffic with an origin and destination outside a given local area.</w:t>
            </w:r>
          </w:p>
        </w:tc>
      </w:tr>
      <w:tr w:rsidR="0087417D" w:rsidRPr="0087417D" w14:paraId="0F9A2458"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1C71336" w14:textId="77777777" w:rsidR="0087417D" w:rsidRPr="0087417D" w:rsidRDefault="0087417D" w:rsidP="0087417D">
            <w:pPr>
              <w:pStyle w:val="TableText"/>
            </w:pPr>
            <w:r w:rsidRPr="0087417D">
              <w:t>Total dissolved solids</w:t>
            </w:r>
          </w:p>
        </w:tc>
        <w:tc>
          <w:tcPr>
            <w:tcW w:w="6377" w:type="dxa"/>
          </w:tcPr>
          <w:p w14:paraId="7D3905A2"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total mass of all solids dissolved in a water sample, measured in mg/L.</w:t>
            </w:r>
          </w:p>
        </w:tc>
      </w:tr>
      <w:tr w:rsidR="0087417D" w:rsidRPr="0087417D" w14:paraId="0DAE6F05"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27710DA0" w14:textId="77777777" w:rsidR="0087417D" w:rsidRPr="0087417D" w:rsidRDefault="0087417D" w:rsidP="0087417D">
            <w:pPr>
              <w:pStyle w:val="TableText"/>
            </w:pPr>
            <w:r w:rsidRPr="0087417D">
              <w:t xml:space="preserve">Toxicity </w:t>
            </w:r>
          </w:p>
        </w:tc>
        <w:tc>
          <w:tcPr>
            <w:tcW w:w="6377" w:type="dxa"/>
          </w:tcPr>
          <w:p w14:paraId="37247BCE"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degree of danger posed by a substance to human, animal or plant life.</w:t>
            </w:r>
          </w:p>
        </w:tc>
      </w:tr>
      <w:tr w:rsidR="0087417D" w:rsidRPr="0087417D" w14:paraId="2E621DE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7E5DCD8" w14:textId="77777777" w:rsidR="0087417D" w:rsidRPr="0087417D" w:rsidRDefault="0087417D" w:rsidP="0087417D">
            <w:pPr>
              <w:pStyle w:val="TableText"/>
            </w:pPr>
            <w:r w:rsidRPr="0087417D">
              <w:t>Treed character</w:t>
            </w:r>
          </w:p>
        </w:tc>
        <w:tc>
          <w:tcPr>
            <w:tcW w:w="6377" w:type="dxa"/>
          </w:tcPr>
          <w:p w14:paraId="485635FE"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attributes of a group of trees within the landscape</w:t>
            </w:r>
          </w:p>
        </w:tc>
      </w:tr>
      <w:tr w:rsidR="0087417D" w:rsidRPr="0087417D" w14:paraId="1036977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522DFF9" w14:textId="77777777" w:rsidR="0087417D" w:rsidRPr="0087417D" w:rsidRDefault="0087417D" w:rsidP="0087417D">
            <w:pPr>
              <w:pStyle w:val="TableText"/>
            </w:pPr>
            <w:r w:rsidRPr="0087417D">
              <w:t>Tree Protection Plan</w:t>
            </w:r>
          </w:p>
        </w:tc>
        <w:tc>
          <w:tcPr>
            <w:tcW w:w="6377" w:type="dxa"/>
          </w:tcPr>
          <w:p w14:paraId="25F702E3"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A plan prepared in accordance with AS4970-2009 Protection of Trees on Development Sites for the management of trees to be retained within land adjacent to construction and other works. </w:t>
            </w:r>
          </w:p>
        </w:tc>
      </w:tr>
      <w:tr w:rsidR="0087417D" w:rsidRPr="0087417D" w14:paraId="5A3DB2E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195E1B6F" w14:textId="77777777" w:rsidR="0087417D" w:rsidRPr="0087417D" w:rsidRDefault="0087417D" w:rsidP="0087417D">
            <w:pPr>
              <w:pStyle w:val="TableText"/>
            </w:pPr>
            <w:r w:rsidRPr="0087417D">
              <w:t>Truck</w:t>
            </w:r>
          </w:p>
        </w:tc>
        <w:tc>
          <w:tcPr>
            <w:tcW w:w="6377" w:type="dxa"/>
          </w:tcPr>
          <w:p w14:paraId="4A4F2B52"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Light and heavy commercial vehicles are referred to as ‘trucks’. This is based on the Austroads vehicle classification system, where a truck is Austroads classification 3 to 12.</w:t>
            </w:r>
          </w:p>
        </w:tc>
      </w:tr>
      <w:tr w:rsidR="0087417D" w:rsidRPr="0087417D" w14:paraId="1B89062B"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C04C752" w14:textId="77777777" w:rsidR="0087417D" w:rsidRPr="0087417D" w:rsidRDefault="0087417D" w:rsidP="0087417D">
            <w:pPr>
              <w:pStyle w:val="TableText"/>
            </w:pPr>
            <w:r w:rsidRPr="0087417D">
              <w:t>T2 lanes</w:t>
            </w:r>
          </w:p>
        </w:tc>
        <w:tc>
          <w:tcPr>
            <w:tcW w:w="6377" w:type="dxa"/>
          </w:tcPr>
          <w:p w14:paraId="2E5F5D3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T2 lanes are priority freeway lanes which operate along certain designated sections during peak hours. Only vehicles with two or more occupants are permitted to use these lanes.</w:t>
            </w:r>
          </w:p>
        </w:tc>
      </w:tr>
      <w:tr w:rsidR="0087417D" w:rsidRPr="0087417D" w14:paraId="1C9D398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2BE4FA6" w14:textId="77777777" w:rsidR="0087417D" w:rsidRPr="0087417D" w:rsidRDefault="0087417D" w:rsidP="0087417D">
            <w:pPr>
              <w:pStyle w:val="TableText"/>
            </w:pPr>
            <w:r w:rsidRPr="0087417D">
              <w:t xml:space="preserve">Vibration </w:t>
            </w:r>
          </w:p>
        </w:tc>
        <w:tc>
          <w:tcPr>
            <w:tcW w:w="6377" w:type="dxa"/>
          </w:tcPr>
          <w:p w14:paraId="0A027DB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 xml:space="preserve">Vibration of the ground or structures and buildings, that is, the oscillatory displacement of the ground or structures or buildings. </w:t>
            </w:r>
          </w:p>
        </w:tc>
      </w:tr>
      <w:tr w:rsidR="00B2124D" w:rsidRPr="0087417D" w14:paraId="749BC89C"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451A5E4E" w14:textId="348601E1" w:rsidR="00B2124D" w:rsidRPr="0087417D" w:rsidRDefault="00B2124D" w:rsidP="0087417D">
            <w:pPr>
              <w:pStyle w:val="TableText"/>
            </w:pPr>
            <w:r>
              <w:t>Victorian Department of Transport</w:t>
            </w:r>
          </w:p>
        </w:tc>
        <w:tc>
          <w:tcPr>
            <w:tcW w:w="6377" w:type="dxa"/>
          </w:tcPr>
          <w:p w14:paraId="1FA0BDBD" w14:textId="4A833FA6" w:rsidR="00B2124D" w:rsidRPr="0087417D" w:rsidRDefault="00B2124D" w:rsidP="00B2124D">
            <w:pPr>
              <w:pStyle w:val="TableText"/>
              <w:cnfStyle w:val="000000000000" w:firstRow="0" w:lastRow="0" w:firstColumn="0" w:lastColumn="0" w:oddVBand="0" w:evenVBand="0" w:oddHBand="0" w:evenHBand="0" w:firstRowFirstColumn="0" w:firstRowLastColumn="0" w:lastRowFirstColumn="0" w:lastRowLastColumn="0"/>
            </w:pPr>
            <w:r w:rsidRPr="00B2124D">
              <w:t>The Victorian Department of Transport is responsible for delivering the government’s transport infrastructure agenda. It was formed on 1 January 2019 when the former Victorian Department of Economic Development, Jobs, Transport and R</w:t>
            </w:r>
            <w:r>
              <w:t xml:space="preserve">esources transitioned into the </w:t>
            </w:r>
            <w:r w:rsidRPr="00B2124D">
              <w:t xml:space="preserve">Department of Transport and the Department </w:t>
            </w:r>
            <w:r>
              <w:t>of Jobs, Precincts and Regions.</w:t>
            </w:r>
          </w:p>
        </w:tc>
      </w:tr>
      <w:tr w:rsidR="0087417D" w:rsidRPr="0087417D" w14:paraId="2E333974"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56B4F9C3" w14:textId="77777777" w:rsidR="0087417D" w:rsidRPr="0087417D" w:rsidRDefault="0087417D" w:rsidP="0087417D">
            <w:pPr>
              <w:pStyle w:val="TableText"/>
            </w:pPr>
            <w:r w:rsidRPr="0087417D">
              <w:t xml:space="preserve">Visual amenity </w:t>
            </w:r>
          </w:p>
        </w:tc>
        <w:tc>
          <w:tcPr>
            <w:tcW w:w="6377" w:type="dxa"/>
          </w:tcPr>
          <w:p w14:paraId="77DE8222"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value of a particular area or view in terms of what is seen.</w:t>
            </w:r>
          </w:p>
        </w:tc>
      </w:tr>
      <w:tr w:rsidR="0087417D" w:rsidRPr="0087417D" w14:paraId="37D9D499"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E2FEE94" w14:textId="77777777" w:rsidR="0087417D" w:rsidRPr="0087417D" w:rsidRDefault="0087417D" w:rsidP="0087417D">
            <w:pPr>
              <w:pStyle w:val="TableText"/>
            </w:pPr>
            <w:r w:rsidRPr="0087417D">
              <w:t xml:space="preserve">Visual impact </w:t>
            </w:r>
          </w:p>
        </w:tc>
        <w:tc>
          <w:tcPr>
            <w:tcW w:w="6377" w:type="dxa"/>
          </w:tcPr>
          <w:p w14:paraId="0FE0A2FF" w14:textId="4A308CD0"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Changes in the appearance of the landscape or in the composition of available views as a result of development, to people’s responses to these</w:t>
            </w:r>
            <w:r w:rsidR="004A7265">
              <w:t> </w:t>
            </w:r>
            <w:r w:rsidRPr="0087417D">
              <w:t>changes, and to the overall impacts in regard to visual amenity. This</w:t>
            </w:r>
            <w:r w:rsidR="004A7265">
              <w:t> </w:t>
            </w:r>
            <w:r w:rsidRPr="0087417D">
              <w:t>can be positive (</w:t>
            </w:r>
            <w:r w:rsidR="004A7265">
              <w:t>ie</w:t>
            </w:r>
            <w:r w:rsidRPr="0087417D">
              <w:t xml:space="preserve"> beneficial or an improvement) or negative (</w:t>
            </w:r>
            <w:r w:rsidR="004A7265">
              <w:t>ie</w:t>
            </w:r>
            <w:r w:rsidRPr="0087417D">
              <w:t xml:space="preserve"> adverse or a detraction).</w:t>
            </w:r>
          </w:p>
        </w:tc>
      </w:tr>
      <w:tr w:rsidR="0087417D" w:rsidRPr="0087417D" w14:paraId="6420A4C6"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3ABDC1C2" w14:textId="77777777" w:rsidR="0087417D" w:rsidRPr="0087417D" w:rsidRDefault="0087417D" w:rsidP="0087417D">
            <w:pPr>
              <w:pStyle w:val="TableText"/>
            </w:pPr>
            <w:r w:rsidRPr="0087417D">
              <w:lastRenderedPageBreak/>
              <w:t>Vulnerable group</w:t>
            </w:r>
          </w:p>
        </w:tc>
        <w:tc>
          <w:tcPr>
            <w:tcW w:w="6377" w:type="dxa"/>
          </w:tcPr>
          <w:p w14:paraId="1CBEF097"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inability of people to withstand or adapt to change due to characteristics of the group they are a part of. This report considers the following groups: socio-economically disadvantaged persons as identified by the Index of Relative Socio-Economic Advantage and Disadvantage (ISRAD), the elderly and very young, culturally and linguistically diverse (CALD) people, people who need assistance with core activities such as self-care, movement and communication due to a severe or profound disability.</w:t>
            </w:r>
          </w:p>
        </w:tc>
      </w:tr>
      <w:tr w:rsidR="0087417D" w:rsidRPr="0087417D" w14:paraId="5454E10F"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535E2A8D" w14:textId="77777777" w:rsidR="0087417D" w:rsidRPr="0087417D" w:rsidRDefault="0087417D" w:rsidP="0087417D">
            <w:pPr>
              <w:pStyle w:val="TableText"/>
            </w:pPr>
            <w:r w:rsidRPr="0087417D">
              <w:t xml:space="preserve">Waste hierarchy </w:t>
            </w:r>
          </w:p>
        </w:tc>
        <w:tc>
          <w:tcPr>
            <w:tcW w:w="6377" w:type="dxa"/>
          </w:tcPr>
          <w:p w14:paraId="5E934F45"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hierarchical system of preferred waste handling approaches defined by EPA Victoria in the Environment Protection Act 1970 (Vic). The approaches from most preferred to least preferred include avoidance, re-use, recycling and energy recovery, treatment, containment and disposal.</w:t>
            </w:r>
          </w:p>
        </w:tc>
      </w:tr>
      <w:tr w:rsidR="0087417D" w:rsidRPr="0087417D" w14:paraId="08C7076E"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574AD1DE" w14:textId="77777777" w:rsidR="0087417D" w:rsidRPr="0087417D" w:rsidRDefault="0087417D" w:rsidP="0087417D">
            <w:pPr>
              <w:pStyle w:val="TableText"/>
            </w:pPr>
            <w:r w:rsidRPr="0087417D">
              <w:t xml:space="preserve">Water table </w:t>
            </w:r>
          </w:p>
        </w:tc>
        <w:tc>
          <w:tcPr>
            <w:tcW w:w="6377" w:type="dxa"/>
          </w:tcPr>
          <w:p w14:paraId="6C620E2F"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surface between the vadose zone and the saturated zone of unconfined groundwater. This can also be defined as the surface at which groundwater pressure is equal to atmospheric pressure.</w:t>
            </w:r>
          </w:p>
        </w:tc>
      </w:tr>
      <w:tr w:rsidR="0087417D" w:rsidRPr="0087417D" w14:paraId="404A17D0"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5674BF3B" w14:textId="77777777" w:rsidR="0087417D" w:rsidRPr="0087417D" w:rsidRDefault="0087417D" w:rsidP="0087417D">
            <w:pPr>
              <w:pStyle w:val="TableText"/>
            </w:pPr>
            <w:r w:rsidRPr="0087417D">
              <w:t xml:space="preserve">Water quality </w:t>
            </w:r>
          </w:p>
        </w:tc>
        <w:tc>
          <w:tcPr>
            <w:tcW w:w="6377" w:type="dxa"/>
          </w:tcPr>
          <w:p w14:paraId="57D92415" w14:textId="4F2D50F8"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physical, chemical and biological characteristics of water, frequently used by reference to a set of standards against which compliance can be</w:t>
            </w:r>
            <w:r w:rsidR="004A7265">
              <w:t> </w:t>
            </w:r>
            <w:r w:rsidRPr="0087417D">
              <w:t>assessed.</w:t>
            </w:r>
          </w:p>
        </w:tc>
      </w:tr>
      <w:tr w:rsidR="0087417D" w:rsidRPr="0087417D" w14:paraId="620788C7"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5806CC3" w14:textId="77777777" w:rsidR="0087417D" w:rsidRPr="0087417D" w:rsidRDefault="0087417D" w:rsidP="0087417D">
            <w:pPr>
              <w:pStyle w:val="TableText"/>
            </w:pPr>
            <w:r w:rsidRPr="0087417D">
              <w:t xml:space="preserve">Wetland </w:t>
            </w:r>
          </w:p>
        </w:tc>
        <w:tc>
          <w:tcPr>
            <w:tcW w:w="6377" w:type="dxa"/>
          </w:tcPr>
          <w:p w14:paraId="5AD96BC0"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An area of land whose soil is saturated with moisture either permanently or seasonally. Such areas may also be covered partially or completely by shallow pools of water. Wetlands include swamps, marshes, and bogs, among others.</w:t>
            </w:r>
          </w:p>
        </w:tc>
      </w:tr>
      <w:tr w:rsidR="0087417D" w:rsidRPr="0087417D" w14:paraId="46384820"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561726F0" w14:textId="77777777" w:rsidR="0087417D" w:rsidRPr="0087417D" w:rsidRDefault="0087417D" w:rsidP="0087417D">
            <w:pPr>
              <w:pStyle w:val="TableText"/>
            </w:pPr>
            <w:r w:rsidRPr="0087417D">
              <w:t>Yield</w:t>
            </w:r>
          </w:p>
        </w:tc>
        <w:tc>
          <w:tcPr>
            <w:tcW w:w="6377" w:type="dxa"/>
          </w:tcPr>
          <w:p w14:paraId="513DAD90"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rate at which water can be extracted from a pumping well, typically measured in L/sec or ML/day.</w:t>
            </w:r>
          </w:p>
        </w:tc>
      </w:tr>
      <w:tr w:rsidR="0087417D" w:rsidRPr="0087417D" w14:paraId="50E22A26"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7833D328" w14:textId="77777777" w:rsidR="0087417D" w:rsidRPr="0087417D" w:rsidRDefault="0087417D" w:rsidP="0087417D">
            <w:pPr>
              <w:pStyle w:val="TableText"/>
            </w:pPr>
            <w:r w:rsidRPr="0087417D">
              <w:t>Zone of visual influence (ZVI)</w:t>
            </w:r>
          </w:p>
        </w:tc>
        <w:tc>
          <w:tcPr>
            <w:tcW w:w="6377" w:type="dxa"/>
          </w:tcPr>
          <w:p w14:paraId="77389612" w14:textId="22A28E1A"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The ZVI defines the differing zones of visual impact based upon the distance</w:t>
            </w:r>
            <w:r w:rsidR="004A7265">
              <w:t> </w:t>
            </w:r>
            <w:r w:rsidRPr="0087417D">
              <w:t>of the viewer to the largest visual component of the project within the study area.</w:t>
            </w:r>
          </w:p>
        </w:tc>
      </w:tr>
      <w:tr w:rsidR="0087417D" w:rsidRPr="0087417D" w14:paraId="0151775D" w14:textId="77777777" w:rsidTr="002558B5">
        <w:trPr>
          <w:cantSplit/>
        </w:trPr>
        <w:tc>
          <w:tcPr>
            <w:cnfStyle w:val="001000000000" w:firstRow="0" w:lastRow="0" w:firstColumn="1" w:lastColumn="0" w:oddVBand="0" w:evenVBand="0" w:oddHBand="0" w:evenHBand="0" w:firstRowFirstColumn="0" w:firstRowLastColumn="0" w:lastRowFirstColumn="0" w:lastRowLastColumn="0"/>
            <w:tcW w:w="2694" w:type="dxa"/>
          </w:tcPr>
          <w:p w14:paraId="0F77C627" w14:textId="77777777" w:rsidR="0087417D" w:rsidRPr="0087417D" w:rsidRDefault="0087417D" w:rsidP="0087417D">
            <w:pPr>
              <w:pStyle w:val="TableText"/>
            </w:pPr>
            <w:r w:rsidRPr="0087417D">
              <w:t>Zone of theoretical visibility (ZTV)</w:t>
            </w:r>
          </w:p>
        </w:tc>
        <w:tc>
          <w:tcPr>
            <w:tcW w:w="6377" w:type="dxa"/>
          </w:tcPr>
          <w:p w14:paraId="00F9918D" w14:textId="77777777" w:rsidR="0087417D" w:rsidRPr="0087417D" w:rsidRDefault="0087417D" w:rsidP="0087417D">
            <w:pPr>
              <w:pStyle w:val="TableText"/>
              <w:cnfStyle w:val="000000000000" w:firstRow="0" w:lastRow="0" w:firstColumn="0" w:lastColumn="0" w:oddVBand="0" w:evenVBand="0" w:oddHBand="0" w:evenHBand="0" w:firstRowFirstColumn="0" w:firstRowLastColumn="0" w:lastRowFirstColumn="0" w:lastRowLastColumn="0"/>
            </w:pPr>
            <w:r w:rsidRPr="0087417D">
              <w:t>A ZTV is the area around a designated point in the landscape from which that point is theoretically visible. It is calculated using elevation data within a Digital Terrain Model.</w:t>
            </w:r>
          </w:p>
        </w:tc>
      </w:tr>
    </w:tbl>
    <w:p w14:paraId="0C0E6B6B" w14:textId="77777777" w:rsidR="0087417D" w:rsidRDefault="0087417D" w:rsidP="0087417D">
      <w:pPr>
        <w:pStyle w:val="TableText"/>
        <w:numPr>
          <w:ilvl w:val="0"/>
          <w:numId w:val="0"/>
        </w:numPr>
      </w:pPr>
    </w:p>
    <w:sectPr w:rsidR="0087417D" w:rsidSect="00942B90">
      <w:footerReference w:type="even" r:id="rId15"/>
      <w:footerReference w:type="default" r:id="rId16"/>
      <w:type w:val="oddPage"/>
      <w:pgSz w:w="11906" w:h="16838" w:code="9"/>
      <w:pgMar w:top="1134" w:right="1134" w:bottom="1134" w:left="1134" w:header="567" w:footer="567" w:gutter="567"/>
      <w:pgNumType w:start="1" w:chapStyle="2"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B2E88" w14:textId="77777777" w:rsidR="00747D23" w:rsidRDefault="00747D23" w:rsidP="00A02FC6">
      <w:r>
        <w:separator/>
      </w:r>
    </w:p>
    <w:p w14:paraId="790500E7" w14:textId="77777777" w:rsidR="00747D23" w:rsidRDefault="00747D23"/>
    <w:p w14:paraId="50009487" w14:textId="77777777" w:rsidR="00747D23" w:rsidRDefault="00747D23"/>
  </w:endnote>
  <w:endnote w:type="continuationSeparator" w:id="0">
    <w:p w14:paraId="0BFC8415" w14:textId="77777777" w:rsidR="00747D23" w:rsidRDefault="00747D23" w:rsidP="00A02FC6">
      <w:r>
        <w:continuationSeparator/>
      </w:r>
    </w:p>
    <w:p w14:paraId="7163DA24" w14:textId="77777777" w:rsidR="00747D23" w:rsidRDefault="00747D23"/>
    <w:p w14:paraId="1EB47FFB" w14:textId="77777777" w:rsidR="00747D23" w:rsidRDefault="00747D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Nunito">
    <w:panose1 w:val="00000500000000000000"/>
    <w:charset w:val="00"/>
    <w:family w:val="auto"/>
    <w:pitch w:val="variable"/>
    <w:sig w:usb0="20000007" w:usb1="00000001" w:usb2="00000000" w:usb3="00000000" w:csb0="00000193" w:csb1="00000000"/>
    <w:embedRegular r:id="rId1" w:fontKey="{EF92D61D-899E-4515-8D72-543EF6E9B6C3}"/>
    <w:embedBold r:id="rId2" w:fontKey="{BD4B5887-96B4-4374-B059-FEDB9CA5AA10}"/>
    <w:embedItalic r:id="rId3" w:fontKey="{2325E1D3-86D3-4541-8618-A0D88AC47C0F}"/>
  </w:font>
  <w:font w:name="Nunito SemiBold">
    <w:panose1 w:val="00000700000000000000"/>
    <w:charset w:val="00"/>
    <w:family w:val="auto"/>
    <w:pitch w:val="variable"/>
    <w:sig w:usb0="20000007" w:usb1="00000001" w:usb2="00000000" w:usb3="00000000" w:csb0="00000193" w:csb1="00000000"/>
    <w:embedRegular r:id="rId4" w:fontKey="{27784D40-9EEF-42E6-BED4-BA152AC59E4C}"/>
  </w:font>
  <w:font w:name="Tahoma">
    <w:panose1 w:val="020B0604030504040204"/>
    <w:charset w:val="00"/>
    <w:family w:val="swiss"/>
    <w:pitch w:val="variable"/>
    <w:sig w:usb0="E1002EFF" w:usb1="C000605B" w:usb2="00000029" w:usb3="00000000" w:csb0="000101FF" w:csb1="00000000"/>
    <w:embedRegular r:id="rId5" w:fontKey="{CE509900-4717-4CAE-822A-C2D667D76C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89CAE" w14:textId="34BBEE74" w:rsidR="002558B5" w:rsidRPr="006A7B89" w:rsidRDefault="002558B5" w:rsidP="00AD6412">
    <w:pPr>
      <w:pStyle w:val="Evenfooter"/>
    </w:pPr>
    <w:r w:rsidRPr="006A7B89">
      <w:fldChar w:fldCharType="begin"/>
    </w:r>
    <w:r w:rsidRPr="006A7B89">
      <w:instrText xml:space="preserve"> PAGE   \* MERGEFORMAT </w:instrText>
    </w:r>
    <w:r w:rsidRPr="006A7B89">
      <w:fldChar w:fldCharType="separate"/>
    </w:r>
    <w:r w:rsidR="000743CC">
      <w:t>A&amp;G–ii</w:t>
    </w:r>
    <w:r w:rsidRPr="006A7B89">
      <w:fldChar w:fldCharType="end"/>
    </w:r>
    <w:r w:rsidRPr="006A7B89">
      <w:t xml:space="preserve"> | </w:t>
    </w:r>
    <w:r w:rsidR="00747D23">
      <w:fldChar w:fldCharType="begin"/>
    </w:r>
    <w:r w:rsidR="00747D23">
      <w:instrText xml:space="preserve"> STYLEREF  "Heading 1"  \* MERGEFORMAT </w:instrText>
    </w:r>
    <w:r w:rsidR="00747D23">
      <w:fldChar w:fldCharType="separate"/>
    </w:r>
    <w:r w:rsidR="00BC1EF3">
      <w:t>Abbreviations and glossary</w:t>
    </w:r>
    <w:r w:rsidR="00747D2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82044" w14:textId="326736D5" w:rsidR="002558B5" w:rsidRPr="00AD6412" w:rsidRDefault="00747D23" w:rsidP="00AD6412">
    <w:pPr>
      <w:pStyle w:val="Footer"/>
    </w:pPr>
    <w:r>
      <w:fldChar w:fldCharType="begin"/>
    </w:r>
    <w:r>
      <w:instrText xml:space="preserve"> STYLEREF  "Heading 1"  \* MERGEFORMAT </w:instrText>
    </w:r>
    <w:r>
      <w:fldChar w:fldCharType="separate"/>
    </w:r>
    <w:r w:rsidR="00BC1EF3">
      <w:t>Abbreviations and glossary</w:t>
    </w:r>
    <w:r>
      <w:fldChar w:fldCharType="end"/>
    </w:r>
    <w:r w:rsidR="002558B5" w:rsidRPr="00AD6412">
      <w:t xml:space="preserve"> | </w:t>
    </w:r>
    <w:r w:rsidR="002558B5" w:rsidRPr="00AD6412">
      <w:fldChar w:fldCharType="begin"/>
    </w:r>
    <w:r w:rsidR="002558B5" w:rsidRPr="00AD6412">
      <w:instrText xml:space="preserve"> PAGE   \* MERGEFORMAT </w:instrText>
    </w:r>
    <w:r w:rsidR="002558B5" w:rsidRPr="00AD6412">
      <w:fldChar w:fldCharType="separate"/>
    </w:r>
    <w:r w:rsidR="000743CC">
      <w:t>A&amp;G–iii</w:t>
    </w:r>
    <w:r w:rsidR="002558B5" w:rsidRPr="00AD64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0F950" w14:textId="77777777" w:rsidR="002558B5" w:rsidRPr="00013A54" w:rsidRDefault="002558B5" w:rsidP="00013A54">
    <w:pPr>
      <w:pStyle w:val="Footer"/>
      <w:rPr>
        <w:rStyle w:val="PageNoChar"/>
      </w:rPr>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4949C" w14:textId="31B3B07D" w:rsidR="002558B5" w:rsidRPr="006A7B89" w:rsidRDefault="002558B5" w:rsidP="00AD6412">
    <w:pPr>
      <w:pStyle w:val="Evenfooter"/>
    </w:pPr>
    <w:r w:rsidRPr="006A7B89">
      <w:fldChar w:fldCharType="begin"/>
    </w:r>
    <w:r w:rsidRPr="006A7B89">
      <w:instrText xml:space="preserve"> PAGE   \* MERGEFORMAT </w:instrText>
    </w:r>
    <w:r w:rsidRPr="006A7B89">
      <w:fldChar w:fldCharType="separate"/>
    </w:r>
    <w:r w:rsidR="004F4F15">
      <w:t>A&amp;G–2</w:t>
    </w:r>
    <w:r w:rsidRPr="006A7B89">
      <w:fldChar w:fldCharType="end"/>
    </w:r>
    <w:r w:rsidRPr="006A7B89">
      <w:t xml:space="preserve"> | </w:t>
    </w:r>
    <w:r w:rsidR="00747D23">
      <w:fldChar w:fldCharType="begin"/>
    </w:r>
    <w:r w:rsidR="00747D23">
      <w:instrText xml:space="preserve"> STYLEREF  "Heading 1"  \* MERGEFORMAT </w:instrText>
    </w:r>
    <w:r w:rsidR="00747D23">
      <w:fldChar w:fldCharType="separate"/>
    </w:r>
    <w:r w:rsidR="004F4F15">
      <w:t>Abbreviations and glossary</w:t>
    </w:r>
    <w:r w:rsidR="00747D2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91380" w14:textId="0601B9D5" w:rsidR="002558B5" w:rsidRPr="00AD6412" w:rsidRDefault="00747D23" w:rsidP="00AD6412">
    <w:pPr>
      <w:pStyle w:val="Footer"/>
    </w:pPr>
    <w:r>
      <w:fldChar w:fldCharType="begin"/>
    </w:r>
    <w:r>
      <w:instrText xml:space="preserve"> STYLEREF  "Heading 1"  \* MERGEFORMAT </w:instrText>
    </w:r>
    <w:r>
      <w:fldChar w:fldCharType="separate"/>
    </w:r>
    <w:r w:rsidR="004F4F15">
      <w:t>Abbreviations and glossary</w:t>
    </w:r>
    <w:r>
      <w:fldChar w:fldCharType="end"/>
    </w:r>
    <w:r w:rsidR="002558B5" w:rsidRPr="00AD6412">
      <w:t xml:space="preserve"> | </w:t>
    </w:r>
    <w:r w:rsidR="002558B5" w:rsidRPr="00AD6412">
      <w:fldChar w:fldCharType="begin"/>
    </w:r>
    <w:r w:rsidR="002558B5" w:rsidRPr="00AD6412">
      <w:instrText xml:space="preserve"> PAGE   \* MERGEFORMAT </w:instrText>
    </w:r>
    <w:r w:rsidR="002558B5" w:rsidRPr="00AD6412">
      <w:fldChar w:fldCharType="separate"/>
    </w:r>
    <w:r w:rsidR="004F4F15">
      <w:t>A&amp;G–3</w:t>
    </w:r>
    <w:r w:rsidR="002558B5" w:rsidRPr="00AD64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B49B1" w14:textId="77777777" w:rsidR="00747D23" w:rsidRDefault="00747D23" w:rsidP="0036083B">
      <w:pPr>
        <w:spacing w:before="360"/>
      </w:pPr>
      <w:r>
        <w:separator/>
      </w:r>
    </w:p>
    <w:p w14:paraId="2566B0FE" w14:textId="77777777" w:rsidR="00747D23" w:rsidRDefault="00747D23"/>
    <w:p w14:paraId="6FA0C1C2" w14:textId="77777777" w:rsidR="00747D23" w:rsidRDefault="00747D23"/>
  </w:footnote>
  <w:footnote w:type="continuationSeparator" w:id="0">
    <w:p w14:paraId="0965C842" w14:textId="77777777" w:rsidR="00747D23" w:rsidRDefault="00747D23" w:rsidP="0036083B">
      <w:pPr>
        <w:spacing w:before="360"/>
      </w:pPr>
      <w:r>
        <w:continuationSeparator/>
      </w:r>
    </w:p>
    <w:p w14:paraId="20C03424" w14:textId="77777777" w:rsidR="00747D23" w:rsidRDefault="00747D23"/>
    <w:p w14:paraId="089D0A58" w14:textId="77777777" w:rsidR="00747D23" w:rsidRDefault="00747D23"/>
  </w:footnote>
  <w:footnote w:type="continuationNotice" w:id="1">
    <w:p w14:paraId="7619CA3F" w14:textId="77777777" w:rsidR="00747D23" w:rsidRDefault="00747D23" w:rsidP="00A02FC6"/>
    <w:p w14:paraId="5670BFAE" w14:textId="77777777" w:rsidR="00747D23" w:rsidRDefault="00747D23"/>
    <w:p w14:paraId="3E766C86" w14:textId="77777777" w:rsidR="00747D23" w:rsidRDefault="00747D2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7FC52" w14:textId="77777777" w:rsidR="002558B5" w:rsidRDefault="002558B5" w:rsidP="007C7ADA">
    <w:pPr>
      <w:pStyle w:val="Header"/>
    </w:pPr>
    <w:r>
      <w:rPr>
        <w:noProof/>
        <w:lang w:eastAsia="en-AU"/>
      </w:rPr>
      <mc:AlternateContent>
        <mc:Choice Requires="wps">
          <w:drawing>
            <wp:anchor distT="0" distB="0" distL="114300" distR="114300" simplePos="0" relativeHeight="251662336" behindDoc="0" locked="0" layoutInCell="1" allowOverlap="1" wp14:anchorId="6AC57464" wp14:editId="340F18F7">
              <wp:simplePos x="0" y="0"/>
              <wp:positionH relativeFrom="page">
                <wp:posOffset>0</wp:posOffset>
              </wp:positionH>
              <wp:positionV relativeFrom="page">
                <wp:posOffset>1080135</wp:posOffset>
              </wp:positionV>
              <wp:extent cx="1515600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1515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00DDF5" id="Straight Connector 23"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0,85.05pt" to="1193.4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" strokecolor="#220d5c [3044]">
              <w10:wrap anchorx="page" anchory="page"/>
            </v:line>
          </w:pict>
        </mc:Fallback>
      </mc:AlternateContent>
    </w:r>
    <w:r>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1A864" w14:textId="77777777" w:rsidR="002558B5" w:rsidRDefault="002558B5" w:rsidP="005810AD">
    <w:pPr>
      <w:pStyle w:val="Header"/>
    </w:pPr>
    <w:r>
      <w:rPr>
        <w:noProof/>
        <w:lang w:eastAsia="en-AU"/>
      </w:rPr>
      <w:drawing>
        <wp:anchor distT="0" distB="0" distL="114300" distR="114300" simplePos="0" relativeHeight="251661312" behindDoc="1" locked="1" layoutInCell="1" allowOverlap="1" wp14:anchorId="423D804A" wp14:editId="6BD9CDF7">
          <wp:simplePos x="0" y="0"/>
          <wp:positionH relativeFrom="page">
            <wp:align>right</wp:align>
          </wp:positionH>
          <wp:positionV relativeFrom="page">
            <wp:align>top</wp:align>
          </wp:positionV>
          <wp:extent cx="3434400" cy="10800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er logo and background.png"/>
                  <pic:cNvPicPr/>
                </pic:nvPicPr>
                <pic:blipFill rotWithShape="1">
                  <a:blip r:embed="rId1">
                    <a:extLst>
                      <a:ext uri="{28A0092B-C50C-407E-A947-70E740481C1C}">
                        <a14:useLocalDpi xmlns:a14="http://schemas.microsoft.com/office/drawing/2010/main" val="0"/>
                      </a:ext>
                    </a:extLst>
                  </a:blip>
                  <a:srcRect l="1272" t="8178" r="2344"/>
                  <a:stretch/>
                </pic:blipFill>
                <pic:spPr bwMode="auto">
                  <a:xfrm>
                    <a:off x="0" y="0"/>
                    <a:ext cx="3434400" cy="108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8B1BD" w14:textId="77777777" w:rsidR="002558B5" w:rsidRPr="00D3135D" w:rsidRDefault="002558B5" w:rsidP="000C3A8D">
    <w:pPr>
      <w:pStyle w:val="HeaderFirstPage"/>
    </w:pPr>
    <w:r>
      <w:rPr>
        <w:lang w:eastAsia="en-AU"/>
      </w:rPr>
      <w:drawing>
        <wp:anchor distT="0" distB="0" distL="114300" distR="114300" simplePos="0" relativeHeight="251660288" behindDoc="1" locked="0" layoutInCell="1" allowOverlap="1" wp14:anchorId="6B6C4D8E" wp14:editId="0C629819">
          <wp:simplePos x="0" y="0"/>
          <wp:positionH relativeFrom="page">
            <wp:posOffset>456</wp:posOffset>
          </wp:positionH>
          <wp:positionV relativeFrom="page">
            <wp:posOffset>0</wp:posOffset>
          </wp:positionV>
          <wp:extent cx="7560738" cy="106920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image_Page_3.png"/>
                  <pic:cNvPicPr/>
                </pic:nvPicPr>
                <pic:blipFill>
                  <a:blip r:embed="rId1">
                    <a:extLst>
                      <a:ext uri="{28A0092B-C50C-407E-A947-70E740481C1C}">
                        <a14:useLocalDpi xmlns:a14="http://schemas.microsoft.com/office/drawing/2010/main" val="0"/>
                      </a:ext>
                    </a:extLst>
                  </a:blip>
                  <a:stretch>
                    <a:fillRect/>
                  </a:stretch>
                </pic:blipFill>
                <pic:spPr>
                  <a:xfrm>
                    <a:off x="0" y="0"/>
                    <a:ext cx="7560738" cy="10692000"/>
                  </a:xfrm>
                  <a:prstGeom prst="rect">
                    <a:avLst/>
                  </a:prstGeom>
                </pic:spPr>
              </pic:pic>
            </a:graphicData>
          </a:graphic>
          <wp14:sizeRelH relativeFrom="margin">
            <wp14:pctWidth>0</wp14:pctWidth>
          </wp14:sizeRelH>
          <wp14:sizeRelV relativeFrom="margin">
            <wp14:pctHeight>0</wp14:pctHeight>
          </wp14:sizeRelV>
        </wp:anchor>
      </w:drawing>
    </w:r>
    <w:r w:rsidRPr="00D3135D">
      <w:t>Environment</w:t>
    </w:r>
    <w:r>
      <w:br/>
    </w:r>
    <w:r w:rsidRPr="00D3135D">
      <w:t>Effects Statement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D7D2843"/>
    <w:multiLevelType w:val="multilevel"/>
    <w:tmpl w:val="E6F85C04"/>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0"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250E62" w:themeColor="accent1"/>
        <w:sz w:val="18"/>
      </w:rPr>
    </w:lvl>
    <w:lvl w:ilvl="1">
      <w:start w:val="1"/>
      <w:numFmt w:val="bullet"/>
      <w:lvlText w:val="–"/>
      <w:lvlJc w:val="left"/>
      <w:pPr>
        <w:ind w:left="680" w:hanging="340"/>
      </w:pPr>
      <w:rPr>
        <w:rFonts w:ascii="Arial" w:hAnsi="Arial" w:hint="default"/>
        <w:b w:val="0"/>
        <w:i w:val="0"/>
        <w:color w:val="250E62" w:themeColor="accent1"/>
        <w:sz w:val="18"/>
      </w:rPr>
    </w:lvl>
    <w:lvl w:ilvl="2">
      <w:start w:val="1"/>
      <w:numFmt w:val="bullet"/>
      <w:lvlText w:val="-"/>
      <w:lvlJc w:val="left"/>
      <w:pPr>
        <w:ind w:left="1020" w:hanging="340"/>
      </w:pPr>
      <w:rPr>
        <w:rFonts w:ascii="Arial" w:hAnsi="Arial" w:hint="default"/>
        <w:b w:val="0"/>
        <w:i w:val="0"/>
        <w:color w:val="250E62"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3" w15:restartNumberingAfterBreak="0">
    <w:nsid w:val="2C7376B5"/>
    <w:multiLevelType w:val="multilevel"/>
    <w:tmpl w:val="DB8287BA"/>
    <w:lvl w:ilvl="0">
      <w:start w:val="1"/>
      <w:numFmt w:val="upperLetter"/>
      <w:pStyle w:val="Heading1"/>
      <w:lvlText w:val="Chapter %1"/>
      <w:lvlJc w:val="right"/>
      <w:pPr>
        <w:tabs>
          <w:tab w:val="num" w:pos="0"/>
        </w:tabs>
        <w:ind w:left="0" w:firstLine="0"/>
      </w:pPr>
      <w:rPr>
        <w:rFonts w:hint="default"/>
        <w:color w:val="FFFFFF" w:themeColor="background1"/>
        <w:sz w:val="16"/>
      </w:rPr>
    </w:lvl>
    <w:lvl w:ilvl="1">
      <w:start w:val="7"/>
      <w:numFmt w:val="upperLetter"/>
      <w:pStyle w:val="Heading2"/>
      <w:suff w:val="nothing"/>
      <w:lvlText w:val="%1&amp;%2"/>
      <w:lvlJc w:val="right"/>
      <w:pPr>
        <w:ind w:left="0" w:firstLine="0"/>
      </w:pPr>
      <w:rPr>
        <w:rFonts w:hint="default"/>
        <w:color w:val="FFFFFF" w:themeColor="background1"/>
        <w:sz w:val="20"/>
      </w:rPr>
    </w:lvl>
    <w:lvl w:ilvl="2">
      <w:start w:val="1"/>
      <w:numFmt w:val="none"/>
      <w:pStyle w:val="Heading3"/>
      <w:suff w:val="nothing"/>
      <w:lvlText w:val=""/>
      <w:lvlJc w:val="left"/>
      <w:pPr>
        <w:ind w:left="0" w:firstLine="0"/>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14" w15:restartNumberingAfterBreak="0">
    <w:nsid w:val="2F021BB3"/>
    <w:multiLevelType w:val="multilevel"/>
    <w:tmpl w:val="572829B8"/>
    <w:lvl w:ilvl="0">
      <w:start w:val="1"/>
      <w:numFmt w:val="decimal"/>
      <w:lvlText w:val="%1"/>
      <w:lvlJc w:val="left"/>
      <w:pPr>
        <w:ind w:left="340" w:hanging="340"/>
      </w:pPr>
      <w:rPr>
        <w:rFonts w:hint="default"/>
        <w:color w:val="250E62" w:themeColor="accent1"/>
      </w:rPr>
    </w:lvl>
    <w:lvl w:ilvl="1">
      <w:start w:val="1"/>
      <w:numFmt w:val="lowerLetter"/>
      <w:lvlText w:val="%2"/>
      <w:lvlJc w:val="left"/>
      <w:pPr>
        <w:ind w:left="680" w:hanging="340"/>
      </w:pPr>
      <w:rPr>
        <w:rFonts w:hint="default"/>
        <w:color w:val="250E62" w:themeColor="accent1"/>
      </w:rPr>
    </w:lvl>
    <w:lvl w:ilvl="2">
      <w:start w:val="1"/>
      <w:numFmt w:val="lowerRoman"/>
      <w:lvlText w:val="%3"/>
      <w:lvlJc w:val="left"/>
      <w:pPr>
        <w:ind w:left="1021" w:hanging="341"/>
      </w:pPr>
      <w:rPr>
        <w:rFonts w:hint="default"/>
        <w:color w:val="250E62"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A631707"/>
    <w:multiLevelType w:val="multilevel"/>
    <w:tmpl w:val="315CE1EC"/>
    <w:lvl w:ilvl="0">
      <w:start w:val="1"/>
      <w:numFmt w:val="upperLetter"/>
      <w:lvlText w:val="Appendix %1"/>
      <w:lvlJc w:val="left"/>
      <w:pPr>
        <w:ind w:left="2552" w:hanging="2552"/>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250E62" w:themeColor="accent1"/>
        <w:sz w:val="22"/>
      </w:rPr>
    </w:lvl>
    <w:lvl w:ilvl="7">
      <w:start w:val="1"/>
      <w:numFmt w:val="decimal"/>
      <w:lvlText w:val="%1.%2.%3.%4.%5.%6.%7.%8."/>
      <w:lvlJc w:val="left"/>
      <w:pPr>
        <w:ind w:left="3744" w:hanging="1224"/>
      </w:pPr>
      <w:rPr>
        <w:rFonts w:hint="default"/>
        <w:b w:val="0"/>
        <w:i w:val="0"/>
        <w:color w:val="250E62" w:themeColor="accent1"/>
        <w:sz w:val="22"/>
      </w:rPr>
    </w:lvl>
    <w:lvl w:ilvl="8">
      <w:start w:val="1"/>
      <w:numFmt w:val="decimal"/>
      <w:lvlText w:val="%1.%2.%3.%4.%5.%6.%7.%8.%9."/>
      <w:lvlJc w:val="left"/>
      <w:pPr>
        <w:ind w:left="4320" w:hanging="1440"/>
      </w:pPr>
      <w:rPr>
        <w:rFonts w:hint="default"/>
        <w:b w:val="0"/>
        <w:i w:val="0"/>
        <w:color w:val="250E62" w:themeColor="accent1"/>
        <w:sz w:val="22"/>
      </w:rPr>
    </w:lvl>
  </w:abstractNum>
  <w:abstractNum w:abstractNumId="16"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F13E44"/>
    <w:multiLevelType w:val="multilevel"/>
    <w:tmpl w:val="BDFAA078"/>
    <w:lvl w:ilvl="0">
      <w:start w:val="1"/>
      <w:numFmt w:val="upperLetter"/>
      <w:lvlText w:val="Appendix %1"/>
      <w:lvlJc w:val="left"/>
      <w:pPr>
        <w:ind w:left="0" w:firstLine="0"/>
      </w:pPr>
      <w:rPr>
        <w:rFonts w:hint="default"/>
        <w:b w:val="0"/>
        <w:i w:val="0"/>
        <w:color w:val="636569" w:themeColor="text2"/>
        <w:sz w:val="40"/>
        <w:szCs w:val="36"/>
      </w:rPr>
    </w:lvl>
    <w:lvl w:ilvl="1">
      <w:start w:val="1"/>
      <w:numFmt w:val="decimal"/>
      <w:lvlText w:val="%1.%2"/>
      <w:lvlJc w:val="left"/>
      <w:pPr>
        <w:ind w:left="1021" w:hanging="1021"/>
      </w:pPr>
      <w:rPr>
        <w:rFonts w:hint="default"/>
        <w:b w:val="0"/>
        <w:i w:val="0"/>
        <w:color w:val="636569" w:themeColor="text2"/>
        <w:sz w:val="36"/>
        <w:szCs w:val="32"/>
      </w:rPr>
    </w:lvl>
    <w:lvl w:ilvl="2">
      <w:start w:val="1"/>
      <w:numFmt w:val="decimal"/>
      <w:lvlText w:val="%1.%2.%3"/>
      <w:lvlJc w:val="left"/>
      <w:pPr>
        <w:ind w:left="1191" w:hanging="1191"/>
      </w:pPr>
      <w:rPr>
        <w:rFonts w:hint="default"/>
        <w:b w:val="0"/>
        <w:i w:val="0"/>
        <w:color w:val="636569" w:themeColor="text2"/>
        <w:sz w:val="32"/>
        <w:szCs w:val="28"/>
      </w:rPr>
    </w:lvl>
    <w:lvl w:ilvl="3">
      <w:start w:val="1"/>
      <w:numFmt w:val="decimal"/>
      <w:lvlText w:val="%1.%2.%3.%4."/>
      <w:lvlJc w:val="left"/>
      <w:pPr>
        <w:ind w:left="1728" w:hanging="648"/>
      </w:pPr>
      <w:rPr>
        <w:rFonts w:hint="default"/>
        <w:color w:val="636569" w:themeColor="text2"/>
      </w:rPr>
    </w:lvl>
    <w:lvl w:ilvl="4">
      <w:start w:val="1"/>
      <w:numFmt w:val="decimal"/>
      <w:lvlText w:val="%1.%2.%3.%4.%5."/>
      <w:lvlJc w:val="left"/>
      <w:pPr>
        <w:ind w:left="2232" w:hanging="792"/>
      </w:pPr>
      <w:rPr>
        <w:rFonts w:hint="default"/>
        <w:color w:val="636569" w:themeColor="text2"/>
      </w:rPr>
    </w:lvl>
    <w:lvl w:ilvl="5">
      <w:start w:val="1"/>
      <w:numFmt w:val="decimal"/>
      <w:lvlText w:val="%1.%2.%3.%4.%5.%6."/>
      <w:lvlJc w:val="left"/>
      <w:pPr>
        <w:ind w:left="2736" w:hanging="936"/>
      </w:pPr>
      <w:rPr>
        <w:rFonts w:hint="default"/>
        <w:color w:val="636569" w:themeColor="text2"/>
      </w:rPr>
    </w:lvl>
    <w:lvl w:ilvl="6">
      <w:start w:val="1"/>
      <w:numFmt w:val="decimal"/>
      <w:lvlText w:val="%1.%2.%3.%4.%5.%6.%7."/>
      <w:lvlJc w:val="left"/>
      <w:pPr>
        <w:ind w:left="3240" w:hanging="1080"/>
      </w:pPr>
      <w:rPr>
        <w:rFonts w:hint="default"/>
        <w:b w:val="0"/>
        <w:i w:val="0"/>
        <w:color w:val="250E62" w:themeColor="accent1"/>
        <w:sz w:val="22"/>
      </w:rPr>
    </w:lvl>
    <w:lvl w:ilvl="7">
      <w:start w:val="1"/>
      <w:numFmt w:val="decimal"/>
      <w:lvlText w:val="%1.%2.%3.%4.%5.%6.%7.%8."/>
      <w:lvlJc w:val="left"/>
      <w:pPr>
        <w:ind w:left="3744" w:hanging="1224"/>
      </w:pPr>
      <w:rPr>
        <w:rFonts w:hint="default"/>
        <w:b w:val="0"/>
        <w:i w:val="0"/>
        <w:color w:val="250E62" w:themeColor="accent1"/>
        <w:sz w:val="22"/>
      </w:rPr>
    </w:lvl>
    <w:lvl w:ilvl="8">
      <w:start w:val="1"/>
      <w:numFmt w:val="decimal"/>
      <w:lvlText w:val="%1.%2.%3.%4.%5.%6.%7.%8.%9."/>
      <w:lvlJc w:val="left"/>
      <w:pPr>
        <w:ind w:left="4320" w:hanging="1440"/>
      </w:pPr>
      <w:rPr>
        <w:rFonts w:hint="default"/>
        <w:b w:val="0"/>
        <w:i w:val="0"/>
        <w:color w:val="250E62" w:themeColor="accent1"/>
        <w:sz w:val="22"/>
      </w:rPr>
    </w:lvl>
  </w:abstractNum>
  <w:abstractNum w:abstractNumId="18"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866E13"/>
    <w:multiLevelType w:val="multilevel"/>
    <w:tmpl w:val="6F1AB578"/>
    <w:lvl w:ilvl="0">
      <w:start w:val="1"/>
      <w:numFmt w:val="decimal"/>
      <w:suff w:val="nothing"/>
      <w:lvlText w:val="Chapter %1"/>
      <w:lvlJc w:val="left"/>
      <w:pPr>
        <w:ind w:left="0" w:firstLine="0"/>
      </w:pPr>
      <w:rPr>
        <w:rFonts w:hint="default"/>
        <w:color w:val="009CA6" w:themeColor="accent2"/>
      </w:rPr>
    </w:lvl>
    <w:lvl w:ilvl="1">
      <w:start w:val="1"/>
      <w:numFmt w:val="decimal"/>
      <w:lvlText w:val="%1.%2"/>
      <w:lvlJc w:val="left"/>
      <w:pPr>
        <w:ind w:left="1418" w:hanging="1418"/>
      </w:pPr>
      <w:rPr>
        <w:rFonts w:hint="default"/>
        <w:color w:val="250E62" w:themeColor="accent1"/>
      </w:rPr>
    </w:lvl>
    <w:lvl w:ilvl="2">
      <w:start w:val="1"/>
      <w:numFmt w:val="decimal"/>
      <w:lvlText w:val="%1.%2.%3"/>
      <w:lvlJc w:val="left"/>
      <w:pPr>
        <w:ind w:left="1418" w:hanging="1418"/>
      </w:pPr>
      <w:rPr>
        <w:rFonts w:hint="default"/>
        <w:color w:val="009CA6" w:themeColor="accent2"/>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0"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94B3042"/>
    <w:multiLevelType w:val="multilevel"/>
    <w:tmpl w:val="636C80B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250E62" w:themeColor="accent1"/>
      </w:rPr>
    </w:lvl>
    <w:lvl w:ilvl="2">
      <w:start w:val="1"/>
      <w:numFmt w:val="lowerLetter"/>
      <w:lvlText w:val="%3"/>
      <w:lvlJc w:val="left"/>
      <w:pPr>
        <w:ind w:left="680" w:hanging="340"/>
      </w:pPr>
      <w:rPr>
        <w:rFonts w:hint="default"/>
        <w:color w:val="250E62" w:themeColor="accent1"/>
      </w:rPr>
    </w:lvl>
    <w:lvl w:ilvl="3">
      <w:start w:val="1"/>
      <w:numFmt w:val="lowerRoman"/>
      <w:lvlText w:val="%4"/>
      <w:lvlJc w:val="left"/>
      <w:pPr>
        <w:ind w:left="1021" w:hanging="341"/>
      </w:pPr>
      <w:rPr>
        <w:rFonts w:hint="default"/>
        <w:color w:val="250E62"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6FF67ADD"/>
    <w:multiLevelType w:val="multilevel"/>
    <w:tmpl w:val="92EC0104"/>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250E62"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4" w15:restartNumberingAfterBreak="0">
    <w:nsid w:val="75CF5E10"/>
    <w:multiLevelType w:val="multilevel"/>
    <w:tmpl w:val="72549E40"/>
    <w:lvl w:ilvl="0">
      <w:start w:val="1"/>
      <w:numFmt w:val="decimal"/>
      <w:lvlText w:val="%1"/>
      <w:lvlJc w:val="left"/>
      <w:pPr>
        <w:ind w:left="851" w:hanging="851"/>
      </w:pPr>
      <w:rPr>
        <w:rFonts w:hint="default"/>
        <w:color w:val="636569" w:themeColor="text2"/>
      </w:rPr>
    </w:lvl>
    <w:lvl w:ilvl="1">
      <w:start w:val="1"/>
      <w:numFmt w:val="decimal"/>
      <w:lvlText w:val="%1.%2"/>
      <w:lvlJc w:val="left"/>
      <w:pPr>
        <w:ind w:left="1134" w:hanging="1134"/>
      </w:pPr>
      <w:rPr>
        <w:rFonts w:hint="default"/>
        <w:color w:val="636569" w:themeColor="text2"/>
      </w:rPr>
    </w:lvl>
    <w:lvl w:ilvl="2">
      <w:start w:val="1"/>
      <w:numFmt w:val="decimal"/>
      <w:lvlText w:val="%1.%2.%3"/>
      <w:lvlJc w:val="left"/>
      <w:pPr>
        <w:ind w:left="1418" w:hanging="1418"/>
      </w:pPr>
      <w:rPr>
        <w:rFonts w:hint="default"/>
        <w:color w:val="250E62" w:themeColor="accent1"/>
      </w:rPr>
    </w:lvl>
    <w:lvl w:ilvl="3">
      <w:start w:val="1"/>
      <w:numFmt w:val="none"/>
      <w:lvlRestart w:val="0"/>
      <w:suff w:val="nothing"/>
      <w:lvlText w:val=""/>
      <w:lvlJc w:val="left"/>
      <w:pPr>
        <w:ind w:left="0" w:firstLine="0"/>
      </w:pPr>
      <w:rPr>
        <w:rFonts w:hint="default"/>
        <w:color w:val="636569" w:themeColor="text2"/>
      </w:rPr>
    </w:lvl>
    <w:lvl w:ilvl="4">
      <w:start w:val="1"/>
      <w:numFmt w:val="none"/>
      <w:lvlRestart w:val="0"/>
      <w:suff w:val="nothing"/>
      <w:lvlText w:val=""/>
      <w:lvlJc w:val="left"/>
      <w:pPr>
        <w:ind w:left="0" w:firstLine="0"/>
      </w:pPr>
      <w:rPr>
        <w:rFonts w:hint="default"/>
        <w:color w:val="636569" w:themeColor="text2"/>
      </w:rPr>
    </w:lvl>
    <w:lvl w:ilvl="5">
      <w:start w:val="1"/>
      <w:numFmt w:val="none"/>
      <w:lvlRestart w:val="0"/>
      <w:suff w:val="nothing"/>
      <w:lvlText w:val="%6%4"/>
      <w:lvlJc w:val="left"/>
      <w:pPr>
        <w:ind w:left="0" w:firstLine="0"/>
      </w:pPr>
      <w:rPr>
        <w:rFonts w:hint="default"/>
        <w:color w:val="636569" w:themeColor="text2"/>
      </w:rPr>
    </w:lvl>
    <w:lvl w:ilvl="6">
      <w:start w:val="1"/>
      <w:numFmt w:val="none"/>
      <w:lvlRestart w:val="0"/>
      <w:suff w:val="nothing"/>
      <w:lvlText w:val=""/>
      <w:lvlJc w:val="left"/>
      <w:pPr>
        <w:ind w:left="0" w:firstLine="0"/>
      </w:pPr>
      <w:rPr>
        <w:rFonts w:hint="default"/>
        <w:color w:val="636569" w:themeColor="text2"/>
      </w:rPr>
    </w:lvl>
    <w:lvl w:ilvl="7">
      <w:start w:val="1"/>
      <w:numFmt w:val="none"/>
      <w:lvlRestart w:val="0"/>
      <w:suff w:val="nothing"/>
      <w:lvlText w:val=""/>
      <w:lvlJc w:val="left"/>
      <w:pPr>
        <w:ind w:left="0" w:firstLine="0"/>
      </w:pPr>
      <w:rPr>
        <w:rFonts w:hint="default"/>
        <w:color w:val="636569" w:themeColor="text2"/>
      </w:rPr>
    </w:lvl>
    <w:lvl w:ilvl="8">
      <w:start w:val="1"/>
      <w:numFmt w:val="none"/>
      <w:lvlRestart w:val="0"/>
      <w:suff w:val="nothing"/>
      <w:lvlText w:val=""/>
      <w:lvlJc w:val="left"/>
      <w:pPr>
        <w:ind w:left="0" w:firstLine="0"/>
      </w:pPr>
      <w:rPr>
        <w:rFonts w:hint="default"/>
        <w:color w:val="636569" w:themeColor="text2"/>
      </w:rPr>
    </w:lvl>
  </w:abstractNum>
  <w:abstractNum w:abstractNumId="25"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7"/>
  </w:num>
  <w:num w:numId="3">
    <w:abstractNumId w:val="6"/>
  </w:num>
  <w:num w:numId="4">
    <w:abstractNumId w:val="8"/>
  </w:num>
  <w:num w:numId="5">
    <w:abstractNumId w:val="3"/>
  </w:num>
  <w:num w:numId="6">
    <w:abstractNumId w:val="2"/>
  </w:num>
  <w:num w:numId="7">
    <w:abstractNumId w:val="17"/>
  </w:num>
  <w:num w:numId="8">
    <w:abstractNumId w:val="5"/>
  </w:num>
  <w:num w:numId="9">
    <w:abstractNumId w:val="4"/>
  </w:num>
  <w:num w:numId="10">
    <w:abstractNumId w:val="1"/>
  </w:num>
  <w:num w:numId="11">
    <w:abstractNumId w:val="0"/>
  </w:num>
  <w:num w:numId="12">
    <w:abstractNumId w:val="23"/>
  </w:num>
  <w:num w:numId="13">
    <w:abstractNumId w:val="23"/>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3"/>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pStyle w:val="BodyNumbering1"/>
        <w:lvlText w:val=""/>
        <w:lvlJc w:val="left"/>
        <w:pPr>
          <w:ind w:left="340" w:hanging="340"/>
        </w:pPr>
        <w:rPr>
          <w:rFonts w:ascii="Symbol" w:hAnsi="Symbol" w:hint="default"/>
          <w:color w:val="auto"/>
        </w:rPr>
      </w:lvl>
    </w:lvlOverride>
    <w:lvlOverride w:ilvl="4">
      <w:lvl w:ilvl="4">
        <w:start w:val="1"/>
        <w:numFmt w:val="bullet"/>
        <w:pStyle w:val="BodyNumbering2"/>
        <w:lvlText w:val=""/>
        <w:lvlJc w:val="left"/>
        <w:pPr>
          <w:ind w:left="680" w:hanging="340"/>
        </w:pPr>
        <w:rPr>
          <w:rFonts w:ascii="Symbol" w:hAnsi="Symbol" w:hint="default"/>
          <w:color w:val="auto"/>
        </w:rPr>
      </w:lvl>
    </w:lvlOverride>
    <w:lvlOverride w:ilvl="5">
      <w:lvl w:ilvl="5">
        <w:start w:val="1"/>
        <w:numFmt w:val="none"/>
        <w:pStyle w:val="BodyNumbering3"/>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6"/>
  </w:num>
  <w:num w:numId="16">
    <w:abstractNumId w:val="9"/>
  </w:num>
  <w:num w:numId="17">
    <w:abstractNumId w:val="17"/>
  </w:num>
  <w:num w:numId="18">
    <w:abstractNumId w:val="17"/>
  </w:num>
  <w:num w:numId="19">
    <w:abstractNumId w:val="18"/>
  </w:num>
  <w:num w:numId="20">
    <w:abstractNumId w:val="25"/>
  </w:num>
  <w:num w:numId="21">
    <w:abstractNumId w:val="20"/>
  </w:num>
  <w:num w:numId="22">
    <w:abstractNumId w:val="14"/>
  </w:num>
  <w:num w:numId="23">
    <w:abstractNumId w:val="12"/>
  </w:num>
  <w:num w:numId="24">
    <w:abstractNumId w:val="10"/>
  </w:num>
  <w:num w:numId="25">
    <w:abstractNumId w:val="22"/>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Restart w:val="0"/>
        <w:isLgl/>
        <w:lvlText w:val="%1.%2"/>
        <w:lvlJc w:val="left"/>
        <w:pPr>
          <w:ind w:left="851" w:hanging="851"/>
        </w:pPr>
        <w:rPr>
          <w:rFonts w:hint="default"/>
          <w:color w:val="636569" w:themeColor="text2"/>
        </w:rPr>
      </w:lvl>
    </w:lvlOverride>
    <w:lvlOverride w:ilvl="2">
      <w:lvl w:ilvl="2">
        <w:start w:val="1"/>
        <w:numFmt w:val="decimal"/>
        <w:lvlRestart w:val="0"/>
        <w:isLgl/>
        <w:lvlText w:val="%1.%2.%3"/>
        <w:lvlJc w:val="left"/>
        <w:pPr>
          <w:ind w:left="1021" w:hanging="1021"/>
        </w:pPr>
        <w:rPr>
          <w:rFonts w:hint="default"/>
          <w:color w:val="636569" w:themeColor="text2"/>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decimal"/>
        <w:lvlText w:val="%7"/>
        <w:lvlJc w:val="left"/>
        <w:pPr>
          <w:ind w:left="340" w:hanging="340"/>
        </w:pPr>
        <w:rPr>
          <w:rFonts w:hint="default"/>
          <w:color w:val="250E62" w:themeColor="accent1"/>
        </w:rPr>
      </w:lvl>
    </w:lvlOverride>
    <w:lvlOverride w:ilvl="7">
      <w:lvl w:ilvl="7">
        <w:start w:val="1"/>
        <w:numFmt w:val="lowerLetter"/>
        <w:lvlText w:val="%8"/>
        <w:lvlJc w:val="left"/>
        <w:pPr>
          <w:ind w:left="680" w:hanging="340"/>
        </w:pPr>
        <w:rPr>
          <w:rFonts w:hint="default"/>
          <w:color w:val="250E62" w:themeColor="accent1"/>
        </w:rPr>
      </w:lvl>
    </w:lvlOverride>
    <w:lvlOverride w:ilvl="8">
      <w:lvl w:ilvl="8">
        <w:start w:val="1"/>
        <w:numFmt w:val="lowerRoman"/>
        <w:lvlText w:val="%9"/>
        <w:lvlJc w:val="left"/>
        <w:pPr>
          <w:ind w:left="1021" w:hanging="341"/>
        </w:pPr>
        <w:rPr>
          <w:rFonts w:hint="default"/>
          <w:color w:val="250E62" w:themeColor="accent1"/>
        </w:rPr>
      </w:lvl>
    </w:lvlOverride>
  </w:num>
  <w:num w:numId="29">
    <w:abstractNumId w:val="21"/>
  </w:num>
  <w:num w:numId="30">
    <w:abstractNumId w:val="24"/>
    <w:lvlOverride w:ilvl="0">
      <w:lvl w:ilvl="0">
        <w:start w:val="1"/>
        <w:numFmt w:val="decimal"/>
        <w:lvlText w:val="%1"/>
        <w:lvlJc w:val="left"/>
        <w:pPr>
          <w:ind w:left="851" w:hanging="851"/>
        </w:pPr>
        <w:rPr>
          <w:rFonts w:hint="default"/>
          <w:color w:val="636569" w:themeColor="text2"/>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636569" w:themeColor="text2"/>
        </w:rPr>
      </w:lvl>
    </w:lvlOverride>
    <w:lvlOverride w:ilvl="3">
      <w:lvl w:ilvl="3">
        <w:start w:val="1"/>
        <w:numFmt w:val="none"/>
        <w:suff w:val="nothing"/>
        <w:lvlText w:val=""/>
        <w:lvlJc w:val="left"/>
        <w:pPr>
          <w:ind w:left="0" w:firstLine="0"/>
        </w:pPr>
        <w:rPr>
          <w:rFonts w:hint="default"/>
          <w:color w:val="636569" w:themeColor="text2"/>
        </w:rPr>
      </w:lvl>
    </w:lvlOverride>
    <w:lvlOverride w:ilvl="4">
      <w:lvl w:ilvl="4">
        <w:start w:val="1"/>
        <w:numFmt w:val="none"/>
        <w:suff w:val="nothing"/>
        <w:lvlText w:val=""/>
        <w:lvlJc w:val="left"/>
        <w:pPr>
          <w:ind w:left="851" w:hanging="851"/>
        </w:pPr>
        <w:rPr>
          <w:rFonts w:hint="default"/>
          <w:color w:val="636569" w:themeColor="text2"/>
        </w:rPr>
      </w:lvl>
    </w:lvlOverride>
    <w:lvlOverride w:ilvl="5">
      <w:lvl w:ilvl="5">
        <w:start w:val="1"/>
        <w:numFmt w:val="decimal"/>
        <w:suff w:val="nothing"/>
        <w:lvlText w:val="%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decimal"/>
        <w:lvlRestart w:val="0"/>
        <w:suff w:val="nothing"/>
        <w:lvlText w:val="%7"/>
        <w:lvlJc w:val="left"/>
        <w:pPr>
          <w:ind w:left="0" w:firstLine="0"/>
        </w:pPr>
        <w:rPr>
          <w:rFonts w:hint="default"/>
          <w:color w:val="636569" w:themeColor="text2"/>
        </w:rPr>
      </w:lvl>
    </w:lvlOverride>
    <w:lvlOverride w:ilvl="8">
      <w:lvl w:ilvl="8">
        <w:start w:val="1"/>
        <w:numFmt w:val="decimal"/>
        <w:lvlRestart w:val="0"/>
        <w:suff w:val="nothing"/>
        <w:lvlText w:val="%7"/>
        <w:lvlJc w:val="left"/>
        <w:pPr>
          <w:ind w:left="0" w:firstLine="0"/>
        </w:pPr>
        <w:rPr>
          <w:rFonts w:hint="default"/>
          <w:color w:val="636569" w:themeColor="text2"/>
        </w:rPr>
      </w:lvl>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lvl w:ilvl="0">
        <w:start w:val="1"/>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250E62"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 w:ilvl="0">
        <w:start w:val="10"/>
        <w:numFmt w:val="decimal"/>
        <w:lvlText w:val="%1"/>
        <w:lvlJc w:val="left"/>
        <w:pPr>
          <w:ind w:left="851" w:hanging="851"/>
        </w:pPr>
        <w:rPr>
          <w:rFonts w:hint="default"/>
          <w:color w:val="B6BE34"/>
        </w:rPr>
      </w:lvl>
    </w:lvlOverride>
    <w:lvlOverride w:ilvl="1">
      <w:lvl w:ilvl="1">
        <w:start w:val="1"/>
        <w:numFmt w:val="decimal"/>
        <w:lvlText w:val="%1.%2"/>
        <w:lvlJc w:val="left"/>
        <w:pPr>
          <w:ind w:left="851" w:hanging="851"/>
        </w:pPr>
        <w:rPr>
          <w:rFonts w:hint="default"/>
          <w:color w:val="636569" w:themeColor="text2"/>
        </w:rPr>
      </w:lvl>
    </w:lvlOverride>
    <w:lvlOverride w:ilvl="2">
      <w:lvl w:ilvl="2">
        <w:start w:val="1"/>
        <w:numFmt w:val="decimal"/>
        <w:lvlText w:val="%1.%2.%3"/>
        <w:lvlJc w:val="left"/>
        <w:pPr>
          <w:ind w:left="1021" w:hanging="1021"/>
        </w:pPr>
        <w:rPr>
          <w:rFonts w:hint="default"/>
          <w:color w:val="250E62"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35">
    <w:abstractNumId w:val="15"/>
  </w:num>
  <w:num w:numId="36">
    <w:abstractNumId w:val="24"/>
    <w:lvlOverride w:ilvl="0">
      <w:startOverride w:val="10"/>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lvlOverride w:ilvl="0">
      <w:startOverride w:val="10"/>
      <w:lvl w:ilvl="0">
        <w:start w:val="10"/>
        <w:numFmt w:val="decimal"/>
        <w:lvlText w:val="%1"/>
        <w:lvlJc w:val="left"/>
        <w:pPr>
          <w:ind w:left="851" w:hanging="851"/>
        </w:pPr>
        <w:rPr>
          <w:rFonts w:hint="default"/>
          <w:color w:val="B6BE34"/>
        </w:rPr>
      </w:lvl>
    </w:lvlOverride>
    <w:lvlOverride w:ilvl="1">
      <w:startOverride w:val="10"/>
      <w:lvl w:ilvl="1">
        <w:start w:val="10"/>
        <w:numFmt w:val="decimal"/>
        <w:lvlText w:val="%1.%2"/>
        <w:lvlJc w:val="left"/>
        <w:pPr>
          <w:ind w:left="851" w:hanging="851"/>
        </w:pPr>
        <w:rPr>
          <w:rFonts w:hint="default"/>
          <w:color w:val="636569" w:themeColor="text2"/>
        </w:rPr>
      </w:lvl>
    </w:lvlOverride>
    <w:lvlOverride w:ilvl="2">
      <w:startOverride w:val="10"/>
      <w:lvl w:ilvl="2">
        <w:start w:val="10"/>
        <w:numFmt w:val="decimal"/>
        <w:lvlText w:val="%1.%2.%3"/>
        <w:lvlJc w:val="left"/>
        <w:pPr>
          <w:ind w:left="1021" w:hanging="1021"/>
        </w:pPr>
        <w:rPr>
          <w:rFonts w:hint="default"/>
          <w:color w:val="250E62" w:themeColor="accent1"/>
        </w:rPr>
      </w:lvl>
    </w:lvlOverride>
    <w:lvlOverride w:ilvl="3">
      <w:startOverride w:val="1"/>
      <w:lvl w:ilvl="3">
        <w:start w:val="1"/>
        <w:numFmt w:val="none"/>
        <w:lvlRestart w:val="0"/>
        <w:suff w:val="nothing"/>
        <w:lvlText w:val=""/>
        <w:lvlJc w:val="left"/>
        <w:pPr>
          <w:ind w:left="0" w:firstLine="0"/>
        </w:pPr>
        <w:rPr>
          <w:rFonts w:hint="default"/>
          <w:color w:val="636569" w:themeColor="text2"/>
        </w:rPr>
      </w:lvl>
    </w:lvlOverride>
    <w:lvlOverride w:ilvl="4">
      <w:startOverride w:val="1"/>
      <w:lvl w:ilvl="4">
        <w:start w:val="1"/>
        <w:numFmt w:val="none"/>
        <w:lvlRestart w:val="0"/>
        <w:suff w:val="nothing"/>
        <w:lvlText w:val=""/>
        <w:lvlJc w:val="left"/>
        <w:pPr>
          <w:ind w:left="0" w:firstLine="0"/>
        </w:pPr>
        <w:rPr>
          <w:rFonts w:hint="default"/>
          <w:color w:val="636569" w:themeColor="text2"/>
        </w:rPr>
      </w:lvl>
    </w:lvlOverride>
    <w:lvlOverride w:ilvl="5">
      <w:startOverride w:val="1"/>
      <w:lvl w:ilvl="5">
        <w:start w:val="1"/>
        <w:numFmt w:val="none"/>
        <w:lvlRestart w:val="0"/>
        <w:suff w:val="nothing"/>
        <w:lvlText w:val="%6%4"/>
        <w:lvlJc w:val="left"/>
        <w:pPr>
          <w:ind w:left="0" w:firstLine="0"/>
        </w:pPr>
        <w:rPr>
          <w:rFonts w:hint="default"/>
          <w:color w:val="636569" w:themeColor="text2"/>
        </w:rPr>
      </w:lvl>
    </w:lvlOverride>
    <w:lvlOverride w:ilvl="6">
      <w:startOverride w:val="1"/>
      <w:lvl w:ilvl="6">
        <w:start w:val="1"/>
        <w:numFmt w:val="none"/>
        <w:lvlRestart w:val="0"/>
        <w:suff w:val="nothing"/>
        <w:lvlText w:val=""/>
        <w:lvlJc w:val="left"/>
        <w:pPr>
          <w:ind w:left="0" w:firstLine="0"/>
        </w:pPr>
        <w:rPr>
          <w:rFonts w:hint="default"/>
          <w:color w:val="636569" w:themeColor="text2"/>
        </w:rPr>
      </w:lvl>
    </w:lvlOverride>
    <w:lvlOverride w:ilvl="7">
      <w:startOverride w:val="1"/>
      <w:lvl w:ilvl="7">
        <w:start w:val="1"/>
        <w:numFmt w:val="none"/>
        <w:lvlRestart w:val="0"/>
        <w:suff w:val="nothing"/>
        <w:lvlText w:val=""/>
        <w:lvlJc w:val="left"/>
        <w:pPr>
          <w:ind w:left="0" w:firstLine="0"/>
        </w:pPr>
        <w:rPr>
          <w:rFonts w:hint="default"/>
          <w:color w:val="636569" w:themeColor="text2"/>
        </w:rPr>
      </w:lvl>
    </w:lvlOverride>
    <w:lvlOverride w:ilvl="8">
      <w:startOverride w:val="1"/>
      <w:lvl w:ilvl="8">
        <w:start w:val="1"/>
        <w:numFmt w:val="none"/>
        <w:lvlRestart w:val="0"/>
        <w:suff w:val="nothing"/>
        <w:lvlText w:val=""/>
        <w:lvlJc w:val="left"/>
        <w:pPr>
          <w:ind w:left="0" w:firstLine="0"/>
        </w:pPr>
        <w:rPr>
          <w:rFonts w:hint="default"/>
          <w:color w:val="636569" w:themeColor="text2"/>
        </w:rPr>
      </w:lvl>
    </w:lvlOverride>
  </w:num>
  <w:num w:numId="38">
    <w:abstractNumId w:val="24"/>
  </w:num>
  <w:num w:numId="39">
    <w:abstractNumId w:val="24"/>
    <w:lvlOverride w:ilvl="0">
      <w:lvl w:ilvl="0">
        <w:start w:val="10"/>
        <w:numFmt w:val="decimal"/>
        <w:lvlText w:val="%1"/>
        <w:lvlJc w:val="left"/>
        <w:pPr>
          <w:ind w:left="851" w:hanging="851"/>
        </w:pPr>
        <w:rPr>
          <w:rFonts w:hint="default"/>
          <w:color w:val="B6BE34"/>
        </w:rPr>
      </w:lvl>
    </w:lvlOverride>
    <w:lvlOverride w:ilvl="1">
      <w:lvl w:ilvl="1">
        <w:start w:val="10"/>
        <w:numFmt w:val="decimal"/>
        <w:lvlText w:val="%1.%2"/>
        <w:lvlJc w:val="left"/>
        <w:pPr>
          <w:ind w:left="851" w:hanging="851"/>
        </w:pPr>
        <w:rPr>
          <w:rFonts w:hint="default"/>
          <w:color w:val="636569" w:themeColor="text2"/>
        </w:rPr>
      </w:lvl>
    </w:lvlOverride>
    <w:lvlOverride w:ilvl="2">
      <w:lvl w:ilvl="2">
        <w:start w:val="10"/>
        <w:numFmt w:val="decimal"/>
        <w:lvlText w:val="%1.%2.%3"/>
        <w:lvlJc w:val="left"/>
        <w:pPr>
          <w:ind w:left="1361" w:hanging="1361"/>
        </w:pPr>
        <w:rPr>
          <w:rFonts w:hint="default"/>
          <w:color w:val="250E62" w:themeColor="accent1"/>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0">
    <w:abstractNumId w:val="24"/>
  </w:num>
  <w:num w:numId="41">
    <w:abstractNumId w:val="24"/>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13"/>
  </w:num>
  <w:num w:numId="44">
    <w:abstractNumId w:val="13"/>
    <w:lvlOverride w:ilvl="0">
      <w:lvl w:ilvl="0">
        <w:start w:val="27"/>
        <w:numFmt w:val="decimal"/>
        <w:pStyle w:val="Heading1"/>
        <w:lvlText w:val="Chapter %1"/>
        <w:lvlJc w:val="left"/>
        <w:pPr>
          <w:tabs>
            <w:tab w:val="num" w:pos="9072"/>
          </w:tabs>
          <w:ind w:left="0" w:firstLine="0"/>
        </w:pPr>
        <w:rPr>
          <w:rFonts w:hint="default"/>
          <w:color w:val="009CA6" w:themeColor="accent2"/>
        </w:rPr>
      </w:lvl>
    </w:lvlOverride>
    <w:lvlOverride w:ilvl="1">
      <w:lvl w:ilvl="1">
        <w:start w:val="1"/>
        <w:numFmt w:val="decimal"/>
        <w:pStyle w:val="Heading2"/>
        <w:lvlText w:val="%1.%2"/>
        <w:lvlJc w:val="left"/>
        <w:pPr>
          <w:ind w:left="1418" w:hanging="1418"/>
        </w:pPr>
        <w:rPr>
          <w:rFonts w:hint="default"/>
          <w:color w:val="250E62" w:themeColor="accent1"/>
        </w:rPr>
      </w:lvl>
    </w:lvlOverride>
    <w:lvlOverride w:ilvl="2">
      <w:lvl w:ilvl="2">
        <w:start w:val="1"/>
        <w:numFmt w:val="decimal"/>
        <w:pStyle w:val="Heading3"/>
        <w:lvlText w:val="%1.%2.%3"/>
        <w:lvlJc w:val="left"/>
        <w:pPr>
          <w:ind w:left="1418" w:hanging="1418"/>
        </w:pPr>
        <w:rPr>
          <w:rFonts w:hint="default"/>
          <w:color w:val="009CA6" w:themeColor="accent2"/>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5">
    <w:abstractNumId w:val="19"/>
  </w:num>
  <w:num w:numId="46">
    <w:abstractNumId w:val="13"/>
  </w:num>
  <w:num w:numId="47">
    <w:abstractNumId w:val="13"/>
    <w:lvlOverride w:ilvl="0">
      <w:lvl w:ilvl="0">
        <w:start w:val="1"/>
        <w:numFmt w:val="decimal"/>
        <w:pStyle w:val="Heading1"/>
        <w:lvlText w:val="Chapter %1"/>
        <w:lvlJc w:val="right"/>
        <w:pPr>
          <w:tabs>
            <w:tab w:val="num" w:pos="0"/>
          </w:tabs>
          <w:ind w:left="0" w:firstLine="0"/>
        </w:pPr>
        <w:rPr>
          <w:rFonts w:hint="default"/>
          <w:color w:val="FFFFFF" w:themeColor="background1"/>
          <w:sz w:val="16"/>
        </w:rPr>
      </w:lvl>
    </w:lvlOverride>
    <w:lvlOverride w:ilvl="1">
      <w:lvl w:ilvl="1">
        <w:start w:val="1"/>
        <w:numFmt w:val="none"/>
        <w:pStyle w:val="Heading2"/>
        <w:suff w:val="nothing"/>
        <w:lvlText w:val=""/>
        <w:lvlJc w:val="left"/>
        <w:pPr>
          <w:ind w:left="0" w:firstLine="0"/>
        </w:pPr>
        <w:rPr>
          <w:rFonts w:hint="default"/>
          <w:color w:val="250E62" w:themeColor="accent1"/>
        </w:rPr>
      </w:lvl>
    </w:lvlOverride>
    <w:lvlOverride w:ilvl="2">
      <w:lvl w:ilvl="2">
        <w:start w:val="1"/>
        <w:numFmt w:val="decimal"/>
        <w:pStyle w:val="Heading3"/>
        <w:lvlText w:val="%1.%2.%3"/>
        <w:lvlJc w:val="left"/>
        <w:pPr>
          <w:ind w:left="1418" w:hanging="1418"/>
        </w:pPr>
        <w:rPr>
          <w:rFonts w:hint="default"/>
          <w:color w:val="009CA6" w:themeColor="accent2"/>
        </w:rPr>
      </w:lvl>
    </w:lvlOverride>
    <w:lvlOverride w:ilvl="3">
      <w:lvl w:ilvl="3">
        <w:start w:val="1"/>
        <w:numFmt w:val="none"/>
        <w:lvlRestart w:val="0"/>
        <w:suff w:val="nothing"/>
        <w:lvlText w:val=""/>
        <w:lvlJc w:val="left"/>
        <w:pPr>
          <w:ind w:left="0" w:firstLine="0"/>
        </w:pPr>
        <w:rPr>
          <w:rFonts w:hint="default"/>
          <w:color w:val="636569" w:themeColor="text2"/>
        </w:rPr>
      </w:lvl>
    </w:lvlOverride>
    <w:lvlOverride w:ilvl="4">
      <w:lvl w:ilvl="4">
        <w:start w:val="1"/>
        <w:numFmt w:val="none"/>
        <w:lvlRestart w:val="0"/>
        <w:suff w:val="nothing"/>
        <w:lvlText w:val=""/>
        <w:lvlJc w:val="left"/>
        <w:pPr>
          <w:ind w:left="0" w:firstLine="0"/>
        </w:pPr>
        <w:rPr>
          <w:rFonts w:hint="default"/>
          <w:color w:val="636569" w:themeColor="text2"/>
        </w:rPr>
      </w:lvl>
    </w:lvlOverride>
    <w:lvlOverride w:ilvl="5">
      <w:lvl w:ilvl="5">
        <w:start w:val="1"/>
        <w:numFmt w:val="none"/>
        <w:lvlRestart w:val="0"/>
        <w:suff w:val="nothing"/>
        <w:lvlText w:val="%6%4"/>
        <w:lvlJc w:val="left"/>
        <w:pPr>
          <w:ind w:left="0" w:firstLine="0"/>
        </w:pPr>
        <w:rPr>
          <w:rFonts w:hint="default"/>
          <w:color w:val="636569" w:themeColor="text2"/>
        </w:rPr>
      </w:lvl>
    </w:lvlOverride>
    <w:lvlOverride w:ilvl="6">
      <w:lvl w:ilvl="6">
        <w:start w:val="1"/>
        <w:numFmt w:val="none"/>
        <w:lvlRestart w:val="0"/>
        <w:suff w:val="nothing"/>
        <w:lvlText w:val=""/>
        <w:lvlJc w:val="left"/>
        <w:pPr>
          <w:ind w:left="0" w:firstLine="0"/>
        </w:pPr>
        <w:rPr>
          <w:rFonts w:hint="default"/>
          <w:color w:val="636569" w:themeColor="text2"/>
        </w:rPr>
      </w:lvl>
    </w:lvlOverride>
    <w:lvlOverride w:ilvl="7">
      <w:lvl w:ilvl="7">
        <w:start w:val="1"/>
        <w:numFmt w:val="none"/>
        <w:lvlRestart w:val="0"/>
        <w:suff w:val="nothing"/>
        <w:lvlText w:val=""/>
        <w:lvlJc w:val="left"/>
        <w:pPr>
          <w:ind w:left="0" w:firstLine="0"/>
        </w:pPr>
        <w:rPr>
          <w:rFonts w:hint="default"/>
          <w:color w:val="636569" w:themeColor="text2"/>
        </w:rPr>
      </w:lvl>
    </w:lvlOverride>
    <w:lvlOverride w:ilvl="8">
      <w:lvl w:ilvl="8">
        <w:start w:val="1"/>
        <w:numFmt w:val="none"/>
        <w:lvlRestart w:val="0"/>
        <w:suff w:val="nothing"/>
        <w:lvlText w:val=""/>
        <w:lvlJc w:val="left"/>
        <w:pPr>
          <w:ind w:left="0" w:firstLine="0"/>
        </w:pPr>
        <w:rPr>
          <w:rFonts w:hint="default"/>
          <w:color w:val="636569" w:themeColor="text2"/>
        </w:rPr>
      </w:lvl>
    </w:lvlOverride>
  </w:num>
  <w:num w:numId="48">
    <w:abstractNumId w:val="13"/>
  </w:num>
  <w:num w:numId="49">
    <w:abstractNumId w:val="1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17D"/>
    <w:rsid w:val="00003622"/>
    <w:rsid w:val="00013A54"/>
    <w:rsid w:val="00013C24"/>
    <w:rsid w:val="00014A01"/>
    <w:rsid w:val="00017047"/>
    <w:rsid w:val="00021CEC"/>
    <w:rsid w:val="00023787"/>
    <w:rsid w:val="00025963"/>
    <w:rsid w:val="000267FC"/>
    <w:rsid w:val="00027A10"/>
    <w:rsid w:val="00027AFC"/>
    <w:rsid w:val="00030198"/>
    <w:rsid w:val="000303C6"/>
    <w:rsid w:val="0003047D"/>
    <w:rsid w:val="00035088"/>
    <w:rsid w:val="00036C14"/>
    <w:rsid w:val="00037D07"/>
    <w:rsid w:val="0004094D"/>
    <w:rsid w:val="00044695"/>
    <w:rsid w:val="0004776D"/>
    <w:rsid w:val="00047F4F"/>
    <w:rsid w:val="00050AF0"/>
    <w:rsid w:val="00052CFD"/>
    <w:rsid w:val="00053ED4"/>
    <w:rsid w:val="00056FDF"/>
    <w:rsid w:val="00062416"/>
    <w:rsid w:val="000639E5"/>
    <w:rsid w:val="00070A2B"/>
    <w:rsid w:val="000743CC"/>
    <w:rsid w:val="0007669C"/>
    <w:rsid w:val="00080123"/>
    <w:rsid w:val="00083077"/>
    <w:rsid w:val="00093962"/>
    <w:rsid w:val="00095E7F"/>
    <w:rsid w:val="0009622D"/>
    <w:rsid w:val="000A247E"/>
    <w:rsid w:val="000A2DFD"/>
    <w:rsid w:val="000A4DFB"/>
    <w:rsid w:val="000A5229"/>
    <w:rsid w:val="000A554C"/>
    <w:rsid w:val="000A661C"/>
    <w:rsid w:val="000A6F16"/>
    <w:rsid w:val="000B5B9F"/>
    <w:rsid w:val="000B5D48"/>
    <w:rsid w:val="000B7555"/>
    <w:rsid w:val="000C0031"/>
    <w:rsid w:val="000C2020"/>
    <w:rsid w:val="000C292E"/>
    <w:rsid w:val="000C2DBD"/>
    <w:rsid w:val="000C3A8D"/>
    <w:rsid w:val="000C4409"/>
    <w:rsid w:val="000C5AB3"/>
    <w:rsid w:val="000C6688"/>
    <w:rsid w:val="000C7A90"/>
    <w:rsid w:val="000D16A5"/>
    <w:rsid w:val="000D255B"/>
    <w:rsid w:val="000D2A7B"/>
    <w:rsid w:val="000D4CE8"/>
    <w:rsid w:val="000D789E"/>
    <w:rsid w:val="000E0B71"/>
    <w:rsid w:val="000E0DC4"/>
    <w:rsid w:val="000E1DAB"/>
    <w:rsid w:val="000E1F0E"/>
    <w:rsid w:val="000F0446"/>
    <w:rsid w:val="000F060A"/>
    <w:rsid w:val="000F1992"/>
    <w:rsid w:val="000F2147"/>
    <w:rsid w:val="000F3515"/>
    <w:rsid w:val="000F42C0"/>
    <w:rsid w:val="000F5477"/>
    <w:rsid w:val="000F6123"/>
    <w:rsid w:val="000F65AF"/>
    <w:rsid w:val="001078E8"/>
    <w:rsid w:val="001130DB"/>
    <w:rsid w:val="001153F6"/>
    <w:rsid w:val="0011570F"/>
    <w:rsid w:val="00116DDF"/>
    <w:rsid w:val="00117B0A"/>
    <w:rsid w:val="00120813"/>
    <w:rsid w:val="00120DF1"/>
    <w:rsid w:val="00122255"/>
    <w:rsid w:val="00122FCC"/>
    <w:rsid w:val="00123162"/>
    <w:rsid w:val="001234E9"/>
    <w:rsid w:val="00124240"/>
    <w:rsid w:val="00124A1C"/>
    <w:rsid w:val="0012791D"/>
    <w:rsid w:val="001320D7"/>
    <w:rsid w:val="0013218F"/>
    <w:rsid w:val="001331C9"/>
    <w:rsid w:val="00142291"/>
    <w:rsid w:val="00144BBA"/>
    <w:rsid w:val="00147E56"/>
    <w:rsid w:val="001503D3"/>
    <w:rsid w:val="00150F46"/>
    <w:rsid w:val="00153CF5"/>
    <w:rsid w:val="00154355"/>
    <w:rsid w:val="001552A9"/>
    <w:rsid w:val="001574D4"/>
    <w:rsid w:val="00157ECB"/>
    <w:rsid w:val="00161FE6"/>
    <w:rsid w:val="00163CED"/>
    <w:rsid w:val="001668AB"/>
    <w:rsid w:val="00172168"/>
    <w:rsid w:val="00172886"/>
    <w:rsid w:val="00173811"/>
    <w:rsid w:val="00174C76"/>
    <w:rsid w:val="00174E12"/>
    <w:rsid w:val="001775A3"/>
    <w:rsid w:val="00181925"/>
    <w:rsid w:val="00181A7E"/>
    <w:rsid w:val="00192F51"/>
    <w:rsid w:val="0019472B"/>
    <w:rsid w:val="00196EC8"/>
    <w:rsid w:val="001976D2"/>
    <w:rsid w:val="00197EFB"/>
    <w:rsid w:val="001A181E"/>
    <w:rsid w:val="001A7160"/>
    <w:rsid w:val="001A75E1"/>
    <w:rsid w:val="001A76AF"/>
    <w:rsid w:val="001B30F7"/>
    <w:rsid w:val="001B4565"/>
    <w:rsid w:val="001B515C"/>
    <w:rsid w:val="001B7703"/>
    <w:rsid w:val="001C1A26"/>
    <w:rsid w:val="001C1E5B"/>
    <w:rsid w:val="001C3F61"/>
    <w:rsid w:val="001C5EC2"/>
    <w:rsid w:val="001C6171"/>
    <w:rsid w:val="001D15FC"/>
    <w:rsid w:val="001D25DA"/>
    <w:rsid w:val="001D3B17"/>
    <w:rsid w:val="001D5F37"/>
    <w:rsid w:val="001D6464"/>
    <w:rsid w:val="001D6F2D"/>
    <w:rsid w:val="001E013A"/>
    <w:rsid w:val="001E11E4"/>
    <w:rsid w:val="001E2899"/>
    <w:rsid w:val="001E7FC7"/>
    <w:rsid w:val="001F3F88"/>
    <w:rsid w:val="001F571B"/>
    <w:rsid w:val="001F6DF9"/>
    <w:rsid w:val="001F76EB"/>
    <w:rsid w:val="00201900"/>
    <w:rsid w:val="002021BF"/>
    <w:rsid w:val="00204EE2"/>
    <w:rsid w:val="00207206"/>
    <w:rsid w:val="00207F25"/>
    <w:rsid w:val="00212BA8"/>
    <w:rsid w:val="002134B1"/>
    <w:rsid w:val="00213EDF"/>
    <w:rsid w:val="002142B2"/>
    <w:rsid w:val="00217987"/>
    <w:rsid w:val="00220CDD"/>
    <w:rsid w:val="002215C7"/>
    <w:rsid w:val="00222DEB"/>
    <w:rsid w:val="00224E65"/>
    <w:rsid w:val="00231721"/>
    <w:rsid w:val="00237A77"/>
    <w:rsid w:val="0024199C"/>
    <w:rsid w:val="002428EE"/>
    <w:rsid w:val="00245DF1"/>
    <w:rsid w:val="00247065"/>
    <w:rsid w:val="00247807"/>
    <w:rsid w:val="002500AE"/>
    <w:rsid w:val="0025023D"/>
    <w:rsid w:val="00253B4A"/>
    <w:rsid w:val="0025542C"/>
    <w:rsid w:val="002558B5"/>
    <w:rsid w:val="002561AD"/>
    <w:rsid w:val="0025787E"/>
    <w:rsid w:val="002609FD"/>
    <w:rsid w:val="00261F88"/>
    <w:rsid w:val="00265073"/>
    <w:rsid w:val="0027245C"/>
    <w:rsid w:val="00277214"/>
    <w:rsid w:val="00277AF5"/>
    <w:rsid w:val="002811F9"/>
    <w:rsid w:val="00281BBF"/>
    <w:rsid w:val="00282B57"/>
    <w:rsid w:val="00283B87"/>
    <w:rsid w:val="002867A7"/>
    <w:rsid w:val="00287D24"/>
    <w:rsid w:val="00292D2A"/>
    <w:rsid w:val="0029345C"/>
    <w:rsid w:val="00294280"/>
    <w:rsid w:val="00294914"/>
    <w:rsid w:val="0029614E"/>
    <w:rsid w:val="002A05B1"/>
    <w:rsid w:val="002A4AF1"/>
    <w:rsid w:val="002B282F"/>
    <w:rsid w:val="002B4B77"/>
    <w:rsid w:val="002B65E9"/>
    <w:rsid w:val="002B6EF0"/>
    <w:rsid w:val="002C1713"/>
    <w:rsid w:val="002C2990"/>
    <w:rsid w:val="002C555F"/>
    <w:rsid w:val="002C6E43"/>
    <w:rsid w:val="002D1CB1"/>
    <w:rsid w:val="002D22B9"/>
    <w:rsid w:val="002D310F"/>
    <w:rsid w:val="002D3A61"/>
    <w:rsid w:val="002D6B00"/>
    <w:rsid w:val="002D6BA2"/>
    <w:rsid w:val="002D6F53"/>
    <w:rsid w:val="002E0392"/>
    <w:rsid w:val="002E2BC7"/>
    <w:rsid w:val="002E3267"/>
    <w:rsid w:val="002E3E20"/>
    <w:rsid w:val="002E6F57"/>
    <w:rsid w:val="002E71FE"/>
    <w:rsid w:val="002F12AE"/>
    <w:rsid w:val="002F2EB9"/>
    <w:rsid w:val="002F30E8"/>
    <w:rsid w:val="002F4826"/>
    <w:rsid w:val="00302352"/>
    <w:rsid w:val="00302F49"/>
    <w:rsid w:val="003103FD"/>
    <w:rsid w:val="003108F5"/>
    <w:rsid w:val="003109B3"/>
    <w:rsid w:val="00312040"/>
    <w:rsid w:val="0031364F"/>
    <w:rsid w:val="00315FBA"/>
    <w:rsid w:val="0031787A"/>
    <w:rsid w:val="00320991"/>
    <w:rsid w:val="00320D25"/>
    <w:rsid w:val="00321B47"/>
    <w:rsid w:val="00322D89"/>
    <w:rsid w:val="00323E9D"/>
    <w:rsid w:val="00330D1A"/>
    <w:rsid w:val="0033435B"/>
    <w:rsid w:val="00335809"/>
    <w:rsid w:val="003365C1"/>
    <w:rsid w:val="00341E0F"/>
    <w:rsid w:val="00344BFD"/>
    <w:rsid w:val="00345701"/>
    <w:rsid w:val="003461B7"/>
    <w:rsid w:val="003524A6"/>
    <w:rsid w:val="00353BBB"/>
    <w:rsid w:val="00354199"/>
    <w:rsid w:val="003547C0"/>
    <w:rsid w:val="00355BCD"/>
    <w:rsid w:val="00355C68"/>
    <w:rsid w:val="003565B0"/>
    <w:rsid w:val="00356F63"/>
    <w:rsid w:val="0036083B"/>
    <w:rsid w:val="00370C55"/>
    <w:rsid w:val="003727C6"/>
    <w:rsid w:val="003759DA"/>
    <w:rsid w:val="00376061"/>
    <w:rsid w:val="0037677C"/>
    <w:rsid w:val="00377F14"/>
    <w:rsid w:val="00380F3F"/>
    <w:rsid w:val="00383BEB"/>
    <w:rsid w:val="00390E2D"/>
    <w:rsid w:val="00393047"/>
    <w:rsid w:val="003975FE"/>
    <w:rsid w:val="003A004E"/>
    <w:rsid w:val="003A3039"/>
    <w:rsid w:val="003A3A68"/>
    <w:rsid w:val="003A7F4E"/>
    <w:rsid w:val="003B1121"/>
    <w:rsid w:val="003B21EE"/>
    <w:rsid w:val="003B2660"/>
    <w:rsid w:val="003B34B4"/>
    <w:rsid w:val="003B4C23"/>
    <w:rsid w:val="003C0DA8"/>
    <w:rsid w:val="003C1A84"/>
    <w:rsid w:val="003C5558"/>
    <w:rsid w:val="003D10B7"/>
    <w:rsid w:val="003D266F"/>
    <w:rsid w:val="003D303F"/>
    <w:rsid w:val="003D4975"/>
    <w:rsid w:val="003D71C8"/>
    <w:rsid w:val="003D7E5A"/>
    <w:rsid w:val="003E1380"/>
    <w:rsid w:val="003E15AE"/>
    <w:rsid w:val="003E1CBD"/>
    <w:rsid w:val="003E7DA4"/>
    <w:rsid w:val="003F1CA7"/>
    <w:rsid w:val="003F420F"/>
    <w:rsid w:val="003F47AB"/>
    <w:rsid w:val="003F6A1C"/>
    <w:rsid w:val="003F7E5E"/>
    <w:rsid w:val="00402D0A"/>
    <w:rsid w:val="00402D84"/>
    <w:rsid w:val="0040469E"/>
    <w:rsid w:val="00405331"/>
    <w:rsid w:val="00406CA3"/>
    <w:rsid w:val="00406CDC"/>
    <w:rsid w:val="00411981"/>
    <w:rsid w:val="00411AF1"/>
    <w:rsid w:val="00415AEA"/>
    <w:rsid w:val="00417616"/>
    <w:rsid w:val="00421148"/>
    <w:rsid w:val="0042310B"/>
    <w:rsid w:val="004242AE"/>
    <w:rsid w:val="00424A7C"/>
    <w:rsid w:val="00426DFE"/>
    <w:rsid w:val="00432957"/>
    <w:rsid w:val="00443EA8"/>
    <w:rsid w:val="00444EF7"/>
    <w:rsid w:val="00445489"/>
    <w:rsid w:val="004466F3"/>
    <w:rsid w:val="00446C4A"/>
    <w:rsid w:val="00446F27"/>
    <w:rsid w:val="00446F35"/>
    <w:rsid w:val="0044779F"/>
    <w:rsid w:val="00447F9D"/>
    <w:rsid w:val="00452575"/>
    <w:rsid w:val="00455F4F"/>
    <w:rsid w:val="00462270"/>
    <w:rsid w:val="00464C87"/>
    <w:rsid w:val="004655E6"/>
    <w:rsid w:val="004700A2"/>
    <w:rsid w:val="004733D1"/>
    <w:rsid w:val="0047403B"/>
    <w:rsid w:val="00476551"/>
    <w:rsid w:val="00477850"/>
    <w:rsid w:val="00483363"/>
    <w:rsid w:val="004837F4"/>
    <w:rsid w:val="00483C20"/>
    <w:rsid w:val="00483FAB"/>
    <w:rsid w:val="00485503"/>
    <w:rsid w:val="00485C9D"/>
    <w:rsid w:val="00486313"/>
    <w:rsid w:val="00486F0E"/>
    <w:rsid w:val="00487846"/>
    <w:rsid w:val="00495B17"/>
    <w:rsid w:val="00497842"/>
    <w:rsid w:val="004A1755"/>
    <w:rsid w:val="004A1A93"/>
    <w:rsid w:val="004A25A9"/>
    <w:rsid w:val="004A32BF"/>
    <w:rsid w:val="004A505C"/>
    <w:rsid w:val="004A55F8"/>
    <w:rsid w:val="004A635F"/>
    <w:rsid w:val="004A71F6"/>
    <w:rsid w:val="004A7265"/>
    <w:rsid w:val="004B02C2"/>
    <w:rsid w:val="004B4494"/>
    <w:rsid w:val="004B5A0E"/>
    <w:rsid w:val="004B6B78"/>
    <w:rsid w:val="004C02F1"/>
    <w:rsid w:val="004C1CD1"/>
    <w:rsid w:val="004C3157"/>
    <w:rsid w:val="004C3C0E"/>
    <w:rsid w:val="004C5028"/>
    <w:rsid w:val="004C6EBF"/>
    <w:rsid w:val="004C72D8"/>
    <w:rsid w:val="004D3D6E"/>
    <w:rsid w:val="004D5078"/>
    <w:rsid w:val="004D56AE"/>
    <w:rsid w:val="004D5DF5"/>
    <w:rsid w:val="004D7600"/>
    <w:rsid w:val="004D7995"/>
    <w:rsid w:val="004E3A1F"/>
    <w:rsid w:val="004E4524"/>
    <w:rsid w:val="004E593B"/>
    <w:rsid w:val="004F359C"/>
    <w:rsid w:val="004F487D"/>
    <w:rsid w:val="004F4F15"/>
    <w:rsid w:val="004F6FF0"/>
    <w:rsid w:val="004F7D42"/>
    <w:rsid w:val="00501622"/>
    <w:rsid w:val="00504BC3"/>
    <w:rsid w:val="00505DE8"/>
    <w:rsid w:val="00506AF3"/>
    <w:rsid w:val="00507661"/>
    <w:rsid w:val="00514AD3"/>
    <w:rsid w:val="00514F08"/>
    <w:rsid w:val="005151D9"/>
    <w:rsid w:val="0051542F"/>
    <w:rsid w:val="005210AD"/>
    <w:rsid w:val="00521453"/>
    <w:rsid w:val="005217F5"/>
    <w:rsid w:val="005248A1"/>
    <w:rsid w:val="00526B45"/>
    <w:rsid w:val="00526CCC"/>
    <w:rsid w:val="00530CE8"/>
    <w:rsid w:val="00533A6E"/>
    <w:rsid w:val="0053676C"/>
    <w:rsid w:val="00536EAB"/>
    <w:rsid w:val="005469E6"/>
    <w:rsid w:val="00546B28"/>
    <w:rsid w:val="00546C0D"/>
    <w:rsid w:val="005479BA"/>
    <w:rsid w:val="00553022"/>
    <w:rsid w:val="005555EB"/>
    <w:rsid w:val="00557167"/>
    <w:rsid w:val="00560C70"/>
    <w:rsid w:val="0056128E"/>
    <w:rsid w:val="00561EE9"/>
    <w:rsid w:val="00562578"/>
    <w:rsid w:val="00564ED5"/>
    <w:rsid w:val="005667A7"/>
    <w:rsid w:val="00570CCB"/>
    <w:rsid w:val="005726F5"/>
    <w:rsid w:val="005769EB"/>
    <w:rsid w:val="00577E17"/>
    <w:rsid w:val="005804B5"/>
    <w:rsid w:val="005810AD"/>
    <w:rsid w:val="00584114"/>
    <w:rsid w:val="005850C2"/>
    <w:rsid w:val="0059127D"/>
    <w:rsid w:val="00593B97"/>
    <w:rsid w:val="0059442A"/>
    <w:rsid w:val="0059789D"/>
    <w:rsid w:val="005A1F81"/>
    <w:rsid w:val="005A4ABD"/>
    <w:rsid w:val="005A4F3A"/>
    <w:rsid w:val="005A70AD"/>
    <w:rsid w:val="005B4698"/>
    <w:rsid w:val="005C0108"/>
    <w:rsid w:val="005C0ABF"/>
    <w:rsid w:val="005C2F2C"/>
    <w:rsid w:val="005C3AB9"/>
    <w:rsid w:val="005C40D6"/>
    <w:rsid w:val="005C44B4"/>
    <w:rsid w:val="005C4602"/>
    <w:rsid w:val="005C50AF"/>
    <w:rsid w:val="005C65BD"/>
    <w:rsid w:val="005D0C80"/>
    <w:rsid w:val="005D1392"/>
    <w:rsid w:val="005D222A"/>
    <w:rsid w:val="005D4B62"/>
    <w:rsid w:val="005D57B1"/>
    <w:rsid w:val="005D5C68"/>
    <w:rsid w:val="005D699B"/>
    <w:rsid w:val="005D6F64"/>
    <w:rsid w:val="005E3F1B"/>
    <w:rsid w:val="005E4B51"/>
    <w:rsid w:val="005E5AA8"/>
    <w:rsid w:val="005F0552"/>
    <w:rsid w:val="005F06E7"/>
    <w:rsid w:val="005F21D1"/>
    <w:rsid w:val="005F323C"/>
    <w:rsid w:val="005F4F6C"/>
    <w:rsid w:val="005F5C12"/>
    <w:rsid w:val="00602D49"/>
    <w:rsid w:val="00603A97"/>
    <w:rsid w:val="0060421B"/>
    <w:rsid w:val="00606B19"/>
    <w:rsid w:val="00615C9A"/>
    <w:rsid w:val="006162DA"/>
    <w:rsid w:val="00616446"/>
    <w:rsid w:val="006165E2"/>
    <w:rsid w:val="006174CB"/>
    <w:rsid w:val="00617D69"/>
    <w:rsid w:val="00620023"/>
    <w:rsid w:val="00622B87"/>
    <w:rsid w:val="006234D0"/>
    <w:rsid w:val="00626895"/>
    <w:rsid w:val="006274A2"/>
    <w:rsid w:val="00635CCF"/>
    <w:rsid w:val="006402D5"/>
    <w:rsid w:val="0064197D"/>
    <w:rsid w:val="0064233F"/>
    <w:rsid w:val="00644D15"/>
    <w:rsid w:val="00646BE7"/>
    <w:rsid w:val="00646ECA"/>
    <w:rsid w:val="006515EA"/>
    <w:rsid w:val="006524A6"/>
    <w:rsid w:val="00653D67"/>
    <w:rsid w:val="00654459"/>
    <w:rsid w:val="00655970"/>
    <w:rsid w:val="00655CD5"/>
    <w:rsid w:val="00656541"/>
    <w:rsid w:val="0065700B"/>
    <w:rsid w:val="006631EA"/>
    <w:rsid w:val="00664BB6"/>
    <w:rsid w:val="00665069"/>
    <w:rsid w:val="0066659B"/>
    <w:rsid w:val="00666B0A"/>
    <w:rsid w:val="00667E68"/>
    <w:rsid w:val="006706F1"/>
    <w:rsid w:val="00671047"/>
    <w:rsid w:val="0067178E"/>
    <w:rsid w:val="00681821"/>
    <w:rsid w:val="00685655"/>
    <w:rsid w:val="006873EF"/>
    <w:rsid w:val="0069118A"/>
    <w:rsid w:val="00691591"/>
    <w:rsid w:val="00691E3B"/>
    <w:rsid w:val="006920C8"/>
    <w:rsid w:val="006953AF"/>
    <w:rsid w:val="006A000F"/>
    <w:rsid w:val="006A39BE"/>
    <w:rsid w:val="006A5BC5"/>
    <w:rsid w:val="006A616C"/>
    <w:rsid w:val="006A76CA"/>
    <w:rsid w:val="006A7B89"/>
    <w:rsid w:val="006B113C"/>
    <w:rsid w:val="006B2BBF"/>
    <w:rsid w:val="006B310A"/>
    <w:rsid w:val="006B3813"/>
    <w:rsid w:val="006B475B"/>
    <w:rsid w:val="006B4EBB"/>
    <w:rsid w:val="006B5506"/>
    <w:rsid w:val="006C0F69"/>
    <w:rsid w:val="006C3C2E"/>
    <w:rsid w:val="006C6A18"/>
    <w:rsid w:val="006C6A97"/>
    <w:rsid w:val="006C7F2D"/>
    <w:rsid w:val="006D1AD8"/>
    <w:rsid w:val="006D28B3"/>
    <w:rsid w:val="006D2A06"/>
    <w:rsid w:val="006D4E71"/>
    <w:rsid w:val="006E1AA6"/>
    <w:rsid w:val="006E2B12"/>
    <w:rsid w:val="006E3512"/>
    <w:rsid w:val="006E6FF6"/>
    <w:rsid w:val="006E7C63"/>
    <w:rsid w:val="006F6275"/>
    <w:rsid w:val="006F7967"/>
    <w:rsid w:val="00702EE7"/>
    <w:rsid w:val="00702F7E"/>
    <w:rsid w:val="0070496E"/>
    <w:rsid w:val="0071013B"/>
    <w:rsid w:val="00711873"/>
    <w:rsid w:val="00711895"/>
    <w:rsid w:val="00712AC1"/>
    <w:rsid w:val="007149BB"/>
    <w:rsid w:val="00715BAA"/>
    <w:rsid w:val="0072195F"/>
    <w:rsid w:val="00721A8F"/>
    <w:rsid w:val="007234F3"/>
    <w:rsid w:val="00725095"/>
    <w:rsid w:val="00725229"/>
    <w:rsid w:val="00726DE4"/>
    <w:rsid w:val="007310BC"/>
    <w:rsid w:val="007326FA"/>
    <w:rsid w:val="007355DF"/>
    <w:rsid w:val="00741C47"/>
    <w:rsid w:val="00743987"/>
    <w:rsid w:val="00744227"/>
    <w:rsid w:val="00746949"/>
    <w:rsid w:val="00747D23"/>
    <w:rsid w:val="00750425"/>
    <w:rsid w:val="00757D65"/>
    <w:rsid w:val="007606DC"/>
    <w:rsid w:val="00761A4B"/>
    <w:rsid w:val="00761B1C"/>
    <w:rsid w:val="00763BE2"/>
    <w:rsid w:val="007642D3"/>
    <w:rsid w:val="0076637A"/>
    <w:rsid w:val="007704B8"/>
    <w:rsid w:val="00770981"/>
    <w:rsid w:val="00771FF4"/>
    <w:rsid w:val="007767A6"/>
    <w:rsid w:val="00780259"/>
    <w:rsid w:val="00780E00"/>
    <w:rsid w:val="007830DB"/>
    <w:rsid w:val="007838AF"/>
    <w:rsid w:val="007913F5"/>
    <w:rsid w:val="007931FE"/>
    <w:rsid w:val="00793760"/>
    <w:rsid w:val="00793BE0"/>
    <w:rsid w:val="007A0505"/>
    <w:rsid w:val="007A4768"/>
    <w:rsid w:val="007A4B3B"/>
    <w:rsid w:val="007A63FE"/>
    <w:rsid w:val="007A6909"/>
    <w:rsid w:val="007A708E"/>
    <w:rsid w:val="007B0A75"/>
    <w:rsid w:val="007B1248"/>
    <w:rsid w:val="007B127D"/>
    <w:rsid w:val="007B1C66"/>
    <w:rsid w:val="007B35DB"/>
    <w:rsid w:val="007B76AD"/>
    <w:rsid w:val="007C20B1"/>
    <w:rsid w:val="007C45F9"/>
    <w:rsid w:val="007C4D71"/>
    <w:rsid w:val="007C7ADA"/>
    <w:rsid w:val="007D167B"/>
    <w:rsid w:val="007D61D9"/>
    <w:rsid w:val="007E1530"/>
    <w:rsid w:val="007E157D"/>
    <w:rsid w:val="007E343E"/>
    <w:rsid w:val="007E6CAC"/>
    <w:rsid w:val="007F008C"/>
    <w:rsid w:val="007F13D0"/>
    <w:rsid w:val="007F5380"/>
    <w:rsid w:val="007F7872"/>
    <w:rsid w:val="00800505"/>
    <w:rsid w:val="00801F81"/>
    <w:rsid w:val="00804DC5"/>
    <w:rsid w:val="00805A32"/>
    <w:rsid w:val="00807365"/>
    <w:rsid w:val="0081374A"/>
    <w:rsid w:val="008150C4"/>
    <w:rsid w:val="00815685"/>
    <w:rsid w:val="008170C3"/>
    <w:rsid w:val="00817212"/>
    <w:rsid w:val="008206F9"/>
    <w:rsid w:val="008207E8"/>
    <w:rsid w:val="008213EB"/>
    <w:rsid w:val="00821F0A"/>
    <w:rsid w:val="00823DC4"/>
    <w:rsid w:val="00824E4B"/>
    <w:rsid w:val="00825B8D"/>
    <w:rsid w:val="008277B6"/>
    <w:rsid w:val="00830076"/>
    <w:rsid w:val="008300D1"/>
    <w:rsid w:val="00835370"/>
    <w:rsid w:val="0083670B"/>
    <w:rsid w:val="00836EA3"/>
    <w:rsid w:val="008374CF"/>
    <w:rsid w:val="0084174D"/>
    <w:rsid w:val="0084205A"/>
    <w:rsid w:val="0084307D"/>
    <w:rsid w:val="00845449"/>
    <w:rsid w:val="0084698F"/>
    <w:rsid w:val="00850AB0"/>
    <w:rsid w:val="00850FAD"/>
    <w:rsid w:val="00851BB7"/>
    <w:rsid w:val="0085261C"/>
    <w:rsid w:val="00853623"/>
    <w:rsid w:val="00853807"/>
    <w:rsid w:val="00855449"/>
    <w:rsid w:val="00860178"/>
    <w:rsid w:val="008632CB"/>
    <w:rsid w:val="00864B28"/>
    <w:rsid w:val="00864C2A"/>
    <w:rsid w:val="00872159"/>
    <w:rsid w:val="0087417D"/>
    <w:rsid w:val="0087697F"/>
    <w:rsid w:val="008821C2"/>
    <w:rsid w:val="0088751D"/>
    <w:rsid w:val="008912F0"/>
    <w:rsid w:val="0089291A"/>
    <w:rsid w:val="00892BBD"/>
    <w:rsid w:val="00893314"/>
    <w:rsid w:val="0089785B"/>
    <w:rsid w:val="008978E0"/>
    <w:rsid w:val="008A6602"/>
    <w:rsid w:val="008A6729"/>
    <w:rsid w:val="008A7A62"/>
    <w:rsid w:val="008B0140"/>
    <w:rsid w:val="008B14FC"/>
    <w:rsid w:val="008B15B0"/>
    <w:rsid w:val="008B2733"/>
    <w:rsid w:val="008B7C2E"/>
    <w:rsid w:val="008C22A7"/>
    <w:rsid w:val="008C22EF"/>
    <w:rsid w:val="008C277F"/>
    <w:rsid w:val="008C4729"/>
    <w:rsid w:val="008C5248"/>
    <w:rsid w:val="008D14E7"/>
    <w:rsid w:val="008D1A44"/>
    <w:rsid w:val="008D1B5A"/>
    <w:rsid w:val="008D2F19"/>
    <w:rsid w:val="008E3694"/>
    <w:rsid w:val="008E4249"/>
    <w:rsid w:val="008E70EE"/>
    <w:rsid w:val="008E746F"/>
    <w:rsid w:val="008E78B4"/>
    <w:rsid w:val="008F0161"/>
    <w:rsid w:val="008F1C78"/>
    <w:rsid w:val="008F3EDC"/>
    <w:rsid w:val="008F6AD5"/>
    <w:rsid w:val="008F6C75"/>
    <w:rsid w:val="008F705C"/>
    <w:rsid w:val="00902548"/>
    <w:rsid w:val="00902DB7"/>
    <w:rsid w:val="00903886"/>
    <w:rsid w:val="0090405B"/>
    <w:rsid w:val="009049B4"/>
    <w:rsid w:val="009061AD"/>
    <w:rsid w:val="0090765B"/>
    <w:rsid w:val="009105B7"/>
    <w:rsid w:val="00912409"/>
    <w:rsid w:val="00913058"/>
    <w:rsid w:val="0091346B"/>
    <w:rsid w:val="0091417F"/>
    <w:rsid w:val="0092081B"/>
    <w:rsid w:val="009255E3"/>
    <w:rsid w:val="009260C9"/>
    <w:rsid w:val="00930539"/>
    <w:rsid w:val="009311BB"/>
    <w:rsid w:val="00931C71"/>
    <w:rsid w:val="00935367"/>
    <w:rsid w:val="009372CC"/>
    <w:rsid w:val="00942B90"/>
    <w:rsid w:val="00943408"/>
    <w:rsid w:val="00943FAB"/>
    <w:rsid w:val="00944625"/>
    <w:rsid w:val="00945112"/>
    <w:rsid w:val="009468A1"/>
    <w:rsid w:val="00946D02"/>
    <w:rsid w:val="00951032"/>
    <w:rsid w:val="00951AD0"/>
    <w:rsid w:val="00953922"/>
    <w:rsid w:val="0095520B"/>
    <w:rsid w:val="0096036F"/>
    <w:rsid w:val="00961505"/>
    <w:rsid w:val="00962732"/>
    <w:rsid w:val="00963E90"/>
    <w:rsid w:val="00965C20"/>
    <w:rsid w:val="0096644F"/>
    <w:rsid w:val="0097006C"/>
    <w:rsid w:val="00971D9E"/>
    <w:rsid w:val="009731D8"/>
    <w:rsid w:val="00974944"/>
    <w:rsid w:val="009754A5"/>
    <w:rsid w:val="009755D0"/>
    <w:rsid w:val="00975971"/>
    <w:rsid w:val="00975F6A"/>
    <w:rsid w:val="00976C75"/>
    <w:rsid w:val="009775A5"/>
    <w:rsid w:val="00982F42"/>
    <w:rsid w:val="009831DE"/>
    <w:rsid w:val="00986734"/>
    <w:rsid w:val="009879B9"/>
    <w:rsid w:val="00990209"/>
    <w:rsid w:val="0099022A"/>
    <w:rsid w:val="00991215"/>
    <w:rsid w:val="009A0854"/>
    <w:rsid w:val="009A2890"/>
    <w:rsid w:val="009A3A36"/>
    <w:rsid w:val="009A44C4"/>
    <w:rsid w:val="009B2312"/>
    <w:rsid w:val="009B282F"/>
    <w:rsid w:val="009B4B26"/>
    <w:rsid w:val="009B5232"/>
    <w:rsid w:val="009B588C"/>
    <w:rsid w:val="009C0DE0"/>
    <w:rsid w:val="009C1260"/>
    <w:rsid w:val="009C1824"/>
    <w:rsid w:val="009C4301"/>
    <w:rsid w:val="009C739D"/>
    <w:rsid w:val="009C7B60"/>
    <w:rsid w:val="009D283F"/>
    <w:rsid w:val="009D4306"/>
    <w:rsid w:val="009E24BE"/>
    <w:rsid w:val="009E3121"/>
    <w:rsid w:val="009E34A7"/>
    <w:rsid w:val="009E7EA5"/>
    <w:rsid w:val="009F1726"/>
    <w:rsid w:val="009F183C"/>
    <w:rsid w:val="009F1D4F"/>
    <w:rsid w:val="009F2E9A"/>
    <w:rsid w:val="009F3608"/>
    <w:rsid w:val="009F472C"/>
    <w:rsid w:val="009F59A0"/>
    <w:rsid w:val="009F5A57"/>
    <w:rsid w:val="009F69AD"/>
    <w:rsid w:val="009F72C5"/>
    <w:rsid w:val="00A00706"/>
    <w:rsid w:val="00A00F62"/>
    <w:rsid w:val="00A0110B"/>
    <w:rsid w:val="00A02194"/>
    <w:rsid w:val="00A02FC6"/>
    <w:rsid w:val="00A058C4"/>
    <w:rsid w:val="00A064E5"/>
    <w:rsid w:val="00A11179"/>
    <w:rsid w:val="00A12388"/>
    <w:rsid w:val="00A12627"/>
    <w:rsid w:val="00A145AF"/>
    <w:rsid w:val="00A15D84"/>
    <w:rsid w:val="00A224A4"/>
    <w:rsid w:val="00A22B98"/>
    <w:rsid w:val="00A25A03"/>
    <w:rsid w:val="00A31D20"/>
    <w:rsid w:val="00A3469A"/>
    <w:rsid w:val="00A349B2"/>
    <w:rsid w:val="00A36DC4"/>
    <w:rsid w:val="00A373C6"/>
    <w:rsid w:val="00A40693"/>
    <w:rsid w:val="00A41067"/>
    <w:rsid w:val="00A43503"/>
    <w:rsid w:val="00A4391C"/>
    <w:rsid w:val="00A43F61"/>
    <w:rsid w:val="00A45887"/>
    <w:rsid w:val="00A47194"/>
    <w:rsid w:val="00A527A9"/>
    <w:rsid w:val="00A63B36"/>
    <w:rsid w:val="00A642EE"/>
    <w:rsid w:val="00A653D2"/>
    <w:rsid w:val="00A65917"/>
    <w:rsid w:val="00A70753"/>
    <w:rsid w:val="00A72141"/>
    <w:rsid w:val="00A81785"/>
    <w:rsid w:val="00A81E86"/>
    <w:rsid w:val="00A821E5"/>
    <w:rsid w:val="00A82CC6"/>
    <w:rsid w:val="00A86B9C"/>
    <w:rsid w:val="00A92DA5"/>
    <w:rsid w:val="00A930EC"/>
    <w:rsid w:val="00A93576"/>
    <w:rsid w:val="00A93C5B"/>
    <w:rsid w:val="00A94885"/>
    <w:rsid w:val="00A9687B"/>
    <w:rsid w:val="00A97DCF"/>
    <w:rsid w:val="00AA0467"/>
    <w:rsid w:val="00AA19B7"/>
    <w:rsid w:val="00AA2126"/>
    <w:rsid w:val="00AA2C45"/>
    <w:rsid w:val="00AA3511"/>
    <w:rsid w:val="00AA3AFE"/>
    <w:rsid w:val="00AA59D2"/>
    <w:rsid w:val="00AB3193"/>
    <w:rsid w:val="00AB5E9C"/>
    <w:rsid w:val="00AB7CED"/>
    <w:rsid w:val="00AC177A"/>
    <w:rsid w:val="00AC1D86"/>
    <w:rsid w:val="00AC1FE8"/>
    <w:rsid w:val="00AC2835"/>
    <w:rsid w:val="00AC2BA8"/>
    <w:rsid w:val="00AC6DDB"/>
    <w:rsid w:val="00AC7E2F"/>
    <w:rsid w:val="00AD2646"/>
    <w:rsid w:val="00AD2928"/>
    <w:rsid w:val="00AD3E8C"/>
    <w:rsid w:val="00AD5EF7"/>
    <w:rsid w:val="00AD6412"/>
    <w:rsid w:val="00AE1F6B"/>
    <w:rsid w:val="00AE5454"/>
    <w:rsid w:val="00AE5928"/>
    <w:rsid w:val="00AE5F6E"/>
    <w:rsid w:val="00AE60DC"/>
    <w:rsid w:val="00AE6E88"/>
    <w:rsid w:val="00AE7158"/>
    <w:rsid w:val="00AE7A21"/>
    <w:rsid w:val="00AE7C9A"/>
    <w:rsid w:val="00AF186F"/>
    <w:rsid w:val="00AF6F27"/>
    <w:rsid w:val="00AF6FF1"/>
    <w:rsid w:val="00B004F3"/>
    <w:rsid w:val="00B0199D"/>
    <w:rsid w:val="00B02E61"/>
    <w:rsid w:val="00B0327D"/>
    <w:rsid w:val="00B0331B"/>
    <w:rsid w:val="00B03B71"/>
    <w:rsid w:val="00B11BFA"/>
    <w:rsid w:val="00B14267"/>
    <w:rsid w:val="00B170BB"/>
    <w:rsid w:val="00B20B0F"/>
    <w:rsid w:val="00B2124D"/>
    <w:rsid w:val="00B22782"/>
    <w:rsid w:val="00B27B52"/>
    <w:rsid w:val="00B30404"/>
    <w:rsid w:val="00B31244"/>
    <w:rsid w:val="00B31931"/>
    <w:rsid w:val="00B31985"/>
    <w:rsid w:val="00B3796B"/>
    <w:rsid w:val="00B414DB"/>
    <w:rsid w:val="00B41887"/>
    <w:rsid w:val="00B4291F"/>
    <w:rsid w:val="00B44102"/>
    <w:rsid w:val="00B46926"/>
    <w:rsid w:val="00B50D5E"/>
    <w:rsid w:val="00B50F40"/>
    <w:rsid w:val="00B516CC"/>
    <w:rsid w:val="00B558CD"/>
    <w:rsid w:val="00B55B2F"/>
    <w:rsid w:val="00B55DE3"/>
    <w:rsid w:val="00B660DC"/>
    <w:rsid w:val="00B66BAE"/>
    <w:rsid w:val="00B71618"/>
    <w:rsid w:val="00B71C7C"/>
    <w:rsid w:val="00B74694"/>
    <w:rsid w:val="00B76314"/>
    <w:rsid w:val="00B77254"/>
    <w:rsid w:val="00B826DD"/>
    <w:rsid w:val="00B86E9C"/>
    <w:rsid w:val="00B968DA"/>
    <w:rsid w:val="00B976EE"/>
    <w:rsid w:val="00BA10E3"/>
    <w:rsid w:val="00BA2CC4"/>
    <w:rsid w:val="00BA3CB2"/>
    <w:rsid w:val="00BA576B"/>
    <w:rsid w:val="00BB001C"/>
    <w:rsid w:val="00BB1B4D"/>
    <w:rsid w:val="00BB23F4"/>
    <w:rsid w:val="00BB35C0"/>
    <w:rsid w:val="00BB476A"/>
    <w:rsid w:val="00BB5448"/>
    <w:rsid w:val="00BB5CE8"/>
    <w:rsid w:val="00BB69A8"/>
    <w:rsid w:val="00BB7411"/>
    <w:rsid w:val="00BC1690"/>
    <w:rsid w:val="00BC1EF3"/>
    <w:rsid w:val="00BC4C43"/>
    <w:rsid w:val="00BC59F3"/>
    <w:rsid w:val="00BC7099"/>
    <w:rsid w:val="00BD01DC"/>
    <w:rsid w:val="00BD04E8"/>
    <w:rsid w:val="00BD126F"/>
    <w:rsid w:val="00BD1EB4"/>
    <w:rsid w:val="00BD4684"/>
    <w:rsid w:val="00BD530F"/>
    <w:rsid w:val="00BD5C44"/>
    <w:rsid w:val="00BE00B4"/>
    <w:rsid w:val="00BE3D55"/>
    <w:rsid w:val="00BF4334"/>
    <w:rsid w:val="00BF76FE"/>
    <w:rsid w:val="00C017E3"/>
    <w:rsid w:val="00C02937"/>
    <w:rsid w:val="00C03FBD"/>
    <w:rsid w:val="00C0430C"/>
    <w:rsid w:val="00C15EFF"/>
    <w:rsid w:val="00C219C7"/>
    <w:rsid w:val="00C263F9"/>
    <w:rsid w:val="00C2694C"/>
    <w:rsid w:val="00C26C2F"/>
    <w:rsid w:val="00C26D10"/>
    <w:rsid w:val="00C31352"/>
    <w:rsid w:val="00C31356"/>
    <w:rsid w:val="00C3356C"/>
    <w:rsid w:val="00C33647"/>
    <w:rsid w:val="00C3526C"/>
    <w:rsid w:val="00C353C9"/>
    <w:rsid w:val="00C37580"/>
    <w:rsid w:val="00C40841"/>
    <w:rsid w:val="00C42B66"/>
    <w:rsid w:val="00C44A77"/>
    <w:rsid w:val="00C46BED"/>
    <w:rsid w:val="00C47080"/>
    <w:rsid w:val="00C472F3"/>
    <w:rsid w:val="00C518D7"/>
    <w:rsid w:val="00C52836"/>
    <w:rsid w:val="00C534AA"/>
    <w:rsid w:val="00C55312"/>
    <w:rsid w:val="00C5571C"/>
    <w:rsid w:val="00C55C67"/>
    <w:rsid w:val="00C6162E"/>
    <w:rsid w:val="00C6187C"/>
    <w:rsid w:val="00C62B71"/>
    <w:rsid w:val="00C62EA3"/>
    <w:rsid w:val="00C71F85"/>
    <w:rsid w:val="00C72B3A"/>
    <w:rsid w:val="00C72FF6"/>
    <w:rsid w:val="00C76305"/>
    <w:rsid w:val="00C800CB"/>
    <w:rsid w:val="00C83CC9"/>
    <w:rsid w:val="00C85043"/>
    <w:rsid w:val="00C85399"/>
    <w:rsid w:val="00C85590"/>
    <w:rsid w:val="00C85E67"/>
    <w:rsid w:val="00C91D01"/>
    <w:rsid w:val="00C95375"/>
    <w:rsid w:val="00CB1EE3"/>
    <w:rsid w:val="00CB5811"/>
    <w:rsid w:val="00CC0064"/>
    <w:rsid w:val="00CC2F28"/>
    <w:rsid w:val="00CC34A3"/>
    <w:rsid w:val="00CD120F"/>
    <w:rsid w:val="00CD15BB"/>
    <w:rsid w:val="00CD444B"/>
    <w:rsid w:val="00CD717E"/>
    <w:rsid w:val="00CE2600"/>
    <w:rsid w:val="00CE4C15"/>
    <w:rsid w:val="00CE7B18"/>
    <w:rsid w:val="00CF0ED3"/>
    <w:rsid w:val="00CF2FBA"/>
    <w:rsid w:val="00CF45A0"/>
    <w:rsid w:val="00CF5F56"/>
    <w:rsid w:val="00CF6C30"/>
    <w:rsid w:val="00CF7D0F"/>
    <w:rsid w:val="00D00064"/>
    <w:rsid w:val="00D0045F"/>
    <w:rsid w:val="00D01359"/>
    <w:rsid w:val="00D02B32"/>
    <w:rsid w:val="00D035F4"/>
    <w:rsid w:val="00D05E04"/>
    <w:rsid w:val="00D13FC1"/>
    <w:rsid w:val="00D16013"/>
    <w:rsid w:val="00D171C1"/>
    <w:rsid w:val="00D17D99"/>
    <w:rsid w:val="00D208C0"/>
    <w:rsid w:val="00D3135D"/>
    <w:rsid w:val="00D3233E"/>
    <w:rsid w:val="00D356F0"/>
    <w:rsid w:val="00D35F46"/>
    <w:rsid w:val="00D36A22"/>
    <w:rsid w:val="00D41B83"/>
    <w:rsid w:val="00D420A3"/>
    <w:rsid w:val="00D47176"/>
    <w:rsid w:val="00D51252"/>
    <w:rsid w:val="00D514CE"/>
    <w:rsid w:val="00D51805"/>
    <w:rsid w:val="00D52CCE"/>
    <w:rsid w:val="00D53835"/>
    <w:rsid w:val="00D552DD"/>
    <w:rsid w:val="00D55ED4"/>
    <w:rsid w:val="00D57DCB"/>
    <w:rsid w:val="00D6069A"/>
    <w:rsid w:val="00D606B9"/>
    <w:rsid w:val="00D63B9D"/>
    <w:rsid w:val="00D63E2C"/>
    <w:rsid w:val="00D65832"/>
    <w:rsid w:val="00D674DB"/>
    <w:rsid w:val="00D67A35"/>
    <w:rsid w:val="00D67BCF"/>
    <w:rsid w:val="00D705B9"/>
    <w:rsid w:val="00D765E3"/>
    <w:rsid w:val="00D77C17"/>
    <w:rsid w:val="00D77E74"/>
    <w:rsid w:val="00D80906"/>
    <w:rsid w:val="00D85F45"/>
    <w:rsid w:val="00D8735A"/>
    <w:rsid w:val="00D87450"/>
    <w:rsid w:val="00D9174B"/>
    <w:rsid w:val="00D929EC"/>
    <w:rsid w:val="00D9689F"/>
    <w:rsid w:val="00DA10CC"/>
    <w:rsid w:val="00DA41C9"/>
    <w:rsid w:val="00DA48B1"/>
    <w:rsid w:val="00DA499F"/>
    <w:rsid w:val="00DA5177"/>
    <w:rsid w:val="00DB3A07"/>
    <w:rsid w:val="00DB71E4"/>
    <w:rsid w:val="00DB7F1B"/>
    <w:rsid w:val="00DC6C94"/>
    <w:rsid w:val="00DD2341"/>
    <w:rsid w:val="00DD3DED"/>
    <w:rsid w:val="00DD73FD"/>
    <w:rsid w:val="00DD7808"/>
    <w:rsid w:val="00DE0B43"/>
    <w:rsid w:val="00DE3A99"/>
    <w:rsid w:val="00DE4F55"/>
    <w:rsid w:val="00DE5836"/>
    <w:rsid w:val="00DE7485"/>
    <w:rsid w:val="00DF12AA"/>
    <w:rsid w:val="00DF7376"/>
    <w:rsid w:val="00DF7D0D"/>
    <w:rsid w:val="00E01A5B"/>
    <w:rsid w:val="00E01B62"/>
    <w:rsid w:val="00E054C4"/>
    <w:rsid w:val="00E0740A"/>
    <w:rsid w:val="00E13C03"/>
    <w:rsid w:val="00E1418C"/>
    <w:rsid w:val="00E14641"/>
    <w:rsid w:val="00E16027"/>
    <w:rsid w:val="00E16F5A"/>
    <w:rsid w:val="00E170F8"/>
    <w:rsid w:val="00E171FE"/>
    <w:rsid w:val="00E21BC5"/>
    <w:rsid w:val="00E21E1D"/>
    <w:rsid w:val="00E22B1F"/>
    <w:rsid w:val="00E2410F"/>
    <w:rsid w:val="00E244B6"/>
    <w:rsid w:val="00E24F7B"/>
    <w:rsid w:val="00E2632C"/>
    <w:rsid w:val="00E30143"/>
    <w:rsid w:val="00E31A95"/>
    <w:rsid w:val="00E34258"/>
    <w:rsid w:val="00E3664A"/>
    <w:rsid w:val="00E41D1C"/>
    <w:rsid w:val="00E42F92"/>
    <w:rsid w:val="00E4320F"/>
    <w:rsid w:val="00E43A9F"/>
    <w:rsid w:val="00E450CA"/>
    <w:rsid w:val="00E451D4"/>
    <w:rsid w:val="00E4751B"/>
    <w:rsid w:val="00E509EA"/>
    <w:rsid w:val="00E50D72"/>
    <w:rsid w:val="00E52808"/>
    <w:rsid w:val="00E54238"/>
    <w:rsid w:val="00E551D8"/>
    <w:rsid w:val="00E6021A"/>
    <w:rsid w:val="00E636D7"/>
    <w:rsid w:val="00E63D65"/>
    <w:rsid w:val="00E6411A"/>
    <w:rsid w:val="00E64CD7"/>
    <w:rsid w:val="00E65AB8"/>
    <w:rsid w:val="00E661CA"/>
    <w:rsid w:val="00E67B55"/>
    <w:rsid w:val="00E7001F"/>
    <w:rsid w:val="00E701BE"/>
    <w:rsid w:val="00E73B5A"/>
    <w:rsid w:val="00E778D8"/>
    <w:rsid w:val="00E834A5"/>
    <w:rsid w:val="00E845A2"/>
    <w:rsid w:val="00E8589D"/>
    <w:rsid w:val="00E86E6A"/>
    <w:rsid w:val="00E90A97"/>
    <w:rsid w:val="00E93884"/>
    <w:rsid w:val="00E9526C"/>
    <w:rsid w:val="00E96AF4"/>
    <w:rsid w:val="00EA112B"/>
    <w:rsid w:val="00EA209C"/>
    <w:rsid w:val="00EA3D6B"/>
    <w:rsid w:val="00EA695F"/>
    <w:rsid w:val="00EA6CE1"/>
    <w:rsid w:val="00EB43A9"/>
    <w:rsid w:val="00EB4513"/>
    <w:rsid w:val="00EC0BA5"/>
    <w:rsid w:val="00EC1F16"/>
    <w:rsid w:val="00EC3F5C"/>
    <w:rsid w:val="00EC41C4"/>
    <w:rsid w:val="00EC51A2"/>
    <w:rsid w:val="00EC7483"/>
    <w:rsid w:val="00EC77F8"/>
    <w:rsid w:val="00EC7CD5"/>
    <w:rsid w:val="00ED1245"/>
    <w:rsid w:val="00ED2E64"/>
    <w:rsid w:val="00EE0090"/>
    <w:rsid w:val="00EE2212"/>
    <w:rsid w:val="00EE3896"/>
    <w:rsid w:val="00EE4B79"/>
    <w:rsid w:val="00EE6105"/>
    <w:rsid w:val="00EE7CFF"/>
    <w:rsid w:val="00EF1E4A"/>
    <w:rsid w:val="00EF7BDE"/>
    <w:rsid w:val="00F000CC"/>
    <w:rsid w:val="00F018A9"/>
    <w:rsid w:val="00F01A68"/>
    <w:rsid w:val="00F01E1E"/>
    <w:rsid w:val="00F0229E"/>
    <w:rsid w:val="00F04956"/>
    <w:rsid w:val="00F053BA"/>
    <w:rsid w:val="00F05CDD"/>
    <w:rsid w:val="00F06100"/>
    <w:rsid w:val="00F069AB"/>
    <w:rsid w:val="00F070A0"/>
    <w:rsid w:val="00F0745E"/>
    <w:rsid w:val="00F07A50"/>
    <w:rsid w:val="00F1004A"/>
    <w:rsid w:val="00F11BA0"/>
    <w:rsid w:val="00F1235B"/>
    <w:rsid w:val="00F14A08"/>
    <w:rsid w:val="00F152AB"/>
    <w:rsid w:val="00F166B0"/>
    <w:rsid w:val="00F176BD"/>
    <w:rsid w:val="00F20BA4"/>
    <w:rsid w:val="00F232BA"/>
    <w:rsid w:val="00F2340A"/>
    <w:rsid w:val="00F2534A"/>
    <w:rsid w:val="00F2620E"/>
    <w:rsid w:val="00F27836"/>
    <w:rsid w:val="00F32D28"/>
    <w:rsid w:val="00F335D9"/>
    <w:rsid w:val="00F3468F"/>
    <w:rsid w:val="00F3643C"/>
    <w:rsid w:val="00F41845"/>
    <w:rsid w:val="00F41A2D"/>
    <w:rsid w:val="00F428BE"/>
    <w:rsid w:val="00F4467A"/>
    <w:rsid w:val="00F449E9"/>
    <w:rsid w:val="00F45A48"/>
    <w:rsid w:val="00F47F1C"/>
    <w:rsid w:val="00F503CA"/>
    <w:rsid w:val="00F53939"/>
    <w:rsid w:val="00F53DD8"/>
    <w:rsid w:val="00F56B64"/>
    <w:rsid w:val="00F56DB8"/>
    <w:rsid w:val="00F61252"/>
    <w:rsid w:val="00F616D0"/>
    <w:rsid w:val="00F627A5"/>
    <w:rsid w:val="00F64FBB"/>
    <w:rsid w:val="00F664CC"/>
    <w:rsid w:val="00F66D7C"/>
    <w:rsid w:val="00F67188"/>
    <w:rsid w:val="00F70D1C"/>
    <w:rsid w:val="00F71F41"/>
    <w:rsid w:val="00F73B05"/>
    <w:rsid w:val="00F75DD5"/>
    <w:rsid w:val="00F764FA"/>
    <w:rsid w:val="00F77296"/>
    <w:rsid w:val="00F776F9"/>
    <w:rsid w:val="00F80A47"/>
    <w:rsid w:val="00F81F87"/>
    <w:rsid w:val="00F8238B"/>
    <w:rsid w:val="00F82746"/>
    <w:rsid w:val="00F833ED"/>
    <w:rsid w:val="00F856EC"/>
    <w:rsid w:val="00F864E8"/>
    <w:rsid w:val="00F92394"/>
    <w:rsid w:val="00F92F0B"/>
    <w:rsid w:val="00F955B8"/>
    <w:rsid w:val="00F95622"/>
    <w:rsid w:val="00F95FF6"/>
    <w:rsid w:val="00F97413"/>
    <w:rsid w:val="00FA3721"/>
    <w:rsid w:val="00FA6E7C"/>
    <w:rsid w:val="00FA7C0A"/>
    <w:rsid w:val="00FB0BE2"/>
    <w:rsid w:val="00FB48E9"/>
    <w:rsid w:val="00FB5AC1"/>
    <w:rsid w:val="00FC4237"/>
    <w:rsid w:val="00FC7288"/>
    <w:rsid w:val="00FC78D9"/>
    <w:rsid w:val="00FD3805"/>
    <w:rsid w:val="00FD6446"/>
    <w:rsid w:val="00FE1263"/>
    <w:rsid w:val="00FE5491"/>
    <w:rsid w:val="00FE6536"/>
    <w:rsid w:val="00FF0A56"/>
    <w:rsid w:val="00FF18A8"/>
    <w:rsid w:val="00FF1B49"/>
    <w:rsid w:val="00FF4D41"/>
    <w:rsid w:val="00FF4D98"/>
    <w:rsid w:val="00FF5CB7"/>
    <w:rsid w:val="00FF6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06BBD"/>
  <w15:docId w15:val="{B5E540DA-5956-4D4B-9B49-F62AFA745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9" w:qFormat="1"/>
    <w:lsdException w:name="heading 1" w:uiPriority="6" w:qFormat="1"/>
    <w:lsdException w:name="heading 2" w:uiPriority="6" w:qFormat="1"/>
    <w:lsdException w:name="heading 3" w:uiPriority="6"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8" w:unhideWhenUsed="1"/>
    <w:lsdException w:name="heading 8" w:semiHidden="1" w:uiPriority="8" w:unhideWhenUsed="1" w:qFormat="1"/>
    <w:lsdException w:name="heading 9" w:semiHidden="1" w:uiPriority="8"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0"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14" w:unhideWhenUsed="1" w:qFormat="1"/>
    <w:lsdException w:name="endnote text" w:semiHidden="1" w:uiPriority="14"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
    <w:qFormat/>
    <w:rsid w:val="000A5229"/>
    <w:pPr>
      <w:spacing w:before="240" w:after="120" w:line="240" w:lineRule="atLeast"/>
    </w:pPr>
    <w:rPr>
      <w:sz w:val="20"/>
    </w:rPr>
  </w:style>
  <w:style w:type="paragraph" w:styleId="Heading1">
    <w:name w:val="heading 1"/>
    <w:next w:val="BodyText"/>
    <w:link w:val="Heading1Char"/>
    <w:uiPriority w:val="6"/>
    <w:qFormat/>
    <w:rsid w:val="00942B90"/>
    <w:pPr>
      <w:keepNext/>
      <w:keepLines/>
      <w:numPr>
        <w:numId w:val="48"/>
      </w:numPr>
      <w:spacing w:after="360" w:line="264" w:lineRule="auto"/>
      <w:outlineLvl w:val="0"/>
    </w:pPr>
    <w:rPr>
      <w:rFonts w:asciiTheme="majorHAnsi" w:eastAsiaTheme="majorEastAsia" w:hAnsiTheme="majorHAnsi" w:cstheme="majorBidi"/>
      <w:bCs/>
      <w:color w:val="009EA0"/>
      <w:sz w:val="72"/>
      <w:szCs w:val="40"/>
    </w:rPr>
  </w:style>
  <w:style w:type="paragraph" w:styleId="Heading2">
    <w:name w:val="heading 2"/>
    <w:basedOn w:val="Heading1"/>
    <w:next w:val="BodyText"/>
    <w:link w:val="Heading2Char"/>
    <w:uiPriority w:val="6"/>
    <w:qFormat/>
    <w:rsid w:val="00942B90"/>
    <w:pPr>
      <w:numPr>
        <w:ilvl w:val="1"/>
      </w:numPr>
      <w:spacing w:before="360" w:after="240"/>
      <w:outlineLvl w:val="1"/>
    </w:pPr>
    <w:rPr>
      <w:b/>
      <w:bCs w:val="0"/>
      <w:color w:val="250E62" w:themeColor="accent1"/>
      <w:sz w:val="48"/>
      <w:szCs w:val="32"/>
    </w:rPr>
  </w:style>
  <w:style w:type="paragraph" w:styleId="Heading3">
    <w:name w:val="heading 3"/>
    <w:basedOn w:val="Heading2"/>
    <w:next w:val="BodyText"/>
    <w:link w:val="Heading3Char"/>
    <w:uiPriority w:val="6"/>
    <w:qFormat/>
    <w:rsid w:val="00942B90"/>
    <w:pPr>
      <w:numPr>
        <w:ilvl w:val="2"/>
      </w:numPr>
      <w:outlineLvl w:val="2"/>
    </w:pPr>
    <w:rPr>
      <w:bCs/>
      <w:color w:val="009CA6" w:themeColor="accent2"/>
      <w:sz w:val="32"/>
      <w:szCs w:val="28"/>
    </w:rPr>
  </w:style>
  <w:style w:type="paragraph" w:styleId="Heading4">
    <w:name w:val="heading 4"/>
    <w:basedOn w:val="Heading3"/>
    <w:next w:val="BodyText"/>
    <w:link w:val="Heading4Char"/>
    <w:uiPriority w:val="7"/>
    <w:qFormat/>
    <w:rsid w:val="00942B90"/>
    <w:pPr>
      <w:numPr>
        <w:ilvl w:val="0"/>
        <w:numId w:val="0"/>
      </w:numPr>
      <w:outlineLvl w:val="3"/>
    </w:pPr>
    <w:rPr>
      <w:bCs w:val="0"/>
      <w:iCs/>
      <w:color w:val="636569" w:themeColor="text2"/>
      <w:sz w:val="28"/>
    </w:rPr>
  </w:style>
  <w:style w:type="paragraph" w:styleId="Heading5">
    <w:name w:val="heading 5"/>
    <w:basedOn w:val="Heading4"/>
    <w:next w:val="BodyText"/>
    <w:link w:val="Heading5Char"/>
    <w:uiPriority w:val="7"/>
    <w:qFormat/>
    <w:rsid w:val="00942B90"/>
    <w:pPr>
      <w:numPr>
        <w:ilvl w:val="4"/>
      </w:numPr>
      <w:outlineLvl w:val="4"/>
    </w:pPr>
    <w:rPr>
      <w:rFonts w:cstheme="minorHAnsi"/>
      <w:color w:val="009CA6" w:themeColor="accent2"/>
      <w:sz w:val="24"/>
      <w:szCs w:val="24"/>
    </w:rPr>
  </w:style>
  <w:style w:type="paragraph" w:styleId="Heading6">
    <w:name w:val="heading 6"/>
    <w:basedOn w:val="Heading5"/>
    <w:next w:val="BodyText"/>
    <w:link w:val="Heading6Char"/>
    <w:uiPriority w:val="7"/>
    <w:semiHidden/>
    <w:qFormat/>
    <w:rsid w:val="00942B90"/>
    <w:pPr>
      <w:numPr>
        <w:ilvl w:val="5"/>
      </w:numPr>
      <w:outlineLvl w:val="5"/>
    </w:pPr>
    <w:rPr>
      <w:b w:val="0"/>
      <w:iCs w:val="0"/>
      <w:szCs w:val="22"/>
    </w:rPr>
  </w:style>
  <w:style w:type="paragraph" w:styleId="Heading7">
    <w:name w:val="heading 7"/>
    <w:basedOn w:val="Heading1"/>
    <w:next w:val="BodyText"/>
    <w:link w:val="Heading7Char"/>
    <w:uiPriority w:val="8"/>
    <w:semiHidden/>
    <w:rsid w:val="00942B90"/>
    <w:pPr>
      <w:numPr>
        <w:numId w:val="0"/>
      </w:numPr>
      <w:tabs>
        <w:tab w:val="left" w:pos="2552"/>
      </w:tabs>
      <w:outlineLvl w:val="6"/>
    </w:pPr>
    <w:rPr>
      <w:iCs/>
    </w:rPr>
  </w:style>
  <w:style w:type="paragraph" w:styleId="Heading8">
    <w:name w:val="heading 8"/>
    <w:basedOn w:val="Heading7"/>
    <w:next w:val="BodyText"/>
    <w:link w:val="Heading8Char"/>
    <w:uiPriority w:val="8"/>
    <w:semiHidden/>
    <w:qFormat/>
    <w:rsid w:val="00942B90"/>
    <w:pPr>
      <w:tabs>
        <w:tab w:val="clear" w:pos="2552"/>
      </w:tabs>
      <w:spacing w:after="240"/>
      <w:outlineLvl w:val="7"/>
    </w:pPr>
    <w:rPr>
      <w:szCs w:val="20"/>
    </w:rPr>
  </w:style>
  <w:style w:type="paragraph" w:styleId="Heading9">
    <w:name w:val="heading 9"/>
    <w:basedOn w:val="Heading8"/>
    <w:next w:val="BodyText"/>
    <w:link w:val="Heading9Char"/>
    <w:uiPriority w:val="8"/>
    <w:semiHidden/>
    <w:qFormat/>
    <w:rsid w:val="00942B90"/>
    <w:p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942B90"/>
    <w:rPr>
      <w:rFonts w:asciiTheme="majorHAnsi" w:eastAsiaTheme="majorEastAsia" w:hAnsiTheme="majorHAnsi" w:cstheme="majorBidi"/>
      <w:bCs/>
      <w:color w:val="009EA0"/>
      <w:sz w:val="72"/>
      <w:szCs w:val="40"/>
    </w:rPr>
  </w:style>
  <w:style w:type="character" w:customStyle="1" w:styleId="Heading2Char">
    <w:name w:val="Heading 2 Char"/>
    <w:basedOn w:val="DefaultParagraphFont"/>
    <w:link w:val="Heading2"/>
    <w:uiPriority w:val="6"/>
    <w:rsid w:val="00942B90"/>
    <w:rPr>
      <w:rFonts w:asciiTheme="majorHAnsi" w:eastAsiaTheme="majorEastAsia" w:hAnsiTheme="majorHAnsi" w:cstheme="majorBidi"/>
      <w:b/>
      <w:color w:val="250E62" w:themeColor="accent1"/>
      <w:sz w:val="48"/>
      <w:szCs w:val="32"/>
    </w:rPr>
  </w:style>
  <w:style w:type="character" w:customStyle="1" w:styleId="Heading3Char">
    <w:name w:val="Heading 3 Char"/>
    <w:basedOn w:val="DefaultParagraphFont"/>
    <w:link w:val="Heading3"/>
    <w:uiPriority w:val="6"/>
    <w:rsid w:val="00942B90"/>
    <w:rPr>
      <w:rFonts w:asciiTheme="majorHAnsi" w:eastAsiaTheme="majorEastAsia" w:hAnsiTheme="majorHAnsi" w:cstheme="majorBidi"/>
      <w:b/>
      <w:bCs/>
      <w:color w:val="009CA6" w:themeColor="accent2"/>
      <w:sz w:val="32"/>
      <w:szCs w:val="28"/>
    </w:rPr>
  </w:style>
  <w:style w:type="paragraph" w:styleId="Caption">
    <w:name w:val="caption"/>
    <w:basedOn w:val="Normal"/>
    <w:next w:val="Object"/>
    <w:uiPriority w:val="4"/>
    <w:qFormat/>
    <w:rsid w:val="00942B90"/>
    <w:pPr>
      <w:keepNext/>
      <w:keepLines/>
      <w:spacing w:before="360" w:after="240"/>
      <w:ind w:left="1134" w:hanging="1134"/>
    </w:pPr>
    <w:rPr>
      <w:bCs/>
      <w:color w:val="636569" w:themeColor="text2"/>
      <w:sz w:val="18"/>
      <w:szCs w:val="20"/>
    </w:rPr>
  </w:style>
  <w:style w:type="paragraph" w:styleId="BodyText">
    <w:name w:val="Body Text"/>
    <w:basedOn w:val="Normal"/>
    <w:link w:val="BodyTextChar"/>
    <w:qFormat/>
    <w:rsid w:val="00942B90"/>
    <w:pPr>
      <w:keepLines/>
    </w:pPr>
  </w:style>
  <w:style w:type="character" w:customStyle="1" w:styleId="BodyTextChar">
    <w:name w:val="Body Text Char"/>
    <w:basedOn w:val="DefaultParagraphFont"/>
    <w:link w:val="BodyText"/>
    <w:rsid w:val="00942B90"/>
    <w:rPr>
      <w:sz w:val="20"/>
    </w:rPr>
  </w:style>
  <w:style w:type="paragraph" w:styleId="TOC1">
    <w:name w:val="toc 1"/>
    <w:basedOn w:val="Normal"/>
    <w:next w:val="BodyText"/>
    <w:uiPriority w:val="39"/>
    <w:rsid w:val="002558B5"/>
    <w:pPr>
      <w:keepLines/>
      <w:tabs>
        <w:tab w:val="right" w:leader="dot" w:pos="9015"/>
      </w:tabs>
      <w:spacing w:after="80" w:line="260" w:lineRule="atLeast"/>
      <w:ind w:left="1418" w:right="1134" w:hanging="1418"/>
    </w:pPr>
    <w:rPr>
      <w:noProof/>
      <w:color w:val="9BAE00" w:themeColor="accent3" w:themeShade="BF"/>
      <w:sz w:val="22"/>
    </w:rPr>
  </w:style>
  <w:style w:type="paragraph" w:styleId="TOC2">
    <w:name w:val="toc 2"/>
    <w:basedOn w:val="TOC1"/>
    <w:next w:val="BodyText"/>
    <w:uiPriority w:val="39"/>
    <w:rsid w:val="002558B5"/>
    <w:pPr>
      <w:keepLines w:val="0"/>
      <w:spacing w:before="80" w:after="40" w:line="240" w:lineRule="atLeast"/>
      <w:ind w:left="0" w:firstLine="0"/>
    </w:pPr>
    <w:rPr>
      <w:color w:val="auto"/>
      <w:sz w:val="20"/>
    </w:rPr>
  </w:style>
  <w:style w:type="paragraph" w:styleId="TOC3">
    <w:name w:val="toc 3"/>
    <w:basedOn w:val="TOC2"/>
    <w:next w:val="BodyText"/>
    <w:uiPriority w:val="39"/>
    <w:rsid w:val="00942B90"/>
    <w:pPr>
      <w:tabs>
        <w:tab w:val="left" w:pos="1985"/>
      </w:tabs>
      <w:spacing w:before="40" w:line="220" w:lineRule="atLeast"/>
      <w:ind w:left="1985" w:hanging="1134"/>
    </w:pPr>
    <w:rPr>
      <w:sz w:val="18"/>
    </w:rPr>
  </w:style>
  <w:style w:type="paragraph" w:styleId="TOC4">
    <w:name w:val="toc 4"/>
    <w:basedOn w:val="TOC1"/>
    <w:next w:val="BodyText"/>
    <w:uiPriority w:val="99"/>
    <w:rsid w:val="00942B90"/>
    <w:pPr>
      <w:spacing w:after="240"/>
      <w:ind w:left="0" w:firstLine="0"/>
    </w:pPr>
  </w:style>
  <w:style w:type="paragraph" w:styleId="TOC5">
    <w:name w:val="toc 5"/>
    <w:basedOn w:val="TOC2"/>
    <w:next w:val="BodyText"/>
    <w:uiPriority w:val="99"/>
    <w:rsid w:val="00942B90"/>
  </w:style>
  <w:style w:type="paragraph" w:styleId="TOC6">
    <w:name w:val="toc 6"/>
    <w:basedOn w:val="TOC3"/>
    <w:next w:val="BodyText"/>
    <w:uiPriority w:val="99"/>
    <w:rsid w:val="00942B90"/>
  </w:style>
  <w:style w:type="character" w:customStyle="1" w:styleId="Heading4Char">
    <w:name w:val="Heading 4 Char"/>
    <w:basedOn w:val="DefaultParagraphFont"/>
    <w:link w:val="Heading4"/>
    <w:uiPriority w:val="7"/>
    <w:rsid w:val="00942B90"/>
    <w:rPr>
      <w:rFonts w:asciiTheme="majorHAnsi" w:eastAsiaTheme="majorEastAsia" w:hAnsiTheme="majorHAnsi" w:cstheme="majorBidi"/>
      <w:b/>
      <w:iCs/>
      <w:color w:val="636569" w:themeColor="text2"/>
      <w:sz w:val="28"/>
      <w:szCs w:val="28"/>
    </w:rPr>
  </w:style>
  <w:style w:type="paragraph" w:styleId="TOC7">
    <w:name w:val="toc 7"/>
    <w:basedOn w:val="TOC1"/>
    <w:next w:val="BodyText"/>
    <w:uiPriority w:val="39"/>
    <w:rsid w:val="00942B90"/>
  </w:style>
  <w:style w:type="character" w:customStyle="1" w:styleId="Heading5Char">
    <w:name w:val="Heading 5 Char"/>
    <w:basedOn w:val="DefaultParagraphFont"/>
    <w:link w:val="Heading5"/>
    <w:uiPriority w:val="7"/>
    <w:rsid w:val="00942B90"/>
    <w:rPr>
      <w:rFonts w:asciiTheme="majorHAnsi" w:eastAsiaTheme="majorEastAsia" w:hAnsiTheme="majorHAnsi" w:cstheme="minorHAnsi"/>
      <w:b/>
      <w:iCs/>
      <w:color w:val="009CA6" w:themeColor="accent2"/>
      <w:sz w:val="24"/>
      <w:szCs w:val="24"/>
    </w:rPr>
  </w:style>
  <w:style w:type="paragraph" w:styleId="TOC8">
    <w:name w:val="toc 8"/>
    <w:basedOn w:val="TOC7"/>
    <w:next w:val="BodyText"/>
    <w:uiPriority w:val="39"/>
    <w:rsid w:val="00942B90"/>
    <w:pPr>
      <w:tabs>
        <w:tab w:val="left" w:pos="851"/>
      </w:tabs>
      <w:spacing w:before="60"/>
      <w:ind w:left="850" w:hanging="510"/>
    </w:pPr>
    <w:rPr>
      <w:color w:val="636569" w:themeColor="text2"/>
    </w:rPr>
  </w:style>
  <w:style w:type="character" w:customStyle="1" w:styleId="Heading6Char">
    <w:name w:val="Heading 6 Char"/>
    <w:basedOn w:val="DefaultParagraphFont"/>
    <w:link w:val="Heading6"/>
    <w:uiPriority w:val="7"/>
    <w:semiHidden/>
    <w:rsid w:val="00942B90"/>
    <w:rPr>
      <w:rFonts w:asciiTheme="majorHAnsi" w:eastAsiaTheme="majorEastAsia" w:hAnsiTheme="majorHAnsi" w:cstheme="minorHAnsi"/>
      <w:color w:val="009CA6" w:themeColor="accent2"/>
      <w:sz w:val="24"/>
    </w:rPr>
  </w:style>
  <w:style w:type="paragraph" w:styleId="TOC9">
    <w:name w:val="toc 9"/>
    <w:basedOn w:val="TOC8"/>
    <w:next w:val="BodyText"/>
    <w:uiPriority w:val="39"/>
    <w:rsid w:val="00942B90"/>
    <w:pPr>
      <w:tabs>
        <w:tab w:val="clear" w:pos="851"/>
        <w:tab w:val="left" w:pos="1531"/>
      </w:tabs>
      <w:ind w:left="1531" w:hanging="680"/>
    </w:pPr>
  </w:style>
  <w:style w:type="paragraph" w:styleId="TOCHeading">
    <w:name w:val="TOC Heading"/>
    <w:basedOn w:val="Heading1"/>
    <w:next w:val="BodyText"/>
    <w:uiPriority w:val="99"/>
    <w:qFormat/>
    <w:rsid w:val="00942B90"/>
    <w:pPr>
      <w:pageBreakBefore/>
      <w:numPr>
        <w:numId w:val="0"/>
      </w:numPr>
      <w:outlineLvl w:val="9"/>
    </w:pPr>
    <w:rPr>
      <w:color w:val="009CA6" w:themeColor="accent2"/>
    </w:rPr>
  </w:style>
  <w:style w:type="paragraph" w:customStyle="1" w:styleId="BodyIndent2">
    <w:name w:val="Body Indent 2"/>
    <w:basedOn w:val="BodyBullet2"/>
    <w:uiPriority w:val="9"/>
    <w:qFormat/>
    <w:rsid w:val="00942B90"/>
    <w:pPr>
      <w:numPr>
        <w:ilvl w:val="0"/>
        <w:numId w:val="0"/>
      </w:numPr>
      <w:ind w:left="680"/>
    </w:pPr>
  </w:style>
  <w:style w:type="paragraph" w:customStyle="1" w:styleId="BodyIndent3">
    <w:name w:val="Body Indent 3"/>
    <w:basedOn w:val="BodyBullet3"/>
    <w:uiPriority w:val="9"/>
    <w:qFormat/>
    <w:rsid w:val="00942B90"/>
    <w:pPr>
      <w:numPr>
        <w:ilvl w:val="0"/>
        <w:numId w:val="0"/>
      </w:numPr>
      <w:ind w:left="1021"/>
    </w:pPr>
  </w:style>
  <w:style w:type="character" w:styleId="EndnoteReference">
    <w:name w:val="endnote reference"/>
    <w:basedOn w:val="DefaultParagraphFont"/>
    <w:uiPriority w:val="14"/>
    <w:qFormat/>
    <w:rsid w:val="00942B90"/>
    <w:rPr>
      <w:rFonts w:asciiTheme="minorHAnsi" w:hAnsiTheme="minorHAnsi"/>
      <w:vertAlign w:val="superscript"/>
    </w:rPr>
  </w:style>
  <w:style w:type="paragraph" w:styleId="ListBullet">
    <w:name w:val="List Bullet"/>
    <w:basedOn w:val="BodyText"/>
    <w:uiPriority w:val="99"/>
    <w:semiHidden/>
    <w:rsid w:val="00942B90"/>
    <w:pPr>
      <w:numPr>
        <w:numId w:val="1"/>
      </w:numPr>
      <w:spacing w:before="120"/>
      <w:contextualSpacing/>
    </w:pPr>
  </w:style>
  <w:style w:type="table" w:styleId="TableGrid">
    <w:name w:val="Table Grid"/>
    <w:basedOn w:val="TableNormal"/>
    <w:uiPriority w:val="59"/>
    <w:rsid w:val="00942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942B90"/>
    <w:pPr>
      <w:keepNext w:val="0"/>
      <w:spacing w:before="120" w:after="360"/>
      <w:ind w:left="0" w:firstLine="0"/>
    </w:pPr>
    <w:rPr>
      <w:color w:val="A4A2A4" w:themeColor="background2"/>
      <w:szCs w:val="18"/>
    </w:rPr>
  </w:style>
  <w:style w:type="paragraph" w:styleId="ListBullet2">
    <w:name w:val="List Bullet 2"/>
    <w:basedOn w:val="ListBullet"/>
    <w:uiPriority w:val="99"/>
    <w:semiHidden/>
    <w:rsid w:val="00942B90"/>
    <w:pPr>
      <w:numPr>
        <w:ilvl w:val="1"/>
      </w:numPr>
    </w:pPr>
  </w:style>
  <w:style w:type="paragraph" w:customStyle="1" w:styleId="TableText">
    <w:name w:val="Table Text"/>
    <w:basedOn w:val="Normal"/>
    <w:uiPriority w:val="3"/>
    <w:qFormat/>
    <w:rsid w:val="00942B90"/>
    <w:pPr>
      <w:numPr>
        <w:numId w:val="26"/>
      </w:numPr>
      <w:spacing w:before="60" w:after="60" w:line="240" w:lineRule="auto"/>
    </w:pPr>
    <w:rPr>
      <w:sz w:val="18"/>
      <w:szCs w:val="20"/>
    </w:rPr>
  </w:style>
  <w:style w:type="paragraph" w:styleId="EndnoteText">
    <w:name w:val="endnote text"/>
    <w:basedOn w:val="Normal"/>
    <w:link w:val="EndnoteTextChar"/>
    <w:uiPriority w:val="14"/>
    <w:qFormat/>
    <w:rsid w:val="00942B90"/>
    <w:pPr>
      <w:ind w:left="340" w:hanging="340"/>
    </w:pPr>
    <w:rPr>
      <w:sz w:val="18"/>
      <w:szCs w:val="18"/>
    </w:rPr>
  </w:style>
  <w:style w:type="paragraph" w:styleId="ListBullet3">
    <w:name w:val="List Bullet 3"/>
    <w:basedOn w:val="ListBullet2"/>
    <w:uiPriority w:val="99"/>
    <w:semiHidden/>
    <w:rsid w:val="00942B90"/>
    <w:pPr>
      <w:numPr>
        <w:ilvl w:val="2"/>
      </w:numPr>
    </w:pPr>
  </w:style>
  <w:style w:type="character" w:customStyle="1" w:styleId="EndnoteTextChar">
    <w:name w:val="Endnote Text Char"/>
    <w:basedOn w:val="DefaultParagraphFont"/>
    <w:link w:val="EndnoteText"/>
    <w:uiPriority w:val="14"/>
    <w:rsid w:val="00942B90"/>
    <w:rPr>
      <w:sz w:val="18"/>
      <w:szCs w:val="18"/>
    </w:rPr>
  </w:style>
  <w:style w:type="paragraph" w:styleId="Footer">
    <w:name w:val="footer"/>
    <w:basedOn w:val="Normal"/>
    <w:link w:val="FooterChar"/>
    <w:uiPriority w:val="99"/>
    <w:qFormat/>
    <w:rsid w:val="00942B90"/>
    <w:pPr>
      <w:spacing w:before="600"/>
      <w:jc w:val="right"/>
    </w:pPr>
    <w:rPr>
      <w:rFonts w:cstheme="minorHAnsi"/>
      <w:noProof/>
      <w:color w:val="636569" w:themeColor="text2"/>
      <w:sz w:val="18"/>
      <w:szCs w:val="18"/>
    </w:rPr>
  </w:style>
  <w:style w:type="character" w:customStyle="1" w:styleId="FooterChar">
    <w:name w:val="Footer Char"/>
    <w:basedOn w:val="DefaultParagraphFont"/>
    <w:link w:val="Footer"/>
    <w:uiPriority w:val="99"/>
    <w:rsid w:val="00942B90"/>
    <w:rPr>
      <w:rFonts w:cstheme="minorHAnsi"/>
      <w:noProof/>
      <w:color w:val="636569" w:themeColor="text2"/>
      <w:sz w:val="18"/>
      <w:szCs w:val="18"/>
    </w:rPr>
  </w:style>
  <w:style w:type="character" w:styleId="FootnoteReference">
    <w:name w:val="footnote reference"/>
    <w:basedOn w:val="DefaultParagraphFont"/>
    <w:uiPriority w:val="10"/>
    <w:qFormat/>
    <w:rsid w:val="00942B90"/>
    <w:rPr>
      <w:vertAlign w:val="superscript"/>
    </w:rPr>
  </w:style>
  <w:style w:type="paragraph" w:styleId="FootnoteText">
    <w:name w:val="footnote text"/>
    <w:basedOn w:val="Normal"/>
    <w:link w:val="FootnoteTextChar"/>
    <w:uiPriority w:val="10"/>
    <w:qFormat/>
    <w:rsid w:val="00942B90"/>
    <w:pPr>
      <w:ind w:left="340" w:hanging="340"/>
    </w:pPr>
    <w:rPr>
      <w:sz w:val="18"/>
      <w:szCs w:val="18"/>
    </w:rPr>
  </w:style>
  <w:style w:type="character" w:customStyle="1" w:styleId="FootnoteTextChar">
    <w:name w:val="Footnote Text Char"/>
    <w:basedOn w:val="DefaultParagraphFont"/>
    <w:link w:val="FootnoteText"/>
    <w:uiPriority w:val="10"/>
    <w:rsid w:val="00942B90"/>
    <w:rPr>
      <w:sz w:val="18"/>
      <w:szCs w:val="18"/>
    </w:rPr>
  </w:style>
  <w:style w:type="paragraph" w:styleId="Header">
    <w:name w:val="header"/>
    <w:basedOn w:val="Normal"/>
    <w:link w:val="HeaderChar"/>
    <w:uiPriority w:val="99"/>
    <w:qFormat/>
    <w:rsid w:val="00942B90"/>
    <w:pPr>
      <w:spacing w:before="80" w:after="1800" w:line="280" w:lineRule="atLeast"/>
    </w:pPr>
    <w:rPr>
      <w:color w:val="009CA6" w:themeColor="accent2"/>
      <w:sz w:val="24"/>
      <w:szCs w:val="18"/>
    </w:rPr>
  </w:style>
  <w:style w:type="character" w:customStyle="1" w:styleId="HeaderChar">
    <w:name w:val="Header Char"/>
    <w:basedOn w:val="DefaultParagraphFont"/>
    <w:link w:val="Header"/>
    <w:uiPriority w:val="99"/>
    <w:rsid w:val="00942B90"/>
    <w:rPr>
      <w:color w:val="009CA6" w:themeColor="accent2"/>
      <w:sz w:val="24"/>
      <w:szCs w:val="18"/>
    </w:rPr>
  </w:style>
  <w:style w:type="character" w:styleId="Hyperlink">
    <w:name w:val="Hyperlink"/>
    <w:basedOn w:val="DefaultParagraphFont"/>
    <w:uiPriority w:val="99"/>
    <w:qFormat/>
    <w:rsid w:val="00942B90"/>
    <w:rPr>
      <w:color w:val="250E62" w:themeColor="accent1"/>
    </w:rPr>
  </w:style>
  <w:style w:type="paragraph" w:styleId="ListNumber">
    <w:name w:val="List Number"/>
    <w:basedOn w:val="BodyText"/>
    <w:uiPriority w:val="99"/>
    <w:semiHidden/>
    <w:rsid w:val="00942B90"/>
    <w:pPr>
      <w:numPr>
        <w:numId w:val="4"/>
      </w:numPr>
      <w:contextualSpacing/>
    </w:pPr>
  </w:style>
  <w:style w:type="paragraph" w:styleId="ListNumber2">
    <w:name w:val="List Number 2"/>
    <w:basedOn w:val="ListNumber"/>
    <w:uiPriority w:val="99"/>
    <w:semiHidden/>
    <w:rsid w:val="00942B90"/>
    <w:pPr>
      <w:numPr>
        <w:numId w:val="5"/>
      </w:numPr>
    </w:pPr>
  </w:style>
  <w:style w:type="paragraph" w:styleId="ListNumber3">
    <w:name w:val="List Number 3"/>
    <w:basedOn w:val="List2"/>
    <w:uiPriority w:val="99"/>
    <w:semiHidden/>
    <w:rsid w:val="00942B90"/>
    <w:pPr>
      <w:numPr>
        <w:numId w:val="6"/>
      </w:numPr>
    </w:pPr>
  </w:style>
  <w:style w:type="character" w:styleId="PageNumber">
    <w:name w:val="page number"/>
    <w:basedOn w:val="DefaultParagraphFont"/>
    <w:uiPriority w:val="99"/>
    <w:semiHidden/>
    <w:rsid w:val="00942B90"/>
  </w:style>
  <w:style w:type="paragraph" w:styleId="List2">
    <w:name w:val="List 2"/>
    <w:basedOn w:val="Normal"/>
    <w:uiPriority w:val="99"/>
    <w:semiHidden/>
    <w:rsid w:val="00942B90"/>
    <w:pPr>
      <w:ind w:left="566" w:hanging="283"/>
      <w:contextualSpacing/>
    </w:pPr>
  </w:style>
  <w:style w:type="paragraph" w:styleId="TableofFigures">
    <w:name w:val="table of figures"/>
    <w:basedOn w:val="TOC1"/>
    <w:next w:val="BodyText"/>
    <w:uiPriority w:val="99"/>
    <w:rsid w:val="00942B90"/>
    <w:pPr>
      <w:spacing w:before="60"/>
    </w:pPr>
    <w:rPr>
      <w:color w:val="000000" w:themeColor="text1"/>
      <w:sz w:val="20"/>
    </w:rPr>
  </w:style>
  <w:style w:type="character" w:customStyle="1" w:styleId="Heading7Char">
    <w:name w:val="Heading 7 Char"/>
    <w:basedOn w:val="DefaultParagraphFont"/>
    <w:link w:val="Heading7"/>
    <w:uiPriority w:val="8"/>
    <w:semiHidden/>
    <w:rsid w:val="00942B90"/>
    <w:rPr>
      <w:rFonts w:asciiTheme="majorHAnsi" w:eastAsiaTheme="majorEastAsia" w:hAnsiTheme="majorHAnsi" w:cstheme="majorBidi"/>
      <w:bCs/>
      <w:iCs/>
      <w:color w:val="009EA0"/>
      <w:sz w:val="72"/>
      <w:szCs w:val="40"/>
    </w:rPr>
  </w:style>
  <w:style w:type="paragraph" w:customStyle="1" w:styleId="TableBullet1">
    <w:name w:val="Table Bullet 1"/>
    <w:basedOn w:val="TableText"/>
    <w:uiPriority w:val="3"/>
    <w:qFormat/>
    <w:rsid w:val="00942B90"/>
    <w:pPr>
      <w:numPr>
        <w:numId w:val="16"/>
      </w:numPr>
    </w:pPr>
  </w:style>
  <w:style w:type="paragraph" w:customStyle="1" w:styleId="TableBullet2">
    <w:name w:val="Table Bullet 2"/>
    <w:basedOn w:val="TableBullet1"/>
    <w:uiPriority w:val="3"/>
    <w:qFormat/>
    <w:rsid w:val="00942B90"/>
    <w:pPr>
      <w:numPr>
        <w:ilvl w:val="1"/>
      </w:numPr>
    </w:pPr>
  </w:style>
  <w:style w:type="paragraph" w:customStyle="1" w:styleId="BodyNumbering1">
    <w:name w:val="Body Numbering 1"/>
    <w:basedOn w:val="BodyBullet1"/>
    <w:uiPriority w:val="99"/>
    <w:qFormat/>
    <w:rsid w:val="00942B90"/>
    <w:pPr>
      <w:numPr>
        <w:ilvl w:val="3"/>
      </w:numPr>
    </w:pPr>
  </w:style>
  <w:style w:type="paragraph" w:customStyle="1" w:styleId="BodyNumbering2">
    <w:name w:val="Body Numbering 2"/>
    <w:basedOn w:val="BodyNumbering1"/>
    <w:uiPriority w:val="99"/>
    <w:qFormat/>
    <w:rsid w:val="00942B90"/>
    <w:pPr>
      <w:numPr>
        <w:ilvl w:val="4"/>
      </w:numPr>
    </w:pPr>
  </w:style>
  <w:style w:type="paragraph" w:customStyle="1" w:styleId="BodyBullet1">
    <w:name w:val="Body Bullet 1"/>
    <w:basedOn w:val="BodyText"/>
    <w:uiPriority w:val="1"/>
    <w:qFormat/>
    <w:rsid w:val="00942B90"/>
    <w:pPr>
      <w:numPr>
        <w:numId w:val="14"/>
      </w:numPr>
      <w:spacing w:before="120"/>
    </w:pPr>
  </w:style>
  <w:style w:type="paragraph" w:customStyle="1" w:styleId="BodyBullet2">
    <w:name w:val="Body Bullet 2"/>
    <w:basedOn w:val="BodyBullet1"/>
    <w:uiPriority w:val="1"/>
    <w:qFormat/>
    <w:rsid w:val="00942B90"/>
    <w:pPr>
      <w:numPr>
        <w:ilvl w:val="1"/>
      </w:numPr>
    </w:pPr>
  </w:style>
  <w:style w:type="paragraph" w:customStyle="1" w:styleId="BodyBullet3">
    <w:name w:val="Body Bullet 3"/>
    <w:basedOn w:val="BodyBullet2"/>
    <w:uiPriority w:val="1"/>
    <w:qFormat/>
    <w:rsid w:val="00942B90"/>
    <w:pPr>
      <w:numPr>
        <w:ilvl w:val="2"/>
      </w:numPr>
    </w:pPr>
  </w:style>
  <w:style w:type="paragraph" w:customStyle="1" w:styleId="BodyNumbering3">
    <w:name w:val="Body Numbering 3"/>
    <w:basedOn w:val="BodyNumbering2"/>
    <w:uiPriority w:val="99"/>
    <w:qFormat/>
    <w:rsid w:val="00942B90"/>
    <w:pPr>
      <w:numPr>
        <w:ilvl w:val="5"/>
      </w:numPr>
      <w:ind w:left="1021" w:hanging="341"/>
    </w:pPr>
  </w:style>
  <w:style w:type="paragraph" w:customStyle="1" w:styleId="BodyIndent1">
    <w:name w:val="Body Indent 1"/>
    <w:basedOn w:val="BodyBullet1"/>
    <w:uiPriority w:val="9"/>
    <w:qFormat/>
    <w:rsid w:val="00942B90"/>
    <w:pPr>
      <w:numPr>
        <w:numId w:val="0"/>
      </w:numPr>
      <w:ind w:left="340"/>
    </w:pPr>
  </w:style>
  <w:style w:type="paragraph" w:customStyle="1" w:styleId="TableBullet3">
    <w:name w:val="Table Bullet 3"/>
    <w:basedOn w:val="TableBullet2"/>
    <w:uiPriority w:val="3"/>
    <w:qFormat/>
    <w:rsid w:val="00942B90"/>
    <w:pPr>
      <w:numPr>
        <w:ilvl w:val="2"/>
      </w:numPr>
    </w:pPr>
  </w:style>
  <w:style w:type="paragraph" w:customStyle="1" w:styleId="TableNumbering1">
    <w:name w:val="Table Numbering 1"/>
    <w:basedOn w:val="TableBullet1"/>
    <w:uiPriority w:val="9"/>
    <w:qFormat/>
    <w:rsid w:val="00942B90"/>
    <w:pPr>
      <w:numPr>
        <w:ilvl w:val="3"/>
      </w:numPr>
    </w:pPr>
  </w:style>
  <w:style w:type="paragraph" w:customStyle="1" w:styleId="TableNumbering2">
    <w:name w:val="Table Numbering 2"/>
    <w:basedOn w:val="TableNumbering1"/>
    <w:uiPriority w:val="9"/>
    <w:qFormat/>
    <w:rsid w:val="00942B90"/>
    <w:pPr>
      <w:numPr>
        <w:ilvl w:val="4"/>
      </w:numPr>
    </w:pPr>
  </w:style>
  <w:style w:type="paragraph" w:customStyle="1" w:styleId="TableNumbering3">
    <w:name w:val="Table Numbering 3"/>
    <w:basedOn w:val="TableNumbering2"/>
    <w:uiPriority w:val="9"/>
    <w:qFormat/>
    <w:rsid w:val="00942B90"/>
    <w:pPr>
      <w:numPr>
        <w:ilvl w:val="5"/>
      </w:numPr>
    </w:pPr>
  </w:style>
  <w:style w:type="paragraph" w:customStyle="1" w:styleId="TableIndent1">
    <w:name w:val="Table Indent 1"/>
    <w:basedOn w:val="TableBullet1"/>
    <w:uiPriority w:val="9"/>
    <w:qFormat/>
    <w:rsid w:val="00942B90"/>
    <w:pPr>
      <w:numPr>
        <w:numId w:val="0"/>
      </w:numPr>
      <w:ind w:left="340"/>
    </w:pPr>
  </w:style>
  <w:style w:type="paragraph" w:customStyle="1" w:styleId="TableIndent2">
    <w:name w:val="Table Indent 2"/>
    <w:basedOn w:val="TableBullet2"/>
    <w:uiPriority w:val="9"/>
    <w:qFormat/>
    <w:rsid w:val="00942B90"/>
    <w:pPr>
      <w:numPr>
        <w:ilvl w:val="0"/>
        <w:numId w:val="0"/>
      </w:numPr>
      <w:ind w:left="680"/>
    </w:pPr>
  </w:style>
  <w:style w:type="paragraph" w:customStyle="1" w:styleId="TableIndent3">
    <w:name w:val="Table Indent 3"/>
    <w:basedOn w:val="TableBullet3"/>
    <w:uiPriority w:val="9"/>
    <w:qFormat/>
    <w:rsid w:val="00942B90"/>
    <w:pPr>
      <w:numPr>
        <w:ilvl w:val="0"/>
        <w:numId w:val="0"/>
      </w:numPr>
      <w:ind w:left="1021"/>
    </w:pPr>
  </w:style>
  <w:style w:type="table" w:customStyle="1" w:styleId="MainTableStyle">
    <w:name w:val="Main Table Style"/>
    <w:basedOn w:val="TableNormal"/>
    <w:uiPriority w:val="99"/>
    <w:rsid w:val="00942B90"/>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b w:val="0"/>
        <w:color w:val="FFFFFF" w:themeColor="background1"/>
      </w:rPr>
      <w:tblPr/>
      <w:trPr>
        <w:cantSplit/>
        <w:tblHeader/>
      </w:tr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009CA6" w:themeFill="accent2"/>
        <w:vAlign w:val="bottom"/>
      </w:tcPr>
    </w:tblStylePr>
    <w:tblStylePr w:type="lastRow">
      <w:pPr>
        <w:keepLines/>
        <w:widowControl/>
        <w:wordWrap/>
        <w:jc w:val="left"/>
      </w:pPr>
      <w:rPr>
        <w:b/>
      </w:rPr>
      <w:tblPr/>
      <w:tcPr>
        <w:tcBorders>
          <w:top w:val="single" w:sz="4" w:space="0" w:color="250E62" w:themeColor="accent1"/>
          <w:left w:val="nil"/>
          <w:bottom w:val="single" w:sz="4" w:space="0" w:color="250E62" w:themeColor="accent1"/>
          <w:right w:val="nil"/>
          <w:insideH w:val="nil"/>
          <w:insideV w:val="single" w:sz="4" w:space="0" w:color="250E62" w:themeColor="accent1"/>
          <w:tl2br w:val="nil"/>
          <w:tr2bl w:val="nil"/>
        </w:tcBorders>
        <w:shd w:val="clear" w:color="auto" w:fill="E9EFF7"/>
      </w:tcPr>
    </w:tblStylePr>
    <w:tblStylePr w:type="firstCol">
      <w:tblPr/>
      <w:tcPr>
        <w:tcBorders>
          <w:top w:val="single" w:sz="4" w:space="0" w:color="250E62" w:themeColor="accent1"/>
          <w:left w:val="nil"/>
          <w:bottom w:val="single" w:sz="4" w:space="0" w:color="250E62" w:themeColor="accent1"/>
          <w:right w:val="nil"/>
          <w:insideH w:val="single" w:sz="4" w:space="0" w:color="250E62" w:themeColor="accent1"/>
          <w:insideV w:val="nil"/>
          <w:tl2br w:val="nil"/>
          <w:tr2bl w:val="nil"/>
        </w:tcBorders>
        <w:shd w:val="clear" w:color="auto" w:fill="E1F4F5"/>
      </w:tcPr>
    </w:tblStylePr>
  </w:style>
  <w:style w:type="paragraph" w:customStyle="1" w:styleId="BodyTextSingleSpacing">
    <w:name w:val="Body Text Single Spacing"/>
    <w:basedOn w:val="BodyText"/>
    <w:uiPriority w:val="14"/>
    <w:qFormat/>
    <w:rsid w:val="00942B90"/>
    <w:pPr>
      <w:spacing w:before="0" w:after="0" w:line="252" w:lineRule="auto"/>
    </w:pPr>
  </w:style>
  <w:style w:type="table" w:customStyle="1" w:styleId="RowMainTableStyle">
    <w:name w:val="Row Main Table Style"/>
    <w:basedOn w:val="TableNormal"/>
    <w:uiPriority w:val="99"/>
    <w:rsid w:val="00942B90"/>
    <w:pPr>
      <w:spacing w:after="0" w:line="240" w:lineRule="auto"/>
    </w:pPr>
    <w:rPr>
      <w:sz w:val="20"/>
    </w:rPr>
    <w:tblPr>
      <w:tblBorders>
        <w:top w:val="single" w:sz="4" w:space="0" w:color="636569" w:themeColor="text2"/>
        <w:bottom w:val="single" w:sz="4" w:space="0" w:color="636569" w:themeColor="text2"/>
        <w:insideH w:val="single" w:sz="4" w:space="0" w:color="636569" w:themeColor="text2"/>
        <w:insideV w:val="single" w:sz="4" w:space="0" w:color="636569" w:themeColor="text2"/>
      </w:tblBorders>
    </w:tblPr>
    <w:tblStylePr w:type="firstRow">
      <w:pPr>
        <w:keepNext/>
        <w:keepLines/>
        <w:widowControl/>
        <w:wordWrap/>
        <w:jc w:val="left"/>
      </w:pPr>
      <w:rPr>
        <w:color w:val="009CA6" w:themeColor="accent2"/>
      </w:rPr>
      <w:tblPr/>
      <w:trPr>
        <w:cantSplit/>
        <w:tblHeader/>
      </w:trPr>
      <w:tcPr>
        <w:tcBorders>
          <w:top w:val="nil"/>
          <w:left w:val="nil"/>
          <w:bottom w:val="single" w:sz="12" w:space="0" w:color="009CA6" w:themeColor="accen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4" w:space="0" w:color="636569" w:themeColor="text2"/>
          <w:left w:val="nil"/>
          <w:bottom w:val="single" w:sz="4" w:space="0" w:color="636569" w:themeColor="text2"/>
          <w:right w:val="nil"/>
          <w:insideH w:val="nil"/>
          <w:insideV w:val="single" w:sz="4" w:space="0" w:color="636569" w:themeColor="text2"/>
          <w:tl2br w:val="nil"/>
          <w:tr2bl w:val="nil"/>
        </w:tcBorders>
        <w:shd w:val="clear" w:color="auto" w:fill="E9EFF7"/>
      </w:tcPr>
    </w:tblStylePr>
    <w:tblStylePr w:type="firstCol">
      <w:pPr>
        <w:keepLines w:val="0"/>
        <w:widowControl/>
        <w:wordWrap/>
      </w:pPr>
      <w:rPr>
        <w:b w:val="0"/>
        <w:i w:val="0"/>
        <w:color w:val="FFFFFF" w:themeColor="background1"/>
      </w:rPr>
      <w:tblPr/>
      <w:tcPr>
        <w:tcBorders>
          <w:top w:val="single" w:sz="4" w:space="0" w:color="636569" w:themeColor="text2"/>
          <w:left w:val="nil"/>
          <w:bottom w:val="single" w:sz="4" w:space="0" w:color="636569" w:themeColor="text2"/>
          <w:right w:val="nil"/>
          <w:insideH w:val="single" w:sz="4" w:space="0" w:color="636569" w:themeColor="text2"/>
          <w:insideV w:val="nil"/>
          <w:tl2br w:val="nil"/>
          <w:tr2bl w:val="nil"/>
        </w:tcBorders>
        <w:shd w:val="clear" w:color="auto" w:fill="009CA6" w:themeFill="accent2"/>
      </w:tcPr>
    </w:tblStylePr>
    <w:tblStylePr w:type="swCell">
      <w:rPr>
        <w:b/>
        <w:i w:val="0"/>
        <w:color w:val="auto"/>
      </w:rPr>
      <w:tblPr/>
      <w:tcPr>
        <w:tcBorders>
          <w:top w:val="single" w:sz="4" w:space="0" w:color="636569" w:themeColor="text2"/>
          <w:left w:val="nil"/>
          <w:bottom w:val="single" w:sz="4" w:space="0" w:color="636569" w:themeColor="text2"/>
          <w:right w:val="single" w:sz="4" w:space="0" w:color="636569" w:themeColor="text2"/>
          <w:insideH w:val="nil"/>
          <w:insideV w:val="nil"/>
          <w:tl2br w:val="nil"/>
          <w:tr2bl w:val="nil"/>
        </w:tcBorders>
        <w:shd w:val="clear" w:color="auto" w:fill="E9EFF7"/>
      </w:tcPr>
    </w:tblStylePr>
  </w:style>
  <w:style w:type="character" w:customStyle="1" w:styleId="CharacterStyle-BaseColour">
    <w:name w:val="Character Style - Base Colour"/>
    <w:basedOn w:val="DefaultParagraphFont"/>
    <w:uiPriority w:val="5"/>
    <w:qFormat/>
    <w:rsid w:val="00942B90"/>
    <w:rPr>
      <w:color w:val="250E62" w:themeColor="accent1"/>
    </w:rPr>
  </w:style>
  <w:style w:type="character" w:customStyle="1" w:styleId="CharacterStyle-BrightColour">
    <w:name w:val="Character Style - Bright Colour"/>
    <w:uiPriority w:val="5"/>
    <w:qFormat/>
    <w:rsid w:val="00942B90"/>
    <w:rPr>
      <w:color w:val="009CA6" w:themeColor="accent2"/>
    </w:rPr>
  </w:style>
  <w:style w:type="paragraph" w:customStyle="1" w:styleId="CalloutHeader">
    <w:name w:val="Callout Header"/>
    <w:basedOn w:val="TableText"/>
    <w:uiPriority w:val="9"/>
    <w:qFormat/>
    <w:rsid w:val="00942B90"/>
    <w:pPr>
      <w:keepNext/>
      <w:keepLines/>
      <w:numPr>
        <w:numId w:val="0"/>
      </w:numPr>
      <w:spacing w:before="0"/>
    </w:pPr>
    <w:rPr>
      <w:rFonts w:ascii="Nunito SemiBold" w:hAnsi="Nunito SemiBold"/>
      <w:color w:val="009CA6" w:themeColor="accent2"/>
      <w:sz w:val="24"/>
    </w:rPr>
  </w:style>
  <w:style w:type="paragraph" w:customStyle="1" w:styleId="Spacer">
    <w:name w:val="Spacer"/>
    <w:basedOn w:val="BodyTextSingleSpacing"/>
    <w:uiPriority w:val="9"/>
    <w:qFormat/>
    <w:rsid w:val="00942B90"/>
  </w:style>
  <w:style w:type="paragraph" w:styleId="BalloonText">
    <w:name w:val="Balloon Text"/>
    <w:basedOn w:val="Normal"/>
    <w:link w:val="BalloonTextChar"/>
    <w:uiPriority w:val="99"/>
    <w:semiHidden/>
    <w:rsid w:val="00942B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B90"/>
    <w:rPr>
      <w:rFonts w:ascii="Tahoma" w:hAnsi="Tahoma" w:cs="Tahoma"/>
      <w:sz w:val="16"/>
      <w:szCs w:val="16"/>
    </w:rPr>
  </w:style>
  <w:style w:type="paragraph" w:styleId="Date">
    <w:name w:val="Date"/>
    <w:basedOn w:val="BodyText"/>
    <w:next w:val="BodyTextSingleSpacing"/>
    <w:link w:val="DateChar"/>
    <w:uiPriority w:val="99"/>
    <w:semiHidden/>
    <w:rsid w:val="00942B90"/>
    <w:pPr>
      <w:pageBreakBefore/>
      <w:spacing w:after="720"/>
    </w:pPr>
  </w:style>
  <w:style w:type="character" w:customStyle="1" w:styleId="DateChar">
    <w:name w:val="Date Char"/>
    <w:basedOn w:val="DefaultParagraphFont"/>
    <w:link w:val="Date"/>
    <w:uiPriority w:val="99"/>
    <w:semiHidden/>
    <w:rsid w:val="00942B90"/>
    <w:rPr>
      <w:sz w:val="20"/>
    </w:rPr>
  </w:style>
  <w:style w:type="paragraph" w:styleId="Signature">
    <w:name w:val="Signature"/>
    <w:basedOn w:val="BodyText"/>
    <w:next w:val="BodyTextSingleSpacing"/>
    <w:link w:val="SignatureChar"/>
    <w:uiPriority w:val="99"/>
    <w:semiHidden/>
    <w:rsid w:val="00942B90"/>
    <w:pPr>
      <w:keepNext/>
      <w:spacing w:before="360" w:after="360"/>
    </w:pPr>
  </w:style>
  <w:style w:type="character" w:customStyle="1" w:styleId="SignatureChar">
    <w:name w:val="Signature Char"/>
    <w:basedOn w:val="DefaultParagraphFont"/>
    <w:link w:val="Signature"/>
    <w:uiPriority w:val="99"/>
    <w:semiHidden/>
    <w:rsid w:val="00942B90"/>
    <w:rPr>
      <w:sz w:val="20"/>
    </w:rPr>
  </w:style>
  <w:style w:type="paragraph" w:customStyle="1" w:styleId="SubjectLine">
    <w:name w:val="Subject Line"/>
    <w:basedOn w:val="BodyText"/>
    <w:next w:val="BodyText"/>
    <w:semiHidden/>
    <w:rsid w:val="00942B90"/>
    <w:rPr>
      <w:b/>
      <w:caps/>
    </w:rPr>
  </w:style>
  <w:style w:type="paragraph" w:customStyle="1" w:styleId="Yourssincerely">
    <w:name w:val="Yours sincerely"/>
    <w:basedOn w:val="BodyText"/>
    <w:next w:val="Signature"/>
    <w:uiPriority w:val="99"/>
    <w:semiHidden/>
    <w:rsid w:val="00942B90"/>
    <w:pPr>
      <w:keepNext/>
    </w:pPr>
  </w:style>
  <w:style w:type="paragraph" w:customStyle="1" w:styleId="Disclaimer">
    <w:name w:val="Disclaimer"/>
    <w:basedOn w:val="Normal"/>
    <w:next w:val="BodyText"/>
    <w:semiHidden/>
    <w:rsid w:val="00942B90"/>
    <w:pPr>
      <w:spacing w:before="3000" w:line="240" w:lineRule="auto"/>
    </w:pPr>
    <w:rPr>
      <w:sz w:val="16"/>
      <w:szCs w:val="16"/>
    </w:rPr>
  </w:style>
  <w:style w:type="paragraph" w:styleId="TableofAuthorities">
    <w:name w:val="table of authorities"/>
    <w:basedOn w:val="TableofFigures"/>
    <w:next w:val="BodyText"/>
    <w:uiPriority w:val="99"/>
    <w:semiHidden/>
    <w:rsid w:val="00942B90"/>
  </w:style>
  <w:style w:type="character" w:customStyle="1" w:styleId="Heading8Char">
    <w:name w:val="Heading 8 Char"/>
    <w:basedOn w:val="DefaultParagraphFont"/>
    <w:link w:val="Heading8"/>
    <w:uiPriority w:val="8"/>
    <w:semiHidden/>
    <w:rsid w:val="00942B90"/>
    <w:rPr>
      <w:rFonts w:asciiTheme="majorHAnsi" w:eastAsiaTheme="majorEastAsia" w:hAnsiTheme="majorHAnsi" w:cstheme="majorBidi"/>
      <w:bCs/>
      <w:iCs/>
      <w:color w:val="009EA0"/>
      <w:sz w:val="72"/>
      <w:szCs w:val="20"/>
    </w:rPr>
  </w:style>
  <w:style w:type="character" w:customStyle="1" w:styleId="Heading9Char">
    <w:name w:val="Heading 9 Char"/>
    <w:basedOn w:val="DefaultParagraphFont"/>
    <w:link w:val="Heading9"/>
    <w:uiPriority w:val="8"/>
    <w:semiHidden/>
    <w:rsid w:val="00942B90"/>
    <w:rPr>
      <w:rFonts w:asciiTheme="majorHAnsi" w:eastAsiaTheme="majorEastAsia" w:hAnsiTheme="majorHAnsi" w:cstheme="majorBidi"/>
      <w:bCs/>
      <w:color w:val="009EA0"/>
      <w:sz w:val="32"/>
      <w:szCs w:val="20"/>
    </w:rPr>
  </w:style>
  <w:style w:type="paragraph" w:customStyle="1" w:styleId="Object">
    <w:name w:val="Object"/>
    <w:basedOn w:val="BodyText"/>
    <w:next w:val="Source"/>
    <w:uiPriority w:val="4"/>
    <w:qFormat/>
    <w:rsid w:val="00942B90"/>
    <w:pPr>
      <w:keepNext/>
      <w:spacing w:before="360" w:after="240" w:line="240" w:lineRule="auto"/>
    </w:pPr>
  </w:style>
  <w:style w:type="character" w:styleId="PlaceholderText">
    <w:name w:val="Placeholder Text"/>
    <w:basedOn w:val="DefaultParagraphFont"/>
    <w:uiPriority w:val="99"/>
    <w:rsid w:val="00942B90"/>
    <w:rPr>
      <w:rFonts w:asciiTheme="minorHAnsi" w:hAnsiTheme="minorHAnsi"/>
      <w:vanish w:val="0"/>
      <w:color w:val="808080"/>
    </w:rPr>
  </w:style>
  <w:style w:type="paragraph" w:styleId="Quote">
    <w:name w:val="Quote"/>
    <w:basedOn w:val="BodyText"/>
    <w:next w:val="BodyText"/>
    <w:link w:val="QuoteChar"/>
    <w:uiPriority w:val="29"/>
    <w:qFormat/>
    <w:rsid w:val="00942B90"/>
    <w:pPr>
      <w:pBdr>
        <w:top w:val="thickThinMediumGap" w:sz="18" w:space="6" w:color="250E62" w:themeColor="accent1"/>
        <w:bottom w:val="thinThickMediumGap" w:sz="18" w:space="6" w:color="250E62" w:themeColor="accent1"/>
      </w:pBdr>
      <w:spacing w:before="0" w:after="0"/>
      <w:ind w:left="567" w:right="2268"/>
    </w:pPr>
    <w:rPr>
      <w:i/>
      <w:iCs/>
      <w:color w:val="250E62" w:themeColor="accent1"/>
    </w:rPr>
  </w:style>
  <w:style w:type="character" w:customStyle="1" w:styleId="QuoteChar">
    <w:name w:val="Quote Char"/>
    <w:basedOn w:val="DefaultParagraphFont"/>
    <w:link w:val="Quote"/>
    <w:uiPriority w:val="29"/>
    <w:rsid w:val="00942B90"/>
    <w:rPr>
      <w:i/>
      <w:iCs/>
      <w:color w:val="250E62" w:themeColor="accent1"/>
      <w:sz w:val="20"/>
    </w:rPr>
  </w:style>
  <w:style w:type="paragraph" w:customStyle="1" w:styleId="PageNo">
    <w:name w:val="Page No"/>
    <w:basedOn w:val="Normal"/>
    <w:link w:val="PageNoChar"/>
    <w:uiPriority w:val="99"/>
    <w:qFormat/>
    <w:rsid w:val="00942B90"/>
    <w:pPr>
      <w:spacing w:before="720" w:line="240" w:lineRule="auto"/>
      <w:jc w:val="right"/>
    </w:pPr>
    <w:rPr>
      <w:rFonts w:cstheme="minorHAnsi"/>
      <w:noProof/>
      <w:color w:val="808080" w:themeColor="background1" w:themeShade="80"/>
      <w:sz w:val="18"/>
      <w:szCs w:val="18"/>
    </w:rPr>
  </w:style>
  <w:style w:type="paragraph" w:customStyle="1" w:styleId="TableHeadingWhiteFont">
    <w:name w:val="Table Heading White Font"/>
    <w:basedOn w:val="TableText"/>
    <w:uiPriority w:val="16"/>
    <w:qFormat/>
    <w:rsid w:val="00942B90"/>
    <w:rPr>
      <w:color w:val="FFFFFF" w:themeColor="background1"/>
    </w:rPr>
  </w:style>
  <w:style w:type="character" w:customStyle="1" w:styleId="PageNoChar">
    <w:name w:val="Page No Char"/>
    <w:basedOn w:val="FooterChar"/>
    <w:link w:val="PageNo"/>
    <w:uiPriority w:val="99"/>
    <w:rsid w:val="00942B90"/>
    <w:rPr>
      <w:rFonts w:cstheme="minorHAnsi"/>
      <w:noProof/>
      <w:color w:val="808080" w:themeColor="background1" w:themeShade="80"/>
      <w:sz w:val="18"/>
      <w:szCs w:val="18"/>
    </w:rPr>
  </w:style>
  <w:style w:type="paragraph" w:customStyle="1" w:styleId="HeaderFirstPage">
    <w:name w:val="Header First Page"/>
    <w:basedOn w:val="Header"/>
    <w:uiPriority w:val="9"/>
    <w:qFormat/>
    <w:rsid w:val="00942B90"/>
    <w:pPr>
      <w:spacing w:before="1200" w:after="480"/>
    </w:pPr>
    <w:rPr>
      <w:rFonts w:asciiTheme="majorHAnsi" w:hAnsiTheme="majorHAnsi"/>
      <w:noProof/>
      <w:color w:val="FFFFFF" w:themeColor="background1"/>
      <w:sz w:val="36"/>
    </w:rPr>
  </w:style>
  <w:style w:type="paragraph" w:customStyle="1" w:styleId="CoverChapter">
    <w:name w:val="Cover Chapter"/>
    <w:basedOn w:val="Normal"/>
    <w:uiPriority w:val="9"/>
    <w:qFormat/>
    <w:rsid w:val="00942B90"/>
    <w:pPr>
      <w:spacing w:after="0" w:line="264" w:lineRule="auto"/>
    </w:pPr>
    <w:rPr>
      <w:rFonts w:ascii="Nunito SemiBold" w:hAnsi="Nunito SemiBold"/>
      <w:color w:val="D0E900" w:themeColor="accent3"/>
      <w:sz w:val="80"/>
    </w:rPr>
  </w:style>
  <w:style w:type="paragraph" w:customStyle="1" w:styleId="CoverTitle">
    <w:name w:val="Cover Title"/>
    <w:basedOn w:val="CoverChapter"/>
    <w:uiPriority w:val="9"/>
    <w:qFormat/>
    <w:rsid w:val="00942B90"/>
    <w:pPr>
      <w:spacing w:before="0"/>
    </w:pPr>
    <w:rPr>
      <w:color w:val="FFFFFF" w:themeColor="background1"/>
    </w:rPr>
  </w:style>
  <w:style w:type="paragraph" w:customStyle="1" w:styleId="Evenfooter">
    <w:name w:val="Even footer"/>
    <w:basedOn w:val="Footer"/>
    <w:uiPriority w:val="9"/>
    <w:qFormat/>
    <w:rsid w:val="00942B90"/>
    <w:pPr>
      <w:jc w:val="left"/>
    </w:pPr>
  </w:style>
  <w:style w:type="paragraph" w:customStyle="1" w:styleId="CalloutHeaderWhite">
    <w:name w:val="Callout Header White"/>
    <w:basedOn w:val="CalloutHeader"/>
    <w:uiPriority w:val="9"/>
    <w:qFormat/>
    <w:rsid w:val="00942B90"/>
    <w:rPr>
      <w:color w:val="FFFFFF" w:themeColor="background1"/>
    </w:rPr>
  </w:style>
  <w:style w:type="character" w:customStyle="1" w:styleId="CalloutTextWhite">
    <w:name w:val="Callout Text White"/>
    <w:basedOn w:val="DefaultParagraphFont"/>
    <w:uiPriority w:val="1"/>
    <w:qFormat/>
    <w:rsid w:val="00942B90"/>
    <w:rPr>
      <w:color w:val="FFFFFF" w:themeColor="background1"/>
    </w:rPr>
  </w:style>
  <w:style w:type="paragraph" w:customStyle="1" w:styleId="Chapternumber">
    <w:name w:val="Chapter number"/>
    <w:basedOn w:val="Heading1"/>
    <w:uiPriority w:val="9"/>
    <w:qFormat/>
    <w:rsid w:val="00942B90"/>
    <w:pPr>
      <w:numPr>
        <w:numId w:val="0"/>
      </w:numPr>
      <w:spacing w:after="0"/>
    </w:pPr>
  </w:style>
  <w:style w:type="paragraph" w:customStyle="1" w:styleId="CaptionFigure">
    <w:name w:val="Caption Figure"/>
    <w:basedOn w:val="Caption"/>
    <w:next w:val="Source"/>
    <w:uiPriority w:val="9"/>
    <w:qFormat/>
    <w:rsid w:val="00942B90"/>
    <w:pPr>
      <w:keepNext w:val="0"/>
      <w:spacing w:before="240" w:after="360"/>
    </w:pPr>
  </w:style>
  <w:style w:type="character" w:customStyle="1" w:styleId="Highlight">
    <w:name w:val="_Highlight"/>
    <w:basedOn w:val="DefaultParagraphFont"/>
    <w:uiPriority w:val="8"/>
    <w:qFormat/>
    <w:rsid w:val="00942B90"/>
    <w:rPr>
      <w:bdr w:val="none" w:sz="0" w:space="0" w:color="auto"/>
      <w:shd w:val="clear" w:color="auto" w:fill="FFFF00"/>
    </w:rPr>
  </w:style>
  <w:style w:type="character" w:customStyle="1" w:styleId="Removedirectformatting">
    <w:name w:val="_ Remove direct formatting"/>
    <w:basedOn w:val="Highlight"/>
    <w:uiPriority w:val="8"/>
    <w:qFormat/>
    <w:rsid w:val="00942B90"/>
    <w:rPr>
      <w:bdr w:val="none" w:sz="0" w:space="0" w:color="auto"/>
      <w:shd w:val="clear" w:color="auto" w:fill="auto"/>
    </w:rPr>
  </w:style>
  <w:style w:type="character" w:customStyle="1" w:styleId="Underline">
    <w:name w:val="_ Underline"/>
    <w:basedOn w:val="DefaultParagraphFont"/>
    <w:uiPriority w:val="8"/>
    <w:qFormat/>
    <w:rsid w:val="00942B90"/>
    <w:rPr>
      <w:u w:val="single"/>
    </w:rPr>
  </w:style>
  <w:style w:type="character" w:customStyle="1" w:styleId="Bold">
    <w:name w:val="_Bold"/>
    <w:basedOn w:val="DefaultParagraphFont"/>
    <w:uiPriority w:val="8"/>
    <w:qFormat/>
    <w:rsid w:val="00942B90"/>
    <w:rPr>
      <w:b/>
    </w:rPr>
  </w:style>
  <w:style w:type="character" w:customStyle="1" w:styleId="HighlightBlue">
    <w:name w:val="_Highlight_Blue"/>
    <w:basedOn w:val="DefaultParagraphFont"/>
    <w:uiPriority w:val="7"/>
    <w:qFormat/>
    <w:rsid w:val="00942B90"/>
    <w:rPr>
      <w:bdr w:val="none" w:sz="0" w:space="0" w:color="auto"/>
      <w:shd w:val="clear" w:color="auto" w:fill="CCFFFF"/>
    </w:rPr>
  </w:style>
  <w:style w:type="character" w:customStyle="1" w:styleId="Italics">
    <w:name w:val="_Italics"/>
    <w:basedOn w:val="DefaultParagraphFont"/>
    <w:uiPriority w:val="8"/>
    <w:qFormat/>
    <w:rsid w:val="00942B90"/>
    <w:rPr>
      <w:b w:val="0"/>
      <w:i/>
    </w:rPr>
  </w:style>
  <w:style w:type="character" w:customStyle="1" w:styleId="Strikethrough">
    <w:name w:val="_Strikethrough"/>
    <w:basedOn w:val="DefaultParagraphFont"/>
    <w:uiPriority w:val="8"/>
    <w:qFormat/>
    <w:rsid w:val="00942B90"/>
    <w:rPr>
      <w:strike/>
      <w:dstrike w:val="0"/>
    </w:rPr>
  </w:style>
  <w:style w:type="character" w:customStyle="1" w:styleId="Subscript">
    <w:name w:val="_Subscript"/>
    <w:basedOn w:val="DefaultParagraphFont"/>
    <w:uiPriority w:val="8"/>
    <w:qFormat/>
    <w:rsid w:val="00942B90"/>
    <w:rPr>
      <w:vertAlign w:val="subscript"/>
    </w:rPr>
  </w:style>
  <w:style w:type="character" w:customStyle="1" w:styleId="Superscript">
    <w:name w:val="_Superscript"/>
    <w:basedOn w:val="Subscript"/>
    <w:uiPriority w:val="8"/>
    <w:qFormat/>
    <w:rsid w:val="00942B90"/>
    <w:rPr>
      <w:vertAlign w:val="superscript"/>
    </w:rPr>
  </w:style>
  <w:style w:type="character" w:customStyle="1" w:styleId="TextBlue">
    <w:name w:val="_Text Blue"/>
    <w:basedOn w:val="DefaultParagraphFont"/>
    <w:uiPriority w:val="7"/>
    <w:qFormat/>
    <w:rsid w:val="00942B90"/>
    <w:rPr>
      <w:color w:val="0085CA" w:themeColor="accent4"/>
    </w:rPr>
  </w:style>
  <w:style w:type="character" w:customStyle="1" w:styleId="TextGreen">
    <w:name w:val="_Text Green"/>
    <w:uiPriority w:val="8"/>
    <w:qFormat/>
    <w:rsid w:val="00942B90"/>
    <w:rPr>
      <w:color w:val="9BAE00" w:themeColor="accent3" w:themeShade="BF"/>
    </w:rPr>
  </w:style>
  <w:style w:type="character" w:customStyle="1" w:styleId="TextRed">
    <w:name w:val="_Text Red"/>
    <w:basedOn w:val="DefaultParagraphFont"/>
    <w:uiPriority w:val="8"/>
    <w:qFormat/>
    <w:rsid w:val="00942B90"/>
    <w:rPr>
      <w:color w:val="CE0058" w:themeColor="accent6"/>
    </w:rPr>
  </w:style>
  <w:style w:type="character" w:customStyle="1" w:styleId="UnresolvedMention1">
    <w:name w:val="Unresolved Mention1"/>
    <w:basedOn w:val="DefaultParagraphFont"/>
    <w:uiPriority w:val="99"/>
    <w:semiHidden/>
    <w:unhideWhenUsed/>
    <w:rsid w:val="001552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4AA1C0611F843EF84A7A171E253EA74"/>
        <w:category>
          <w:name w:val="General"/>
          <w:gallery w:val="placeholder"/>
        </w:category>
        <w:types>
          <w:type w:val="bbPlcHdr"/>
        </w:types>
        <w:behaviors>
          <w:behavior w:val="content"/>
        </w:behaviors>
        <w:guid w:val="{924EB8AD-7D93-495F-B3BC-68694984A611}"/>
      </w:docPartPr>
      <w:docPartBody>
        <w:p w:rsidR="00753E9F" w:rsidRDefault="008E0837">
          <w:pPr>
            <w:pStyle w:val="C4AA1C0611F843EF84A7A171E253EA74"/>
          </w:pPr>
          <w:r w:rsidRPr="0065624D">
            <w:rPr>
              <w:rStyle w:val="PlaceholderText"/>
            </w:rPr>
            <w:t>Click or tap here to enter text.</w:t>
          </w:r>
        </w:p>
      </w:docPartBody>
    </w:docPart>
    <w:docPart>
      <w:docPartPr>
        <w:name w:val="D42DA29D7150407F99776910228F23AA"/>
        <w:category>
          <w:name w:val="General"/>
          <w:gallery w:val="placeholder"/>
        </w:category>
        <w:types>
          <w:type w:val="bbPlcHdr"/>
        </w:types>
        <w:behaviors>
          <w:behavior w:val="content"/>
        </w:behaviors>
        <w:guid w:val="{325A2463-5D9B-4B15-833F-278D65E16A99}"/>
      </w:docPartPr>
      <w:docPartBody>
        <w:p w:rsidR="00753E9F" w:rsidRDefault="008E0837">
          <w:pPr>
            <w:pStyle w:val="D42DA29D7150407F99776910228F23AA"/>
          </w:pPr>
          <w:r w:rsidRPr="0065624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837"/>
    <w:rsid w:val="004E71E0"/>
    <w:rsid w:val="00604D41"/>
    <w:rsid w:val="00753E9F"/>
    <w:rsid w:val="008847E5"/>
    <w:rsid w:val="008E0837"/>
    <w:rsid w:val="009E147C"/>
    <w:rsid w:val="009E3E45"/>
    <w:rsid w:val="00EC6F48"/>
    <w:rsid w:val="00FD31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rFonts w:asciiTheme="minorHAnsi" w:hAnsiTheme="minorHAnsi"/>
      <w:vanish w:val="0"/>
      <w:color w:val="808080"/>
    </w:rPr>
  </w:style>
  <w:style w:type="paragraph" w:customStyle="1" w:styleId="C4AA1C0611F843EF84A7A171E253EA74">
    <w:name w:val="C4AA1C0611F843EF84A7A171E253EA74"/>
  </w:style>
  <w:style w:type="paragraph" w:customStyle="1" w:styleId="DF4F37388EA2480D9F8737E3A72E514C">
    <w:name w:val="DF4F37388EA2480D9F8737E3A72E514C"/>
  </w:style>
  <w:style w:type="paragraph" w:customStyle="1" w:styleId="6206EF29509D4F7893828D5DB1706728">
    <w:name w:val="6206EF29509D4F7893828D5DB1706728"/>
  </w:style>
  <w:style w:type="paragraph" w:customStyle="1" w:styleId="A43C8CD5950443CA9B2C7DCDB8B24F3F">
    <w:name w:val="A43C8CD5950443CA9B2C7DCDB8B24F3F"/>
  </w:style>
  <w:style w:type="paragraph" w:customStyle="1" w:styleId="D42DA29D7150407F99776910228F23AA">
    <w:name w:val="D42DA29D7150407F99776910228F23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WGTP">
  <a:themeElements>
    <a:clrScheme name="NEL Colours">
      <a:dk1>
        <a:sysClr val="windowText" lastClr="000000"/>
      </a:dk1>
      <a:lt1>
        <a:sysClr val="window" lastClr="FFFFFF"/>
      </a:lt1>
      <a:dk2>
        <a:srgbClr val="636569"/>
      </a:dk2>
      <a:lt2>
        <a:srgbClr val="A4A2A4"/>
      </a:lt2>
      <a:accent1>
        <a:srgbClr val="250E62"/>
      </a:accent1>
      <a:accent2>
        <a:srgbClr val="009CA6"/>
      </a:accent2>
      <a:accent3>
        <a:srgbClr val="D0E900"/>
      </a:accent3>
      <a:accent4>
        <a:srgbClr val="0085CA"/>
      </a:accent4>
      <a:accent5>
        <a:srgbClr val="FFB500"/>
      </a:accent5>
      <a:accent6>
        <a:srgbClr val="CE0058"/>
      </a:accent6>
      <a:hlink>
        <a:srgbClr val="250E62"/>
      </a:hlink>
      <a:folHlink>
        <a:srgbClr val="440099"/>
      </a:folHlink>
    </a:clrScheme>
    <a:fontScheme name="NEL EES fonts">
      <a:majorFont>
        <a:latin typeface="Nunito"/>
        <a:ea typeface=""/>
        <a:cs typeface=""/>
      </a:majorFont>
      <a:minorFont>
        <a:latin typeface="Nuni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Map xmlns="http://schemas.openxmlformats.org/officeDocument/2006/NEL">
  <CCMapElement_1103461063>Abbreviations and glossary</CCMapElement_1103461063>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20C6AF31-F77A-4484-A6C5-171AD89E9166}">
  <ds:schemaRefs>
    <ds:schemaRef ds:uri="http://schemas.openxmlformats.org/officeDocument/2006/NEL"/>
  </ds:schemaRefs>
</ds:datastoreItem>
</file>

<file path=customXml/itemProps2.xml><?xml version="1.0" encoding="utf-8"?>
<ds:datastoreItem xmlns:ds="http://schemas.openxmlformats.org/officeDocument/2006/customXml" ds:itemID="{71FAA057-7218-4F94-B67A-C3DBC7F08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5172</Words>
  <Characters>29481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North East Link Project</dc:creator>
  <cp:keywords/>
  <cp:lastModifiedBy>Elise Downing</cp:lastModifiedBy>
  <cp:revision>4</cp:revision>
  <dcterms:created xsi:type="dcterms:W3CDTF">2019-04-07T18:47:00Z</dcterms:created>
  <dcterms:modified xsi:type="dcterms:W3CDTF">2019-04-07T23:12:00Z</dcterms:modified>
</cp:coreProperties>
</file>