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6092800">
            <wp:simplePos x="0" y="0"/>
            <wp:positionH relativeFrom="page">
              <wp:posOffset>644056</wp:posOffset>
            </wp:positionH>
            <wp:positionV relativeFrom="page">
              <wp:posOffset>3176821</wp:posOffset>
            </wp:positionV>
            <wp:extent cx="6262422" cy="710328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422" cy="7103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3"/>
        </w:rPr>
      </w:pPr>
    </w:p>
    <w:tbl>
      <w:tblPr>
        <w:tblW w:w="0" w:type="auto"/>
        <w:jc w:val="lef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35"/>
      </w:tblGrid>
      <w:tr>
        <w:trPr>
          <w:trHeight w:val="969" w:hRule="atLeast"/>
        </w:trPr>
        <w:tc>
          <w:tcPr>
            <w:tcW w:w="8935" w:type="dxa"/>
          </w:tcPr>
          <w:p>
            <w:pPr>
              <w:pStyle w:val="TableParagraph"/>
              <w:spacing w:line="447" w:lineRule="exact" w:before="0"/>
              <w:ind w:left="200"/>
              <w:rPr>
                <w:sz w:val="40"/>
              </w:rPr>
            </w:pPr>
            <w:bookmarkStart w:name="TAS-CYP-ARD-ZWD-PLA-XLP-AEN-X0001 Arden " w:id="1"/>
            <w:bookmarkEnd w:id="1"/>
            <w:r>
              <w:rPr/>
            </w:r>
            <w:bookmarkStart w:name="Appendix A" w:id="2"/>
            <w:bookmarkEnd w:id="2"/>
            <w:r>
              <w:rPr/>
            </w:r>
            <w:bookmarkStart w:name="Arden Associated Works Area" w:id="3"/>
            <w:bookmarkEnd w:id="3"/>
            <w:r>
              <w:rPr/>
            </w:r>
            <w:bookmarkStart w:name="TAS-CYP-ARD-ZWD-PLA-XLP-AEN-X0001 Arden " w:id="4"/>
            <w:bookmarkEnd w:id="4"/>
            <w:r>
              <w:rPr/>
            </w:r>
            <w:bookmarkStart w:name="Sheets" w:id="5"/>
            <w:bookmarkEnd w:id="5"/>
            <w:r>
              <w:rPr/>
            </w:r>
            <w:bookmarkStart w:name="711000-DP - GF - GROUND FLOOR LEVEL" w:id="6"/>
            <w:bookmarkEnd w:id="6"/>
            <w:r>
              <w:rPr/>
            </w:r>
            <w:bookmarkStart w:name="Pages from Appendix B" w:id="7"/>
            <w:bookmarkEnd w:id="7"/>
            <w:r>
              <w:rPr/>
            </w:r>
            <w:bookmarkStart w:name="712002-DP - GF - GROUND FLOOR LEVEL - ZO" w:id="8"/>
            <w:bookmarkEnd w:id="8"/>
            <w:r>
              <w:rPr/>
            </w:r>
            <w:bookmarkStart w:name="712003-DP - GF - GROUND FLOOR LEVEL - ZO" w:id="9"/>
            <w:bookmarkEnd w:id="9"/>
            <w:r>
              <w:rPr/>
            </w:r>
            <w:bookmarkStart w:name="714000-DP - SECTION A &amp; B" w:id="10"/>
            <w:bookmarkEnd w:id="10"/>
            <w:r>
              <w:rPr/>
            </w:r>
            <w:bookmarkStart w:name="714002-DP - SECTION C" w:id="11"/>
            <w:bookmarkEnd w:id="11"/>
            <w:r>
              <w:rPr/>
            </w:r>
            <w:bookmarkStart w:name="714003-DP - SECTION N" w:id="12"/>
            <w:bookmarkEnd w:id="12"/>
            <w:r>
              <w:rPr/>
            </w:r>
            <w:bookmarkStart w:name="714004-DP - SECTION P" w:id="13"/>
            <w:bookmarkEnd w:id="13"/>
            <w:r>
              <w:rPr/>
            </w:r>
            <w:bookmarkStart w:name="714005-DP - SECTION Q" w:id="14"/>
            <w:bookmarkEnd w:id="14"/>
            <w:r>
              <w:rPr/>
            </w:r>
            <w:bookmarkStart w:name="714012-DP - EAST BUILDING -  WEST ELEVAT" w:id="15"/>
            <w:bookmarkEnd w:id="15"/>
            <w:r>
              <w:rPr/>
            </w:r>
            <w:bookmarkStart w:name="714013-DP - EAST BUILDING -  EAST ELEVAT" w:id="16"/>
            <w:bookmarkEnd w:id="16"/>
            <w:r>
              <w:rPr/>
            </w:r>
            <w:bookmarkStart w:name="Materials page" w:id="17"/>
            <w:bookmarkEnd w:id="17"/>
            <w:r>
              <w:rPr/>
            </w:r>
            <w:bookmarkStart w:name="Appendix E - CYP UDS Assessment - Arden " w:id="18"/>
            <w:bookmarkEnd w:id="18"/>
            <w:r>
              <w:rPr/>
            </w:r>
            <w:bookmarkStart w:name="Appendix F - CYP EPR Assessment - Arden " w:id="19"/>
            <w:bookmarkEnd w:id="19"/>
            <w:r>
              <w:rPr/>
            </w:r>
            <w:bookmarkStart w:name="_bookmark0" w:id="20"/>
            <w:bookmarkEnd w:id="20"/>
            <w:r>
              <w:rPr/>
            </w:r>
            <w:r>
              <w:rPr>
                <w:color w:val="00BBE9"/>
                <w:sz w:val="40"/>
              </w:rPr>
              <w:t>ARDEN STATION PRECINCT</w:t>
            </w:r>
            <w:r>
              <w:rPr>
                <w:color w:val="00BBE9"/>
                <w:spacing w:val="-3"/>
                <w:sz w:val="40"/>
              </w:rPr>
              <w:t> </w:t>
            </w:r>
            <w:r>
              <w:rPr>
                <w:color w:val="00BBE9"/>
                <w:sz w:val="40"/>
              </w:rPr>
              <w:t>DEVELOPMENT</w:t>
            </w:r>
          </w:p>
          <w:p>
            <w:pPr>
              <w:pStyle w:val="TableParagraph"/>
              <w:spacing w:line="459" w:lineRule="exact" w:before="0"/>
              <w:ind w:left="200"/>
              <w:rPr>
                <w:sz w:val="40"/>
              </w:rPr>
            </w:pPr>
            <w:r>
              <w:rPr>
                <w:color w:val="00BBE9"/>
                <w:sz w:val="40"/>
              </w:rPr>
              <w:t>PLAN</w:t>
            </w:r>
          </w:p>
        </w:tc>
      </w:tr>
      <w:tr>
        <w:trPr>
          <w:trHeight w:val="442" w:hRule="atLeast"/>
        </w:trPr>
        <w:tc>
          <w:tcPr>
            <w:tcW w:w="8935" w:type="dxa"/>
          </w:tcPr>
          <w:p>
            <w:pPr>
              <w:pStyle w:val="TableParagraph"/>
              <w:spacing w:before="55"/>
              <w:ind w:left="200"/>
              <w:rPr>
                <w:b/>
                <w:sz w:val="28"/>
              </w:rPr>
            </w:pPr>
            <w:r>
              <w:rPr>
                <w:b/>
                <w:color w:val="00BBE9"/>
                <w:sz w:val="28"/>
              </w:rPr>
              <w:t>TAS-CYP-ARD-ZWD-PLA-XLP-AEN-X0001</w:t>
            </w:r>
          </w:p>
        </w:tc>
      </w:tr>
      <w:tr>
        <w:trPr>
          <w:trHeight w:val="378" w:hRule="atLeast"/>
        </w:trPr>
        <w:tc>
          <w:tcPr>
            <w:tcW w:w="8935" w:type="dxa"/>
          </w:tcPr>
          <w:p>
            <w:pPr>
              <w:pStyle w:val="TableParagraph"/>
              <w:spacing w:line="302" w:lineRule="exact" w:before="56"/>
              <w:ind w:left="200"/>
              <w:rPr>
                <w:sz w:val="28"/>
              </w:rPr>
            </w:pPr>
            <w:r>
              <w:rPr>
                <w:color w:val="808080"/>
                <w:sz w:val="28"/>
              </w:rPr>
              <w:t>REV</w:t>
            </w:r>
            <w:r>
              <w:rPr>
                <w:color w:val="808080"/>
                <w:spacing w:val="-4"/>
                <w:sz w:val="28"/>
              </w:rPr>
              <w:t> </w:t>
            </w:r>
            <w:r>
              <w:rPr>
                <w:color w:val="808080"/>
                <w:sz w:val="28"/>
              </w:rPr>
              <w:t>H</w:t>
            </w:r>
            <w:r>
              <w:rPr>
                <w:color w:val="808080"/>
                <w:spacing w:val="-1"/>
                <w:sz w:val="28"/>
              </w:rPr>
              <w:t> </w:t>
            </w:r>
            <w:r>
              <w:rPr>
                <w:color w:val="808080"/>
                <w:sz w:val="28"/>
              </w:rPr>
              <w:t>AMENDMENT</w:t>
            </w:r>
            <w:r>
              <w:rPr>
                <w:color w:val="808080"/>
                <w:spacing w:val="-1"/>
                <w:sz w:val="28"/>
              </w:rPr>
              <w:t> </w:t>
            </w:r>
            <w:r>
              <w:rPr>
                <w:color w:val="808080"/>
                <w:sz w:val="28"/>
              </w:rPr>
              <w:t>–</w:t>
            </w:r>
            <w:r>
              <w:rPr>
                <w:color w:val="808080"/>
                <w:spacing w:val="-6"/>
                <w:sz w:val="28"/>
              </w:rPr>
              <w:t> </w:t>
            </w:r>
            <w:r>
              <w:rPr>
                <w:color w:val="808080"/>
                <w:sz w:val="28"/>
              </w:rPr>
              <w:t>MINISTERIAL</w:t>
            </w:r>
            <w:r>
              <w:rPr>
                <w:color w:val="808080"/>
                <w:spacing w:val="-4"/>
                <w:sz w:val="28"/>
              </w:rPr>
              <w:t> </w:t>
            </w:r>
            <w:r>
              <w:rPr>
                <w:color w:val="808080"/>
                <w:sz w:val="28"/>
              </w:rPr>
              <w:t>SUBMISSION</w:t>
            </w:r>
          </w:p>
        </w:tc>
      </w:tr>
    </w:tbl>
    <w:p>
      <w:pPr>
        <w:pStyle w:val="BodyText"/>
        <w:spacing w:before="10"/>
        <w:rPr>
          <w:rFonts w:ascii="Times New Roman"/>
          <w:sz w:val="18"/>
        </w:rPr>
      </w:pPr>
    </w:p>
    <w:p>
      <w:pPr>
        <w:pStyle w:val="BodyText"/>
        <w:spacing w:before="94"/>
        <w:ind w:left="305"/>
      </w:pPr>
      <w:bookmarkStart w:name="Appendix A" w:id="21"/>
      <w:bookmarkEnd w:id="21"/>
      <w:r>
        <w:rPr/>
      </w:r>
      <w:bookmarkStart w:name="Pages from Appendix C" w:id="22"/>
      <w:bookmarkEnd w:id="22"/>
      <w:r>
        <w:rPr/>
      </w:r>
      <w:bookmarkStart w:name="Appendix B" w:id="23"/>
      <w:bookmarkEnd w:id="23"/>
      <w:r>
        <w:rPr/>
      </w:r>
      <w:bookmarkStart w:name="211020 Binder ARD DP set" w:id="24"/>
      <w:bookmarkEnd w:id="24"/>
      <w:r>
        <w:rPr/>
      </w:r>
      <w:bookmarkStart w:name="TAS-HWW-ARD-ZWD-DRG-ARC-AEN-A711000-DP-G" w:id="25"/>
      <w:bookmarkEnd w:id="25"/>
      <w:r>
        <w:rPr/>
      </w:r>
      <w:bookmarkStart w:name="TAS-HWW-ARD-ZWD-DRG-ARC-AEN-A712002-DP-G" w:id="26"/>
      <w:bookmarkEnd w:id="26"/>
      <w:r>
        <w:rPr/>
      </w:r>
      <w:bookmarkStart w:name="TAS-HWW-ARD-ZWD-DRG-ARC-AEN-A712003-DP-G" w:id="27"/>
      <w:bookmarkEnd w:id="27"/>
      <w:r>
        <w:rPr/>
      </w:r>
      <w:bookmarkStart w:name="TAS-HWW-ARD-ZWD-DRG-ARC-AEN-A714000-DP-G" w:id="28"/>
      <w:bookmarkEnd w:id="28"/>
      <w:r>
        <w:rPr/>
      </w:r>
      <w:bookmarkStart w:name="TAS-HWW-ARD-ZWD-DRG-ARC-AEN-A714002-DP-G" w:id="29"/>
      <w:bookmarkEnd w:id="29"/>
      <w:r>
        <w:rPr/>
      </w:r>
      <w:bookmarkStart w:name="TAS-HWW-ARD-ZWD-DRG-ARC-AEN-A714003-DP-G" w:id="30"/>
      <w:bookmarkEnd w:id="30"/>
      <w:r>
        <w:rPr/>
      </w:r>
      <w:bookmarkStart w:name="TAS-HWW-ARD-ZWD-DRG-ARC-AEN-A714004-DP-G" w:id="31"/>
      <w:bookmarkEnd w:id="31"/>
      <w:r>
        <w:rPr/>
      </w:r>
      <w:bookmarkStart w:name="TAS-HWW-ARD-ZWD-DRG-ARC-AEN-A714005-DP-G" w:id="32"/>
      <w:bookmarkEnd w:id="32"/>
      <w:r>
        <w:rPr/>
      </w:r>
      <w:bookmarkStart w:name="TAS-HWW-ARD-ZWD-DRG-ARC-AEN-A714012-DP-G" w:id="33"/>
      <w:bookmarkEnd w:id="33"/>
      <w:r>
        <w:rPr/>
      </w:r>
      <w:bookmarkStart w:name="TAS-HWW-ARD-ZWD-DRG-ARC-AEN-A714013-DP-G" w:id="34"/>
      <w:bookmarkEnd w:id="34"/>
      <w:r>
        <w:rPr/>
      </w:r>
      <w:bookmarkStart w:name="Appendix C" w:id="35"/>
      <w:bookmarkEnd w:id="35"/>
      <w:r>
        <w:rPr/>
      </w:r>
      <w:bookmarkStart w:name="TAS-CYP-AR-00-DRG-AUD-ARD-712210-DP-G.1" w:id="36"/>
      <w:bookmarkEnd w:id="36"/>
      <w:r>
        <w:rPr/>
      </w:r>
      <w:bookmarkStart w:name="TAS-CYP-AR-00-DRG-AUD-ARD-712211-DP-G.1" w:id="37"/>
      <w:bookmarkEnd w:id="37"/>
      <w:r>
        <w:rPr/>
      </w:r>
      <w:bookmarkStart w:name="TAS-CYP-AR-00-DRG-AUD-ARD-714200-DP-G.8" w:id="38"/>
      <w:bookmarkEnd w:id="38"/>
      <w:r>
        <w:rPr/>
      </w:r>
      <w:bookmarkStart w:name="TAS-CYP-AR-00-DRG-AUD-ARD-714201-DP-G.2" w:id="39"/>
      <w:bookmarkEnd w:id="39"/>
      <w:r>
        <w:rPr/>
      </w:r>
      <w:bookmarkStart w:name="Appendix D" w:id="40"/>
      <w:bookmarkEnd w:id="40"/>
      <w:r>
        <w:rPr/>
      </w:r>
      <w:r>
        <w:rPr/>
        <w:t>Wednesday,</w:t>
      </w:r>
      <w:r>
        <w:rPr>
          <w:spacing w:val="-4"/>
        </w:rPr>
        <w:t> </w:t>
      </w:r>
      <w:r>
        <w:rPr/>
        <w:t>27</w:t>
      </w:r>
      <w:r>
        <w:rPr>
          <w:spacing w:val="-2"/>
        </w:rPr>
        <w:t> </w:t>
      </w:r>
      <w:r>
        <w:rPr/>
        <w:t>October</w:t>
      </w:r>
      <w:r>
        <w:rPr>
          <w:spacing w:val="-3"/>
        </w:rPr>
        <w:t> </w:t>
      </w:r>
      <w:r>
        <w:rPr/>
        <w:t>2021</w:t>
      </w:r>
    </w:p>
    <w:p>
      <w:pPr>
        <w:spacing w:after="0"/>
        <w:sectPr>
          <w:type w:val="continuous"/>
          <w:pgSz w:w="11910" w:h="16840"/>
          <w:pgMar w:top="1580" w:bottom="280" w:left="94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ind w:left="478"/>
        <w:rPr>
          <w:sz w:val="20"/>
        </w:rPr>
      </w:pPr>
      <w:r>
        <w:rPr>
          <w:sz w:val="20"/>
        </w:rPr>
        <w:drawing>
          <wp:inline distT="0" distB="0" distL="0" distR="0">
            <wp:extent cx="5394706" cy="359664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706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  <w:r>
        <w:rPr/>
        <w:pict>
          <v:line style="position:absolute;mso-position-horizontal-relative:page;mso-position-vertical-relative:paragraph;z-index:-15728128;mso-wrap-distance-left:0;mso-wrap-distance-right:0" from="67.900002pt,9.322929pt" to="493.900002pt,10.072929pt" stroked="true" strokeweight=".5pt" strokecolor="#00bbe9">
            <v:stroke dashstyle="solid"/>
            <w10:wrap type="topAndBottom"/>
          </v:lin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55"/>
        <w:ind w:firstLine="0"/>
      </w:pPr>
      <w:r>
        <w:rPr>
          <w:color w:val="00BBE9"/>
        </w:rPr>
        <w:t>ACKNOWLEDGMENT</w:t>
      </w:r>
      <w:r>
        <w:rPr>
          <w:color w:val="00BBE9"/>
          <w:spacing w:val="-5"/>
        </w:rPr>
        <w:t> </w:t>
      </w:r>
      <w:r>
        <w:rPr>
          <w:color w:val="00BBE9"/>
        </w:rPr>
        <w:t>TO</w:t>
      </w:r>
      <w:r>
        <w:rPr>
          <w:color w:val="00BBE9"/>
          <w:spacing w:val="-6"/>
        </w:rPr>
        <w:t> </w:t>
      </w:r>
      <w:r>
        <w:rPr>
          <w:color w:val="00BBE9"/>
        </w:rPr>
        <w:t>COUNTRY</w:t>
      </w:r>
    </w:p>
    <w:p>
      <w:pPr>
        <w:spacing w:before="119"/>
        <w:ind w:left="478" w:right="287" w:firstLine="0"/>
        <w:jc w:val="left"/>
        <w:rPr>
          <w:sz w:val="20"/>
        </w:rPr>
      </w:pPr>
      <w:r>
        <w:rPr>
          <w:color w:val="7E7E7E"/>
          <w:sz w:val="20"/>
        </w:rPr>
        <w:t>We acknowledge the land on which the Metro Tunnel Project is being delivered, is the traditional</w:t>
      </w:r>
      <w:r>
        <w:rPr>
          <w:color w:val="7E7E7E"/>
          <w:spacing w:val="-53"/>
          <w:sz w:val="20"/>
        </w:rPr>
        <w:t> </w:t>
      </w:r>
      <w:r>
        <w:rPr>
          <w:color w:val="7E7E7E"/>
          <w:sz w:val="20"/>
        </w:rPr>
        <w:t>land for the People of the Kulin Nation. We respect their spiritual beliefs and acknowledge their</w:t>
      </w:r>
      <w:r>
        <w:rPr>
          <w:color w:val="7E7E7E"/>
          <w:spacing w:val="1"/>
          <w:sz w:val="20"/>
        </w:rPr>
        <w:t> </w:t>
      </w:r>
      <w:r>
        <w:rPr>
          <w:color w:val="7E7E7E"/>
          <w:sz w:val="20"/>
        </w:rPr>
        <w:t>ongoing</w:t>
      </w:r>
      <w:r>
        <w:rPr>
          <w:color w:val="7E7E7E"/>
          <w:spacing w:val="-2"/>
          <w:sz w:val="20"/>
        </w:rPr>
        <w:t> </w:t>
      </w:r>
      <w:r>
        <w:rPr>
          <w:color w:val="7E7E7E"/>
          <w:sz w:val="20"/>
        </w:rPr>
        <w:t>connection</w:t>
      </w:r>
      <w:r>
        <w:rPr>
          <w:color w:val="7E7E7E"/>
          <w:spacing w:val="-1"/>
          <w:sz w:val="20"/>
        </w:rPr>
        <w:t> </w:t>
      </w:r>
      <w:r>
        <w:rPr>
          <w:color w:val="7E7E7E"/>
          <w:sz w:val="20"/>
        </w:rPr>
        <w:t>with</w:t>
      </w:r>
      <w:r>
        <w:rPr>
          <w:color w:val="7E7E7E"/>
          <w:spacing w:val="1"/>
          <w:sz w:val="20"/>
        </w:rPr>
        <w:t> </w:t>
      </w:r>
      <w:r>
        <w:rPr>
          <w:color w:val="7E7E7E"/>
          <w:sz w:val="20"/>
        </w:rPr>
        <w:t>their Country.</w:t>
      </w:r>
    </w:p>
    <w:p>
      <w:pPr>
        <w:spacing w:before="119"/>
        <w:ind w:left="478" w:right="0" w:firstLine="0"/>
        <w:jc w:val="left"/>
        <w:rPr>
          <w:sz w:val="20"/>
        </w:rPr>
      </w:pPr>
      <w:r>
        <w:rPr>
          <w:color w:val="7E7E7E"/>
          <w:sz w:val="20"/>
        </w:rPr>
        <w:t>We</w:t>
      </w:r>
      <w:r>
        <w:rPr>
          <w:color w:val="7E7E7E"/>
          <w:spacing w:val="-3"/>
          <w:sz w:val="20"/>
        </w:rPr>
        <w:t> </w:t>
      </w:r>
      <w:r>
        <w:rPr>
          <w:color w:val="7E7E7E"/>
          <w:sz w:val="20"/>
        </w:rPr>
        <w:t>would</w:t>
      </w:r>
      <w:r>
        <w:rPr>
          <w:color w:val="7E7E7E"/>
          <w:spacing w:val="-2"/>
          <w:sz w:val="20"/>
        </w:rPr>
        <w:t> </w:t>
      </w:r>
      <w:r>
        <w:rPr>
          <w:color w:val="7E7E7E"/>
          <w:sz w:val="20"/>
        </w:rPr>
        <w:t>also</w:t>
      </w:r>
      <w:r>
        <w:rPr>
          <w:color w:val="7E7E7E"/>
          <w:spacing w:val="-1"/>
          <w:sz w:val="20"/>
        </w:rPr>
        <w:t> </w:t>
      </w:r>
      <w:r>
        <w:rPr>
          <w:color w:val="7E7E7E"/>
          <w:sz w:val="20"/>
        </w:rPr>
        <w:t>like</w:t>
      </w:r>
      <w:r>
        <w:rPr>
          <w:color w:val="7E7E7E"/>
          <w:spacing w:val="-2"/>
          <w:sz w:val="20"/>
        </w:rPr>
        <w:t> </w:t>
      </w:r>
      <w:r>
        <w:rPr>
          <w:color w:val="7E7E7E"/>
          <w:sz w:val="20"/>
        </w:rPr>
        <w:t>to</w:t>
      </w:r>
      <w:r>
        <w:rPr>
          <w:color w:val="7E7E7E"/>
          <w:spacing w:val="-3"/>
          <w:sz w:val="20"/>
        </w:rPr>
        <w:t> </w:t>
      </w:r>
      <w:r>
        <w:rPr>
          <w:color w:val="7E7E7E"/>
          <w:sz w:val="20"/>
        </w:rPr>
        <w:t>pay</w:t>
      </w:r>
      <w:r>
        <w:rPr>
          <w:color w:val="7E7E7E"/>
          <w:spacing w:val="-1"/>
          <w:sz w:val="20"/>
        </w:rPr>
        <w:t> </w:t>
      </w:r>
      <w:r>
        <w:rPr>
          <w:color w:val="7E7E7E"/>
          <w:sz w:val="20"/>
        </w:rPr>
        <w:t>our</w:t>
      </w:r>
      <w:r>
        <w:rPr>
          <w:color w:val="7E7E7E"/>
          <w:spacing w:val="-3"/>
          <w:sz w:val="20"/>
        </w:rPr>
        <w:t> </w:t>
      </w:r>
      <w:r>
        <w:rPr>
          <w:color w:val="7E7E7E"/>
          <w:sz w:val="20"/>
        </w:rPr>
        <w:t>respect</w:t>
      </w:r>
      <w:r>
        <w:rPr>
          <w:color w:val="7E7E7E"/>
          <w:spacing w:val="-2"/>
          <w:sz w:val="20"/>
        </w:rPr>
        <w:t> </w:t>
      </w:r>
      <w:r>
        <w:rPr>
          <w:color w:val="7E7E7E"/>
          <w:sz w:val="20"/>
        </w:rPr>
        <w:t>to Elders</w:t>
      </w:r>
      <w:r>
        <w:rPr>
          <w:color w:val="7E7E7E"/>
          <w:spacing w:val="-2"/>
          <w:sz w:val="20"/>
        </w:rPr>
        <w:t> </w:t>
      </w:r>
      <w:r>
        <w:rPr>
          <w:color w:val="7E7E7E"/>
          <w:sz w:val="20"/>
        </w:rPr>
        <w:t>past, present</w:t>
      </w:r>
      <w:r>
        <w:rPr>
          <w:color w:val="7E7E7E"/>
          <w:spacing w:val="-3"/>
          <w:sz w:val="20"/>
        </w:rPr>
        <w:t> </w:t>
      </w:r>
      <w:r>
        <w:rPr>
          <w:color w:val="7E7E7E"/>
          <w:sz w:val="20"/>
        </w:rPr>
        <w:t>and</w:t>
      </w:r>
      <w:r>
        <w:rPr>
          <w:color w:val="7E7E7E"/>
          <w:spacing w:val="-2"/>
          <w:sz w:val="20"/>
        </w:rPr>
        <w:t> </w:t>
      </w:r>
      <w:r>
        <w:rPr>
          <w:color w:val="7E7E7E"/>
          <w:sz w:val="20"/>
        </w:rPr>
        <w:t>future.</w:t>
      </w:r>
    </w:p>
    <w:p>
      <w:pPr>
        <w:spacing w:after="0"/>
        <w:jc w:val="left"/>
        <w:rPr>
          <w:sz w:val="20"/>
        </w:rPr>
        <w:sectPr>
          <w:headerReference w:type="default" r:id="rId6"/>
          <w:footerReference w:type="default" r:id="rId7"/>
          <w:pgSz w:w="11910" w:h="16840"/>
          <w:pgMar w:header="936" w:footer="365" w:top="1900" w:bottom="560" w:left="940" w:right="168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Heading1"/>
      </w:pPr>
      <w:r>
        <w:rPr>
          <w:color w:val="00BBE9"/>
        </w:rPr>
        <w:t>DOCUMENT</w:t>
      </w:r>
      <w:r>
        <w:rPr>
          <w:color w:val="00BBE9"/>
          <w:spacing w:val="-4"/>
        </w:rPr>
        <w:t> </w:t>
      </w:r>
      <w:r>
        <w:rPr>
          <w:color w:val="00BBE9"/>
        </w:rPr>
        <w:t>CONTROL AND</w:t>
      </w:r>
      <w:r>
        <w:rPr>
          <w:color w:val="00BBE9"/>
          <w:spacing w:val="2"/>
        </w:rPr>
        <w:t> </w:t>
      </w:r>
      <w:r>
        <w:rPr>
          <w:color w:val="00BBE9"/>
        </w:rPr>
        <w:t>AMENDMENT</w:t>
      </w:r>
    </w:p>
    <w:p>
      <w:pPr>
        <w:pStyle w:val="BodyText"/>
        <w:spacing w:before="118"/>
        <w:ind w:left="478" w:right="459"/>
      </w:pPr>
      <w:r>
        <w:rPr/>
        <w:t>The current reviewed and approved version of this Plan is available on IMS for all project personnel</w:t>
      </w:r>
      <w:r>
        <w:rPr>
          <w:spacing w:val="-50"/>
        </w:rPr>
        <w:t> </w:t>
      </w:r>
      <w:r>
        <w:rPr/>
        <w:t>to access. Downloaded Plans are deemed uncontrolled and it is the responsibility of the user to</w:t>
      </w:r>
      <w:r>
        <w:rPr>
          <w:spacing w:val="1"/>
        </w:rPr>
        <w:t> </w:t>
      </w:r>
      <w:r>
        <w:rPr/>
        <w:t>ensure they are using the latest revision. The responsibility for maintenance, review, update and</w:t>
      </w:r>
      <w:r>
        <w:rPr>
          <w:spacing w:val="1"/>
        </w:rPr>
        <w:t> </w:t>
      </w:r>
      <w:r>
        <w:rPr/>
        <w:t>approval of this Plan is as per the Delegation of Authority Matrix. All changes to this document are</w:t>
      </w:r>
      <w:r>
        <w:rPr>
          <w:spacing w:val="1"/>
        </w:rPr>
        <w:t> </w:t>
      </w:r>
      <w:r>
        <w:rPr/>
        <w:t>noted.</w:t>
      </w: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491" w:type="dxa"/>
        <w:tblBorders>
          <w:top w:val="single" w:sz="4" w:space="0" w:color="00BBE9"/>
          <w:left w:val="single" w:sz="4" w:space="0" w:color="00BBE9"/>
          <w:bottom w:val="single" w:sz="4" w:space="0" w:color="00BBE9"/>
          <w:right w:val="single" w:sz="4" w:space="0" w:color="00BBE9"/>
          <w:insideH w:val="single" w:sz="4" w:space="0" w:color="00BBE9"/>
          <w:insideV w:val="single" w:sz="4" w:space="0" w:color="00BB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6"/>
        <w:gridCol w:w="6209"/>
      </w:tblGrid>
      <w:tr>
        <w:trPr>
          <w:trHeight w:val="475" w:hRule="atLeast"/>
        </w:trPr>
        <w:tc>
          <w:tcPr>
            <w:tcW w:w="84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129"/>
              <w:ind w:left="11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Document</w:t>
            </w:r>
            <w:r>
              <w:rPr>
                <w:b/>
                <w:color w:val="FFFFFF"/>
                <w:spacing w:val="-4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Number</w:t>
            </w:r>
          </w:p>
        </w:tc>
      </w:tr>
      <w:tr>
        <w:trPr>
          <w:trHeight w:val="453" w:hRule="atLeast"/>
        </w:trPr>
        <w:tc>
          <w:tcPr>
            <w:tcW w:w="2286" w:type="dxa"/>
            <w:tcBorders>
              <w:right w:val="nil"/>
            </w:tcBorders>
          </w:tcPr>
          <w:p>
            <w:pPr>
              <w:pStyle w:val="TableParagraph"/>
              <w:spacing w:before="114"/>
              <w:rPr>
                <w:b/>
                <w:sz w:val="19"/>
              </w:rPr>
            </w:pPr>
            <w:r>
              <w:rPr>
                <w:b/>
                <w:sz w:val="19"/>
              </w:rPr>
              <w:t>Document</w:t>
            </w:r>
            <w:r>
              <w:rPr>
                <w:b/>
                <w:spacing w:val="-3"/>
                <w:sz w:val="19"/>
              </w:rPr>
              <w:t> </w:t>
            </w:r>
            <w:r>
              <w:rPr>
                <w:b/>
                <w:sz w:val="19"/>
              </w:rPr>
              <w:t>Title</w:t>
            </w:r>
          </w:p>
        </w:tc>
        <w:tc>
          <w:tcPr>
            <w:tcW w:w="6209" w:type="dxa"/>
            <w:tcBorders>
              <w:left w:val="nil"/>
            </w:tcBorders>
          </w:tcPr>
          <w:p>
            <w:pPr>
              <w:pStyle w:val="TableParagraph"/>
              <w:spacing w:before="114"/>
              <w:ind w:left="368"/>
              <w:rPr>
                <w:sz w:val="19"/>
              </w:rPr>
            </w:pPr>
            <w:r>
              <w:rPr>
                <w:sz w:val="19"/>
              </w:rPr>
              <w:t>Arden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Station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Precinct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Development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Plan</w:t>
            </w:r>
          </w:p>
        </w:tc>
      </w:tr>
      <w:tr>
        <w:trPr>
          <w:trHeight w:val="458" w:hRule="atLeast"/>
        </w:trPr>
        <w:tc>
          <w:tcPr>
            <w:tcW w:w="2286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19"/>
              </w:rPr>
            </w:pPr>
            <w:r>
              <w:rPr>
                <w:b/>
                <w:sz w:val="19"/>
              </w:rPr>
              <w:t>Document</w:t>
            </w:r>
            <w:r>
              <w:rPr>
                <w:b/>
                <w:spacing w:val="-3"/>
                <w:sz w:val="19"/>
              </w:rPr>
              <w:t> </w:t>
            </w:r>
            <w:r>
              <w:rPr>
                <w:b/>
                <w:sz w:val="19"/>
              </w:rPr>
              <w:t>Path</w:t>
            </w:r>
          </w:p>
        </w:tc>
        <w:tc>
          <w:tcPr>
            <w:tcW w:w="6209" w:type="dxa"/>
            <w:tcBorders>
              <w:left w:val="nil"/>
            </w:tcBorders>
          </w:tcPr>
          <w:p>
            <w:pPr>
              <w:pStyle w:val="TableParagraph"/>
              <w:ind w:left="368"/>
              <w:rPr>
                <w:sz w:val="19"/>
              </w:rPr>
            </w:pPr>
            <w:r>
              <w:rPr>
                <w:sz w:val="19"/>
              </w:rPr>
              <w:t>Cross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Yarra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Partnership</w:t>
            </w:r>
          </w:p>
        </w:tc>
      </w:tr>
      <w:tr>
        <w:trPr>
          <w:trHeight w:val="457" w:hRule="atLeast"/>
        </w:trPr>
        <w:tc>
          <w:tcPr>
            <w:tcW w:w="2286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19"/>
              </w:rPr>
            </w:pPr>
            <w:r>
              <w:rPr>
                <w:b/>
                <w:sz w:val="19"/>
              </w:rPr>
              <w:t>Document</w:t>
            </w:r>
            <w:r>
              <w:rPr>
                <w:b/>
                <w:spacing w:val="-3"/>
                <w:sz w:val="19"/>
              </w:rPr>
              <w:t> </w:t>
            </w:r>
            <w:r>
              <w:rPr>
                <w:b/>
                <w:sz w:val="19"/>
              </w:rPr>
              <w:t>Template</w:t>
            </w:r>
          </w:p>
        </w:tc>
        <w:tc>
          <w:tcPr>
            <w:tcW w:w="6209" w:type="dxa"/>
            <w:tcBorders>
              <w:left w:val="nil"/>
            </w:tcBorders>
          </w:tcPr>
          <w:p>
            <w:pPr>
              <w:pStyle w:val="TableParagraph"/>
              <w:ind w:left="368"/>
              <w:rPr>
                <w:sz w:val="19"/>
              </w:rPr>
            </w:pPr>
            <w:r>
              <w:rPr>
                <w:sz w:val="19"/>
              </w:rPr>
              <w:t>Management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Plan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Template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1"/>
        <w:ind w:left="478" w:right="0" w:firstLine="0"/>
        <w:jc w:val="left"/>
        <w:rPr>
          <w:sz w:val="32"/>
        </w:rPr>
      </w:pPr>
      <w:r>
        <w:rPr>
          <w:color w:val="00BBE9"/>
          <w:sz w:val="32"/>
        </w:rPr>
        <w:t>REVISION</w:t>
      </w:r>
      <w:r>
        <w:rPr>
          <w:color w:val="00BBE9"/>
          <w:spacing w:val="-3"/>
          <w:sz w:val="32"/>
        </w:rPr>
        <w:t> </w:t>
      </w:r>
      <w:r>
        <w:rPr>
          <w:color w:val="00BBE9"/>
          <w:sz w:val="32"/>
        </w:rPr>
        <w:t>RECORD</w:t>
      </w: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491" w:type="dxa"/>
        <w:tblBorders>
          <w:top w:val="single" w:sz="4" w:space="0" w:color="00BBE9"/>
          <w:left w:val="single" w:sz="4" w:space="0" w:color="00BBE9"/>
          <w:bottom w:val="single" w:sz="4" w:space="0" w:color="00BBE9"/>
          <w:right w:val="single" w:sz="4" w:space="0" w:color="00BBE9"/>
          <w:insideH w:val="single" w:sz="4" w:space="0" w:color="00BBE9"/>
          <w:insideV w:val="single" w:sz="4" w:space="0" w:color="00BB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7"/>
        <w:gridCol w:w="1397"/>
        <w:gridCol w:w="2940"/>
        <w:gridCol w:w="2971"/>
      </w:tblGrid>
      <w:tr>
        <w:trPr>
          <w:trHeight w:val="472" w:hRule="atLeast"/>
        </w:trPr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129"/>
              <w:ind w:left="11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Revision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129"/>
              <w:ind w:left="29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Date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129"/>
              <w:ind w:left="16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Reason</w:t>
            </w:r>
            <w:r>
              <w:rPr>
                <w:b/>
                <w:color w:val="FFFFFF"/>
                <w:spacing w:val="-2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for</w:t>
            </w:r>
            <w:r>
              <w:rPr>
                <w:b/>
                <w:color w:val="FFFFFF"/>
                <w:spacing w:val="-1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Issue</w:t>
            </w:r>
          </w:p>
        </w:tc>
        <w:tc>
          <w:tcPr>
            <w:tcW w:w="2971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129"/>
              <w:ind w:left="138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Prepared</w:t>
            </w:r>
            <w:r>
              <w:rPr>
                <w:b/>
                <w:color w:val="FFFFFF"/>
                <w:spacing w:val="-3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by</w:t>
            </w:r>
          </w:p>
        </w:tc>
      </w:tr>
      <w:tr>
        <w:trPr>
          <w:trHeight w:val="453" w:hRule="atLeast"/>
        </w:trPr>
        <w:tc>
          <w:tcPr>
            <w:tcW w:w="1187" w:type="dxa"/>
            <w:tcBorders>
              <w:right w:val="nil"/>
            </w:tcBorders>
          </w:tcPr>
          <w:p>
            <w:pPr>
              <w:pStyle w:val="TableParagraph"/>
              <w:spacing w:before="114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A</w:t>
            </w:r>
          </w:p>
        </w:tc>
        <w:tc>
          <w:tcPr>
            <w:tcW w:w="139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4"/>
              <w:ind w:left="293"/>
              <w:rPr>
                <w:sz w:val="19"/>
              </w:rPr>
            </w:pPr>
            <w:r>
              <w:rPr>
                <w:sz w:val="19"/>
              </w:rPr>
              <w:t>25/10/2017</w:t>
            </w:r>
          </w:p>
        </w:tc>
        <w:tc>
          <w:tcPr>
            <w:tcW w:w="294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14"/>
              <w:ind w:left="162"/>
              <w:rPr>
                <w:sz w:val="19"/>
              </w:rPr>
            </w:pPr>
            <w:r>
              <w:rPr>
                <w:sz w:val="19"/>
              </w:rPr>
              <w:t>Stakeholder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Consultation</w:t>
            </w:r>
          </w:p>
        </w:tc>
        <w:tc>
          <w:tcPr>
            <w:tcW w:w="2971" w:type="dxa"/>
            <w:tcBorders>
              <w:left w:val="nil"/>
            </w:tcBorders>
          </w:tcPr>
          <w:p>
            <w:pPr>
              <w:pStyle w:val="TableParagraph"/>
              <w:spacing w:before="114"/>
              <w:ind w:left="138"/>
              <w:rPr>
                <w:sz w:val="19"/>
              </w:rPr>
            </w:pPr>
            <w:r>
              <w:rPr>
                <w:sz w:val="19"/>
              </w:rPr>
              <w:t>Madeleine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Alafaci</w:t>
            </w:r>
          </w:p>
        </w:tc>
      </w:tr>
      <w:tr>
        <w:trPr>
          <w:trHeight w:val="460" w:hRule="atLeast"/>
        </w:trPr>
        <w:tc>
          <w:tcPr>
            <w:tcW w:w="1187" w:type="dxa"/>
            <w:tcBorders>
              <w:right w:val="nil"/>
            </w:tcBorders>
          </w:tcPr>
          <w:p>
            <w:pPr>
              <w:pStyle w:val="TableParagraph"/>
              <w:spacing w:before="121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B</w:t>
            </w:r>
          </w:p>
        </w:tc>
        <w:tc>
          <w:tcPr>
            <w:tcW w:w="139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1"/>
              <w:ind w:left="293"/>
              <w:rPr>
                <w:sz w:val="19"/>
              </w:rPr>
            </w:pPr>
            <w:r>
              <w:rPr>
                <w:sz w:val="19"/>
              </w:rPr>
              <w:t>27/11/2017</w:t>
            </w:r>
          </w:p>
        </w:tc>
        <w:tc>
          <w:tcPr>
            <w:tcW w:w="294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1"/>
              <w:ind w:left="162"/>
              <w:rPr>
                <w:sz w:val="19"/>
              </w:rPr>
            </w:pPr>
            <w:r>
              <w:rPr>
                <w:sz w:val="19"/>
              </w:rPr>
              <w:t>Public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Display</w:t>
            </w:r>
          </w:p>
        </w:tc>
        <w:tc>
          <w:tcPr>
            <w:tcW w:w="2971" w:type="dxa"/>
            <w:tcBorders>
              <w:left w:val="nil"/>
            </w:tcBorders>
          </w:tcPr>
          <w:p>
            <w:pPr>
              <w:pStyle w:val="TableParagraph"/>
              <w:spacing w:before="121"/>
              <w:ind w:left="138"/>
              <w:rPr>
                <w:sz w:val="19"/>
              </w:rPr>
            </w:pPr>
            <w:r>
              <w:rPr>
                <w:sz w:val="19"/>
              </w:rPr>
              <w:t>Madeleine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Alafaci</w:t>
            </w:r>
          </w:p>
        </w:tc>
      </w:tr>
      <w:tr>
        <w:trPr>
          <w:trHeight w:val="676" w:hRule="atLeast"/>
        </w:trPr>
        <w:tc>
          <w:tcPr>
            <w:tcW w:w="1187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C</w:t>
            </w:r>
          </w:p>
        </w:tc>
        <w:tc>
          <w:tcPr>
            <w:tcW w:w="1397" w:type="dxa"/>
            <w:tcBorders>
              <w:left w:val="nil"/>
              <w:right w:val="nil"/>
            </w:tcBorders>
          </w:tcPr>
          <w:p>
            <w:pPr>
              <w:pStyle w:val="TableParagraph"/>
              <w:ind w:left="293"/>
              <w:rPr>
                <w:sz w:val="19"/>
              </w:rPr>
            </w:pPr>
            <w:r>
              <w:rPr>
                <w:sz w:val="19"/>
              </w:rPr>
              <w:t>25/01/2018</w:t>
            </w:r>
          </w:p>
        </w:tc>
        <w:tc>
          <w:tcPr>
            <w:tcW w:w="2940" w:type="dxa"/>
            <w:tcBorders>
              <w:left w:val="nil"/>
              <w:right w:val="nil"/>
            </w:tcBorders>
          </w:tcPr>
          <w:p>
            <w:pPr>
              <w:pStyle w:val="TableParagraph"/>
              <w:ind w:left="162" w:right="709"/>
              <w:rPr>
                <w:sz w:val="19"/>
              </w:rPr>
            </w:pPr>
            <w:r>
              <w:rPr>
                <w:sz w:val="19"/>
              </w:rPr>
              <w:t>Submission for Victorian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Government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review</w:t>
            </w:r>
          </w:p>
        </w:tc>
        <w:tc>
          <w:tcPr>
            <w:tcW w:w="2971" w:type="dxa"/>
            <w:tcBorders>
              <w:left w:val="nil"/>
            </w:tcBorders>
          </w:tcPr>
          <w:p>
            <w:pPr>
              <w:pStyle w:val="TableParagraph"/>
              <w:ind w:left="138"/>
              <w:rPr>
                <w:sz w:val="19"/>
              </w:rPr>
            </w:pPr>
            <w:r>
              <w:rPr>
                <w:sz w:val="19"/>
              </w:rPr>
              <w:t>Madeleine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Alafaci</w:t>
            </w:r>
          </w:p>
        </w:tc>
      </w:tr>
      <w:tr>
        <w:trPr>
          <w:trHeight w:val="1113" w:hRule="atLeast"/>
        </w:trPr>
        <w:tc>
          <w:tcPr>
            <w:tcW w:w="1187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D</w:t>
            </w:r>
          </w:p>
        </w:tc>
        <w:tc>
          <w:tcPr>
            <w:tcW w:w="1397" w:type="dxa"/>
            <w:tcBorders>
              <w:left w:val="nil"/>
              <w:right w:val="nil"/>
            </w:tcBorders>
          </w:tcPr>
          <w:p>
            <w:pPr>
              <w:pStyle w:val="TableParagraph"/>
              <w:ind w:left="293"/>
              <w:rPr>
                <w:sz w:val="19"/>
              </w:rPr>
            </w:pPr>
            <w:r>
              <w:rPr>
                <w:sz w:val="19"/>
              </w:rPr>
              <w:t>09/02/2018</w:t>
            </w:r>
          </w:p>
        </w:tc>
        <w:tc>
          <w:tcPr>
            <w:tcW w:w="2940" w:type="dxa"/>
            <w:tcBorders>
              <w:left w:val="nil"/>
              <w:right w:val="nil"/>
            </w:tcBorders>
          </w:tcPr>
          <w:p>
            <w:pPr>
              <w:pStyle w:val="TableParagraph"/>
              <w:ind w:left="162" w:right="125"/>
              <w:rPr>
                <w:sz w:val="19"/>
              </w:rPr>
            </w:pPr>
            <w:r>
              <w:rPr>
                <w:sz w:val="19"/>
              </w:rPr>
              <w:t>Submission to the Minister for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Planning, including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amendments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following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a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review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from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DELWP</w:t>
            </w:r>
          </w:p>
        </w:tc>
        <w:tc>
          <w:tcPr>
            <w:tcW w:w="2971" w:type="dxa"/>
            <w:tcBorders>
              <w:left w:val="nil"/>
            </w:tcBorders>
          </w:tcPr>
          <w:p>
            <w:pPr>
              <w:pStyle w:val="TableParagraph"/>
              <w:ind w:left="138"/>
              <w:rPr>
                <w:sz w:val="19"/>
              </w:rPr>
            </w:pPr>
            <w:r>
              <w:rPr>
                <w:sz w:val="19"/>
              </w:rPr>
              <w:t>Madeleine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Alafaci</w:t>
            </w:r>
          </w:p>
        </w:tc>
      </w:tr>
      <w:tr>
        <w:trPr>
          <w:trHeight w:val="556" w:hRule="atLeast"/>
        </w:trPr>
        <w:tc>
          <w:tcPr>
            <w:tcW w:w="1187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E</w:t>
            </w:r>
          </w:p>
        </w:tc>
        <w:tc>
          <w:tcPr>
            <w:tcW w:w="1397" w:type="dxa"/>
            <w:tcBorders>
              <w:left w:val="nil"/>
              <w:right w:val="nil"/>
            </w:tcBorders>
          </w:tcPr>
          <w:p>
            <w:pPr>
              <w:pStyle w:val="TableParagraph"/>
              <w:ind w:left="293"/>
              <w:rPr>
                <w:sz w:val="19"/>
              </w:rPr>
            </w:pPr>
            <w:r>
              <w:rPr>
                <w:sz w:val="19"/>
              </w:rPr>
              <w:t>07/07/2021</w:t>
            </w:r>
          </w:p>
        </w:tc>
        <w:tc>
          <w:tcPr>
            <w:tcW w:w="294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0" w:lineRule="atLeast" w:before="97"/>
              <w:ind w:left="162" w:right="508"/>
              <w:rPr>
                <w:sz w:val="19"/>
              </w:rPr>
            </w:pPr>
            <w:r>
              <w:rPr>
                <w:sz w:val="19"/>
              </w:rPr>
              <w:t>Amendment – Stakeholder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Consultation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DRAFT</w:t>
            </w:r>
          </w:p>
        </w:tc>
        <w:tc>
          <w:tcPr>
            <w:tcW w:w="2971" w:type="dxa"/>
            <w:tcBorders>
              <w:left w:val="nil"/>
            </w:tcBorders>
          </w:tcPr>
          <w:p>
            <w:pPr>
              <w:pStyle w:val="TableParagraph"/>
              <w:ind w:left="138"/>
              <w:rPr>
                <w:sz w:val="19"/>
              </w:rPr>
            </w:pPr>
            <w:r>
              <w:rPr>
                <w:sz w:val="19"/>
              </w:rPr>
              <w:t>Sabrina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Chapman</w:t>
            </w:r>
          </w:p>
        </w:tc>
      </w:tr>
      <w:tr>
        <w:trPr>
          <w:trHeight w:val="558" w:hRule="atLeast"/>
        </w:trPr>
        <w:tc>
          <w:tcPr>
            <w:tcW w:w="1187" w:type="dxa"/>
            <w:tcBorders>
              <w:right w:val="nil"/>
            </w:tcBorders>
          </w:tcPr>
          <w:p>
            <w:pPr>
              <w:pStyle w:val="TableParagraph"/>
              <w:spacing w:before="121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F</w:t>
            </w:r>
          </w:p>
        </w:tc>
        <w:tc>
          <w:tcPr>
            <w:tcW w:w="139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21"/>
              <w:ind w:left="293"/>
              <w:rPr>
                <w:sz w:val="19"/>
              </w:rPr>
            </w:pPr>
            <w:r>
              <w:rPr>
                <w:sz w:val="19"/>
              </w:rPr>
              <w:t>09/08/2021</w:t>
            </w:r>
          </w:p>
        </w:tc>
        <w:tc>
          <w:tcPr>
            <w:tcW w:w="294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0" w:lineRule="atLeast" w:before="100"/>
              <w:ind w:left="162" w:right="282"/>
              <w:rPr>
                <w:sz w:val="19"/>
              </w:rPr>
            </w:pPr>
            <w:r>
              <w:rPr>
                <w:sz w:val="19"/>
              </w:rPr>
              <w:t>Amendment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–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Draft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for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Public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Display</w:t>
            </w:r>
          </w:p>
        </w:tc>
        <w:tc>
          <w:tcPr>
            <w:tcW w:w="2971" w:type="dxa"/>
            <w:tcBorders>
              <w:left w:val="nil"/>
            </w:tcBorders>
          </w:tcPr>
          <w:p>
            <w:pPr>
              <w:pStyle w:val="TableParagraph"/>
              <w:spacing w:before="121"/>
              <w:ind w:left="138"/>
              <w:rPr>
                <w:sz w:val="19"/>
              </w:rPr>
            </w:pPr>
            <w:r>
              <w:rPr>
                <w:sz w:val="19"/>
              </w:rPr>
              <w:t>Sabrina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Chapman</w:t>
            </w:r>
          </w:p>
        </w:tc>
      </w:tr>
      <w:tr>
        <w:trPr>
          <w:trHeight w:val="993" w:hRule="atLeast"/>
        </w:trPr>
        <w:tc>
          <w:tcPr>
            <w:tcW w:w="1187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G</w:t>
            </w:r>
          </w:p>
        </w:tc>
        <w:tc>
          <w:tcPr>
            <w:tcW w:w="1397" w:type="dxa"/>
            <w:tcBorders>
              <w:left w:val="nil"/>
              <w:right w:val="nil"/>
            </w:tcBorders>
          </w:tcPr>
          <w:p>
            <w:pPr>
              <w:pStyle w:val="TableParagraph"/>
              <w:ind w:left="293"/>
              <w:rPr>
                <w:sz w:val="19"/>
              </w:rPr>
            </w:pPr>
            <w:r>
              <w:rPr>
                <w:sz w:val="19"/>
              </w:rPr>
              <w:t>23/09/2021</w:t>
            </w:r>
          </w:p>
        </w:tc>
        <w:tc>
          <w:tcPr>
            <w:tcW w:w="2940" w:type="dxa"/>
            <w:tcBorders>
              <w:left w:val="nil"/>
              <w:right w:val="nil"/>
            </w:tcBorders>
          </w:tcPr>
          <w:p>
            <w:pPr>
              <w:pStyle w:val="TableParagraph"/>
              <w:ind w:left="162" w:right="544"/>
              <w:rPr>
                <w:sz w:val="19"/>
              </w:rPr>
            </w:pPr>
            <w:r>
              <w:rPr>
                <w:sz w:val="19"/>
              </w:rPr>
              <w:t>Amendment: Review by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Victorian Government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Development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Plan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Review</w:t>
            </w:r>
          </w:p>
          <w:p>
            <w:pPr>
              <w:pStyle w:val="TableParagraph"/>
              <w:spacing w:line="199" w:lineRule="exact" w:before="0"/>
              <w:ind w:left="162"/>
              <w:rPr>
                <w:sz w:val="19"/>
              </w:rPr>
            </w:pPr>
            <w:r>
              <w:rPr>
                <w:sz w:val="19"/>
              </w:rPr>
              <w:t>Committee</w:t>
            </w:r>
          </w:p>
        </w:tc>
        <w:tc>
          <w:tcPr>
            <w:tcW w:w="2971" w:type="dxa"/>
            <w:tcBorders>
              <w:left w:val="nil"/>
            </w:tcBorders>
          </w:tcPr>
          <w:p>
            <w:pPr>
              <w:pStyle w:val="TableParagraph"/>
              <w:ind w:left="138"/>
              <w:rPr>
                <w:sz w:val="19"/>
              </w:rPr>
            </w:pPr>
            <w:r>
              <w:rPr>
                <w:sz w:val="19"/>
              </w:rPr>
              <w:t>Sabrina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Chapman</w:t>
            </w:r>
          </w:p>
        </w:tc>
      </w:tr>
      <w:tr>
        <w:trPr>
          <w:trHeight w:val="556" w:hRule="atLeast"/>
        </w:trPr>
        <w:tc>
          <w:tcPr>
            <w:tcW w:w="1187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H</w:t>
            </w:r>
          </w:p>
        </w:tc>
        <w:tc>
          <w:tcPr>
            <w:tcW w:w="1397" w:type="dxa"/>
            <w:tcBorders>
              <w:left w:val="nil"/>
              <w:right w:val="nil"/>
            </w:tcBorders>
          </w:tcPr>
          <w:p>
            <w:pPr>
              <w:pStyle w:val="TableParagraph"/>
              <w:ind w:left="293"/>
              <w:rPr>
                <w:sz w:val="19"/>
              </w:rPr>
            </w:pPr>
            <w:r>
              <w:rPr>
                <w:sz w:val="19"/>
              </w:rPr>
              <w:t>27/10/2021</w:t>
            </w:r>
          </w:p>
        </w:tc>
        <w:tc>
          <w:tcPr>
            <w:tcW w:w="2940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20" w:lineRule="atLeast" w:before="97"/>
              <w:ind w:left="162" w:right="786"/>
              <w:rPr>
                <w:sz w:val="19"/>
              </w:rPr>
            </w:pPr>
            <w:r>
              <w:rPr>
                <w:sz w:val="19"/>
              </w:rPr>
              <w:t>Amendment:</w:t>
            </w:r>
            <w:r>
              <w:rPr>
                <w:spacing w:val="-14"/>
                <w:sz w:val="19"/>
              </w:rPr>
              <w:t> </w:t>
            </w:r>
            <w:r>
              <w:rPr>
                <w:sz w:val="19"/>
              </w:rPr>
              <w:t>Ministerial</w:t>
            </w:r>
            <w:r>
              <w:rPr>
                <w:spacing w:val="-49"/>
                <w:sz w:val="19"/>
              </w:rPr>
              <w:t> </w:t>
            </w:r>
            <w:r>
              <w:rPr>
                <w:sz w:val="19"/>
              </w:rPr>
              <w:t>Submission</w:t>
            </w:r>
          </w:p>
        </w:tc>
        <w:tc>
          <w:tcPr>
            <w:tcW w:w="2971" w:type="dxa"/>
            <w:tcBorders>
              <w:left w:val="nil"/>
            </w:tcBorders>
          </w:tcPr>
          <w:p>
            <w:pPr>
              <w:pStyle w:val="TableParagraph"/>
              <w:ind w:left="138"/>
              <w:rPr>
                <w:sz w:val="19"/>
              </w:rPr>
            </w:pPr>
            <w:r>
              <w:rPr>
                <w:sz w:val="19"/>
              </w:rPr>
              <w:t>Sabrina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Chapman</w:t>
            </w:r>
          </w:p>
        </w:tc>
      </w:tr>
    </w:tbl>
    <w:p>
      <w:pPr>
        <w:pStyle w:val="BodyText"/>
        <w:spacing w:before="1"/>
        <w:rPr>
          <w:sz w:val="42"/>
        </w:rPr>
      </w:pPr>
    </w:p>
    <w:p>
      <w:pPr>
        <w:spacing w:before="0"/>
        <w:ind w:left="478" w:right="0" w:firstLine="0"/>
        <w:jc w:val="left"/>
        <w:rPr>
          <w:sz w:val="32"/>
        </w:rPr>
      </w:pPr>
      <w:r>
        <w:rPr>
          <w:color w:val="00BBE9"/>
          <w:sz w:val="32"/>
        </w:rPr>
        <w:t>APPROVALS</w:t>
      </w: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4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4"/>
        <w:gridCol w:w="2701"/>
        <w:gridCol w:w="3628"/>
      </w:tblGrid>
      <w:tr>
        <w:trPr>
          <w:trHeight w:val="472" w:hRule="atLeast"/>
        </w:trPr>
        <w:tc>
          <w:tcPr>
            <w:tcW w:w="2164" w:type="dxa"/>
            <w:shd w:val="clear" w:color="auto" w:fill="00BBE9"/>
          </w:tcPr>
          <w:p>
            <w:pPr>
              <w:pStyle w:val="TableParagraph"/>
              <w:spacing w:before="129"/>
              <w:ind w:left="11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Name</w:t>
            </w:r>
          </w:p>
        </w:tc>
        <w:tc>
          <w:tcPr>
            <w:tcW w:w="2701" w:type="dxa"/>
            <w:shd w:val="clear" w:color="auto" w:fill="00BBE9"/>
          </w:tcPr>
          <w:p>
            <w:pPr>
              <w:pStyle w:val="TableParagraph"/>
              <w:spacing w:before="129"/>
              <w:ind w:left="450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Signature</w:t>
            </w:r>
          </w:p>
        </w:tc>
        <w:tc>
          <w:tcPr>
            <w:tcW w:w="3628" w:type="dxa"/>
            <w:shd w:val="clear" w:color="auto" w:fill="00BBE9"/>
          </w:tcPr>
          <w:p>
            <w:pPr>
              <w:pStyle w:val="TableParagraph"/>
              <w:spacing w:before="129"/>
              <w:ind w:left="78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Date</w:t>
            </w:r>
          </w:p>
        </w:tc>
      </w:tr>
      <w:tr>
        <w:trPr>
          <w:trHeight w:val="657" w:hRule="atLeast"/>
        </w:trPr>
        <w:tc>
          <w:tcPr>
            <w:tcW w:w="2164" w:type="dxa"/>
            <w:tcBorders>
              <w:top w:val="single" w:sz="4" w:space="0" w:color="00BBE9"/>
              <w:left w:val="single" w:sz="4" w:space="0" w:color="00BBE9"/>
              <w:bottom w:val="single" w:sz="4" w:space="0" w:color="00BBE9"/>
            </w:tcBorders>
          </w:tcPr>
          <w:p>
            <w:pPr>
              <w:pStyle w:val="TableParagraph"/>
              <w:spacing w:before="114"/>
              <w:rPr>
                <w:b/>
                <w:sz w:val="19"/>
              </w:rPr>
            </w:pPr>
            <w:r>
              <w:rPr>
                <w:b/>
                <w:sz w:val="19"/>
              </w:rPr>
              <w:t>Sabrina</w:t>
            </w:r>
            <w:r>
              <w:rPr>
                <w:b/>
                <w:spacing w:val="-3"/>
                <w:sz w:val="19"/>
              </w:rPr>
              <w:t> </w:t>
            </w:r>
            <w:r>
              <w:rPr>
                <w:b/>
                <w:sz w:val="19"/>
              </w:rPr>
              <w:t>Chapman</w:t>
            </w:r>
          </w:p>
        </w:tc>
        <w:tc>
          <w:tcPr>
            <w:tcW w:w="2701" w:type="dxa"/>
            <w:tcBorders>
              <w:top w:val="single" w:sz="4" w:space="0" w:color="00BBE9"/>
              <w:bottom w:val="single" w:sz="4" w:space="0" w:color="00BBE9"/>
            </w:tcBorders>
          </w:tcPr>
          <w:p>
            <w:pPr>
              <w:pStyle w:val="TableParagraph"/>
              <w:spacing w:before="10"/>
              <w:ind w:left="0"/>
              <w:rPr>
                <w:sz w:val="9"/>
              </w:rPr>
            </w:pPr>
          </w:p>
          <w:p>
            <w:pPr>
              <w:pStyle w:val="TableParagraph"/>
              <w:spacing w:before="0"/>
              <w:ind w:left="5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4401" cy="256031"/>
                  <wp:effectExtent l="0" t="0" r="0" b="0"/>
                  <wp:docPr id="7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401" cy="25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28" w:type="dxa"/>
            <w:tcBorders>
              <w:top w:val="single" w:sz="4" w:space="0" w:color="00BBE9"/>
              <w:bottom w:val="single" w:sz="4" w:space="0" w:color="00BBE9"/>
              <w:right w:val="single" w:sz="4" w:space="0" w:color="00BBE9"/>
            </w:tcBorders>
          </w:tcPr>
          <w:p>
            <w:pPr>
              <w:pStyle w:val="TableParagraph"/>
              <w:spacing w:before="114"/>
              <w:ind w:left="783"/>
              <w:rPr>
                <w:sz w:val="19"/>
              </w:rPr>
            </w:pPr>
            <w:r>
              <w:rPr>
                <w:sz w:val="19"/>
              </w:rPr>
              <w:t>27/10/2021</w:t>
            </w:r>
          </w:p>
        </w:tc>
      </w:tr>
    </w:tbl>
    <w:p>
      <w:pPr>
        <w:spacing w:after="0"/>
        <w:rPr>
          <w:sz w:val="19"/>
        </w:rPr>
        <w:sectPr>
          <w:pgSz w:w="11910" w:h="16840"/>
          <w:pgMar w:header="936" w:footer="365" w:top="1900" w:bottom="640" w:left="940" w:right="1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2524353</wp:posOffset>
            </wp:positionH>
            <wp:positionV relativeFrom="page">
              <wp:posOffset>2247633</wp:posOffset>
            </wp:positionV>
            <wp:extent cx="925448" cy="441197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448" cy="441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tbl>
      <w:tblPr>
        <w:tblW w:w="0" w:type="auto"/>
        <w:jc w:val="left"/>
        <w:tblInd w:w="488" w:type="dxa"/>
        <w:tblBorders>
          <w:top w:val="single" w:sz="4" w:space="0" w:color="00BBE9"/>
          <w:left w:val="single" w:sz="4" w:space="0" w:color="00BBE9"/>
          <w:bottom w:val="single" w:sz="4" w:space="0" w:color="00BBE9"/>
          <w:right w:val="single" w:sz="4" w:space="0" w:color="00BBE9"/>
          <w:insideH w:val="single" w:sz="4" w:space="0" w:color="00BBE9"/>
          <w:insideV w:val="single" w:sz="4" w:space="0" w:color="00BB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2"/>
        <w:gridCol w:w="3021"/>
        <w:gridCol w:w="3732"/>
      </w:tblGrid>
      <w:tr>
        <w:trPr>
          <w:trHeight w:val="779" w:hRule="atLeast"/>
        </w:trPr>
        <w:tc>
          <w:tcPr>
            <w:tcW w:w="1742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19"/>
              </w:rPr>
            </w:pPr>
            <w:r>
              <w:rPr>
                <w:b/>
                <w:sz w:val="19"/>
              </w:rPr>
              <w:t>Mat</w:t>
            </w:r>
            <w:r>
              <w:rPr>
                <w:b/>
                <w:spacing w:val="-2"/>
                <w:sz w:val="19"/>
              </w:rPr>
              <w:t> </w:t>
            </w:r>
            <w:r>
              <w:rPr>
                <w:b/>
                <w:sz w:val="19"/>
              </w:rPr>
              <w:t>Peel</w:t>
            </w:r>
          </w:p>
        </w:tc>
        <w:tc>
          <w:tcPr>
            <w:tcW w:w="302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5"/>
              <w:ind w:left="0"/>
              <w:rPr>
                <w:sz w:val="10"/>
              </w:rPr>
            </w:pPr>
          </w:p>
          <w:p>
            <w:pPr>
              <w:pStyle w:val="TableParagraph"/>
              <w:spacing w:before="0"/>
              <w:ind w:left="87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03924" cy="340042"/>
                  <wp:effectExtent l="0" t="0" r="0" b="0"/>
                  <wp:docPr id="11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924" cy="34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732" w:type="dxa"/>
            <w:tcBorders>
              <w:left w:val="nil"/>
            </w:tcBorders>
          </w:tcPr>
          <w:p>
            <w:pPr>
              <w:pStyle w:val="TableParagraph"/>
              <w:ind w:left="885"/>
              <w:rPr>
                <w:sz w:val="19"/>
              </w:rPr>
            </w:pPr>
            <w:r>
              <w:rPr>
                <w:sz w:val="19"/>
              </w:rPr>
              <w:t>27/10/2021</w:t>
            </w:r>
          </w:p>
        </w:tc>
      </w:tr>
      <w:tr>
        <w:trPr>
          <w:trHeight w:val="798" w:hRule="atLeast"/>
        </w:trPr>
        <w:tc>
          <w:tcPr>
            <w:tcW w:w="8495" w:type="dxa"/>
            <w:gridSpan w:val="3"/>
          </w:tcPr>
          <w:p>
            <w:pPr>
              <w:pStyle w:val="TableParagraph"/>
              <w:tabs>
                <w:tab w:pos="5590" w:val="left" w:leader="none"/>
              </w:tabs>
              <w:rPr>
                <w:sz w:val="19"/>
              </w:rPr>
            </w:pPr>
            <w:r>
              <w:rPr>
                <w:b/>
                <w:sz w:val="19"/>
              </w:rPr>
              <w:t>Mark</w:t>
            </w:r>
            <w:r>
              <w:rPr>
                <w:b/>
                <w:spacing w:val="-3"/>
                <w:sz w:val="19"/>
              </w:rPr>
              <w:t> </w:t>
            </w:r>
            <w:r>
              <w:rPr>
                <w:b/>
                <w:sz w:val="19"/>
              </w:rPr>
              <w:t>Wells</w:t>
              <w:tab/>
            </w:r>
            <w:r>
              <w:rPr>
                <w:sz w:val="19"/>
              </w:rPr>
              <w:t>27/10/2021</w:t>
            </w:r>
          </w:p>
        </w:tc>
      </w:tr>
    </w:tbl>
    <w:p>
      <w:pPr>
        <w:spacing w:after="0"/>
        <w:rPr>
          <w:sz w:val="19"/>
        </w:rPr>
        <w:sectPr>
          <w:pgSz w:w="11910" w:h="16840"/>
          <w:pgMar w:header="936" w:footer="365" w:top="1900" w:bottom="560" w:left="94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Heading1"/>
      </w:pPr>
      <w:r>
        <w:rPr>
          <w:color w:val="00BBE9"/>
        </w:rPr>
        <w:t>DEFINITIONS</w:t>
      </w:r>
    </w:p>
    <w:p>
      <w:pPr>
        <w:pStyle w:val="BodyText"/>
        <w:spacing w:before="7"/>
        <w:rPr>
          <w:sz w:val="41"/>
        </w:rPr>
      </w:pPr>
    </w:p>
    <w:p>
      <w:pPr>
        <w:spacing w:before="0"/>
        <w:ind w:left="478" w:right="0" w:firstLine="0"/>
        <w:jc w:val="left"/>
        <w:rPr>
          <w:sz w:val="32"/>
        </w:rPr>
      </w:pPr>
      <w:r>
        <w:rPr>
          <w:color w:val="00BBE9"/>
          <w:sz w:val="32"/>
        </w:rPr>
        <w:t>STANDARD</w:t>
      </w:r>
      <w:r>
        <w:rPr>
          <w:color w:val="00BBE9"/>
          <w:spacing w:val="-2"/>
          <w:sz w:val="32"/>
        </w:rPr>
        <w:t> </w:t>
      </w:r>
      <w:r>
        <w:rPr>
          <w:color w:val="00BBE9"/>
          <w:sz w:val="32"/>
        </w:rPr>
        <w:t>TERMS</w:t>
      </w:r>
      <w:r>
        <w:rPr>
          <w:color w:val="00BBE9"/>
          <w:spacing w:val="-2"/>
          <w:sz w:val="32"/>
        </w:rPr>
        <w:t> </w:t>
      </w:r>
      <w:r>
        <w:rPr>
          <w:color w:val="00BBE9"/>
          <w:sz w:val="32"/>
        </w:rPr>
        <w:t>AND</w:t>
      </w:r>
      <w:r>
        <w:rPr>
          <w:color w:val="00BBE9"/>
          <w:spacing w:val="-3"/>
          <w:sz w:val="32"/>
        </w:rPr>
        <w:t> </w:t>
      </w:r>
      <w:r>
        <w:rPr>
          <w:color w:val="00BBE9"/>
          <w:sz w:val="32"/>
        </w:rPr>
        <w:t>DEFINITIONS</w:t>
      </w:r>
    </w:p>
    <w:p>
      <w:pPr>
        <w:pStyle w:val="BodyText"/>
        <w:spacing w:before="4" w:after="1"/>
        <w:rPr>
          <w:sz w:val="10"/>
        </w:rPr>
      </w:pPr>
    </w:p>
    <w:tbl>
      <w:tblPr>
        <w:tblW w:w="0" w:type="auto"/>
        <w:jc w:val="left"/>
        <w:tblInd w:w="491" w:type="dxa"/>
        <w:tblBorders>
          <w:top w:val="single" w:sz="4" w:space="0" w:color="00BBE9"/>
          <w:left w:val="single" w:sz="4" w:space="0" w:color="00BBE9"/>
          <w:bottom w:val="single" w:sz="4" w:space="0" w:color="00BBE9"/>
          <w:right w:val="single" w:sz="4" w:space="0" w:color="00BBE9"/>
          <w:insideH w:val="single" w:sz="4" w:space="0" w:color="00BBE9"/>
          <w:insideV w:val="single" w:sz="4" w:space="0" w:color="00BB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7"/>
        <w:gridCol w:w="6947"/>
      </w:tblGrid>
      <w:tr>
        <w:trPr>
          <w:trHeight w:val="475" w:hRule="atLeast"/>
        </w:trPr>
        <w:tc>
          <w:tcPr>
            <w:tcW w:w="1547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131"/>
              <w:ind w:left="11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Term</w:t>
            </w:r>
          </w:p>
        </w:tc>
        <w:tc>
          <w:tcPr>
            <w:tcW w:w="6947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131"/>
              <w:ind w:left="240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Definition</w:t>
            </w:r>
          </w:p>
        </w:tc>
      </w:tr>
      <w:tr>
        <w:trPr>
          <w:trHeight w:val="453" w:hRule="atLeast"/>
        </w:trPr>
        <w:tc>
          <w:tcPr>
            <w:tcW w:w="1547" w:type="dxa"/>
            <w:tcBorders>
              <w:right w:val="nil"/>
            </w:tcBorders>
          </w:tcPr>
          <w:p>
            <w:pPr>
              <w:pStyle w:val="TableParagraph"/>
              <w:spacing w:before="114"/>
              <w:rPr>
                <w:b/>
                <w:sz w:val="19"/>
              </w:rPr>
            </w:pPr>
            <w:r>
              <w:rPr>
                <w:b/>
                <w:sz w:val="19"/>
              </w:rPr>
              <w:t>Project</w:t>
            </w:r>
          </w:p>
        </w:tc>
        <w:tc>
          <w:tcPr>
            <w:tcW w:w="6947" w:type="dxa"/>
            <w:tcBorders>
              <w:left w:val="nil"/>
            </w:tcBorders>
          </w:tcPr>
          <w:p>
            <w:pPr>
              <w:pStyle w:val="TableParagraph"/>
              <w:spacing w:before="114"/>
              <w:ind w:left="240"/>
              <w:rPr>
                <w:sz w:val="19"/>
              </w:rPr>
            </w:pPr>
            <w:r>
              <w:rPr>
                <w:sz w:val="19"/>
              </w:rPr>
              <w:t>The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Metro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Tunnel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Project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(MTP)</w:t>
            </w:r>
          </w:p>
        </w:tc>
      </w:tr>
      <w:tr>
        <w:trPr>
          <w:trHeight w:val="458" w:hRule="atLeast"/>
        </w:trPr>
        <w:tc>
          <w:tcPr>
            <w:tcW w:w="1547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19"/>
              </w:rPr>
            </w:pPr>
            <w:r>
              <w:rPr>
                <w:b/>
                <w:sz w:val="19"/>
              </w:rPr>
              <w:t>Company</w:t>
            </w:r>
          </w:p>
        </w:tc>
        <w:tc>
          <w:tcPr>
            <w:tcW w:w="6947" w:type="dxa"/>
            <w:tcBorders>
              <w:left w:val="nil"/>
            </w:tcBorders>
          </w:tcPr>
          <w:p>
            <w:pPr>
              <w:pStyle w:val="TableParagraph"/>
              <w:ind w:left="240"/>
              <w:rPr>
                <w:sz w:val="19"/>
              </w:rPr>
            </w:pPr>
            <w:r>
              <w:rPr>
                <w:sz w:val="19"/>
              </w:rPr>
              <w:t>Cross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Yarra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Partnership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(CYP)</w:t>
            </w:r>
          </w:p>
        </w:tc>
      </w:tr>
      <w:tr>
        <w:trPr>
          <w:trHeight w:val="458" w:hRule="atLeast"/>
        </w:trPr>
        <w:tc>
          <w:tcPr>
            <w:tcW w:w="1547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19"/>
              </w:rPr>
            </w:pPr>
            <w:r>
              <w:rPr>
                <w:b/>
                <w:sz w:val="19"/>
              </w:rPr>
              <w:t>Client</w:t>
            </w:r>
          </w:p>
        </w:tc>
        <w:tc>
          <w:tcPr>
            <w:tcW w:w="6947" w:type="dxa"/>
            <w:tcBorders>
              <w:left w:val="nil"/>
            </w:tcBorders>
          </w:tcPr>
          <w:p>
            <w:pPr>
              <w:pStyle w:val="TableParagraph"/>
              <w:ind w:left="240"/>
              <w:rPr>
                <w:sz w:val="19"/>
              </w:rPr>
            </w:pPr>
            <w:r>
              <w:rPr>
                <w:sz w:val="19"/>
              </w:rPr>
              <w:t>Rail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Projects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Victoria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(RPV)</w:t>
            </w:r>
          </w:p>
        </w:tc>
      </w:tr>
      <w:tr>
        <w:trPr>
          <w:trHeight w:val="678" w:hRule="atLeast"/>
        </w:trPr>
        <w:tc>
          <w:tcPr>
            <w:tcW w:w="1547" w:type="dxa"/>
            <w:tcBorders>
              <w:right w:val="nil"/>
            </w:tcBorders>
          </w:tcPr>
          <w:p>
            <w:pPr>
              <w:pStyle w:val="TableParagraph"/>
              <w:ind w:right="349"/>
              <w:rPr>
                <w:b/>
                <w:sz w:val="19"/>
              </w:rPr>
            </w:pPr>
            <w:r>
              <w:rPr>
                <w:b/>
                <w:sz w:val="19"/>
              </w:rPr>
              <w:t>Package</w:t>
            </w:r>
            <w:r>
              <w:rPr>
                <w:b/>
                <w:spacing w:val="1"/>
                <w:sz w:val="19"/>
              </w:rPr>
              <w:t> </w:t>
            </w:r>
            <w:r>
              <w:rPr>
                <w:b/>
                <w:spacing w:val="-1"/>
                <w:sz w:val="19"/>
              </w:rPr>
              <w:t>Contractors</w:t>
            </w:r>
          </w:p>
        </w:tc>
        <w:tc>
          <w:tcPr>
            <w:tcW w:w="6947" w:type="dxa"/>
            <w:tcBorders>
              <w:left w:val="nil"/>
            </w:tcBorders>
          </w:tcPr>
          <w:p>
            <w:pPr>
              <w:pStyle w:val="TableParagraph"/>
              <w:ind w:left="240" w:right="346"/>
              <w:rPr>
                <w:sz w:val="19"/>
              </w:rPr>
            </w:pPr>
            <w:r>
              <w:rPr>
                <w:sz w:val="19"/>
              </w:rPr>
              <w:t>Contractors for the Early Works, TAS PPP, RSA and RIA work Packages in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Metro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Tunnel Project</w:t>
            </w:r>
          </w:p>
        </w:tc>
      </w:tr>
      <w:tr>
        <w:trPr>
          <w:trHeight w:val="457" w:hRule="atLeast"/>
        </w:trPr>
        <w:tc>
          <w:tcPr>
            <w:tcW w:w="1547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19"/>
              </w:rPr>
            </w:pPr>
            <w:r>
              <w:rPr>
                <w:b/>
                <w:sz w:val="19"/>
              </w:rPr>
              <w:t>TAS</w:t>
            </w:r>
            <w:r>
              <w:rPr>
                <w:b/>
                <w:spacing w:val="-2"/>
                <w:sz w:val="19"/>
              </w:rPr>
              <w:t> </w:t>
            </w:r>
            <w:r>
              <w:rPr>
                <w:b/>
                <w:sz w:val="19"/>
              </w:rPr>
              <w:t>Package</w:t>
            </w:r>
          </w:p>
        </w:tc>
        <w:tc>
          <w:tcPr>
            <w:tcW w:w="6947" w:type="dxa"/>
            <w:tcBorders>
              <w:left w:val="nil"/>
            </w:tcBorders>
          </w:tcPr>
          <w:p>
            <w:pPr>
              <w:pStyle w:val="TableParagraph"/>
              <w:ind w:left="240"/>
              <w:rPr>
                <w:sz w:val="19"/>
              </w:rPr>
            </w:pPr>
            <w:r>
              <w:rPr>
                <w:sz w:val="19"/>
              </w:rPr>
              <w:t>The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Tunnel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Stations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PPP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Package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(CYP’s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project)</w:t>
            </w:r>
          </w:p>
        </w:tc>
      </w:tr>
    </w:tbl>
    <w:p>
      <w:pPr>
        <w:pStyle w:val="BodyText"/>
        <w:spacing w:before="10"/>
        <w:rPr>
          <w:sz w:val="41"/>
        </w:rPr>
      </w:pPr>
    </w:p>
    <w:p>
      <w:pPr>
        <w:spacing w:before="0"/>
        <w:ind w:left="478" w:right="0" w:firstLine="0"/>
        <w:jc w:val="left"/>
        <w:rPr>
          <w:sz w:val="32"/>
        </w:rPr>
      </w:pPr>
      <w:r>
        <w:rPr>
          <w:color w:val="00BBE9"/>
          <w:sz w:val="32"/>
        </w:rPr>
        <w:t>ABBREVIATIONS</w:t>
      </w: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491" w:type="dxa"/>
        <w:tblBorders>
          <w:top w:val="single" w:sz="4" w:space="0" w:color="00BBE9"/>
          <w:left w:val="single" w:sz="4" w:space="0" w:color="00BBE9"/>
          <w:bottom w:val="single" w:sz="4" w:space="0" w:color="00BBE9"/>
          <w:right w:val="single" w:sz="4" w:space="0" w:color="00BBE9"/>
          <w:insideH w:val="single" w:sz="4" w:space="0" w:color="00BBE9"/>
          <w:insideV w:val="single" w:sz="4" w:space="0" w:color="00BB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6"/>
        <w:gridCol w:w="7032"/>
      </w:tblGrid>
      <w:tr>
        <w:trPr>
          <w:trHeight w:val="472" w:hRule="atLeast"/>
        </w:trPr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129"/>
              <w:ind w:left="11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Term</w:t>
            </w:r>
          </w:p>
        </w:tc>
        <w:tc>
          <w:tcPr>
            <w:tcW w:w="7032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129"/>
              <w:ind w:left="338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Definition</w:t>
            </w:r>
          </w:p>
        </w:tc>
      </w:tr>
      <w:tr>
        <w:trPr>
          <w:trHeight w:val="335" w:hRule="atLeast"/>
        </w:trPr>
        <w:tc>
          <w:tcPr>
            <w:tcW w:w="1476" w:type="dxa"/>
            <w:tcBorders>
              <w:right w:val="nil"/>
            </w:tcBorders>
          </w:tcPr>
          <w:p>
            <w:pPr>
              <w:pStyle w:val="TableParagraph"/>
              <w:spacing w:line="199" w:lineRule="exact" w:before="116"/>
              <w:rPr>
                <w:b/>
                <w:sz w:val="19"/>
              </w:rPr>
            </w:pPr>
            <w:r>
              <w:rPr>
                <w:b/>
                <w:sz w:val="19"/>
              </w:rPr>
              <w:t>ARI</w:t>
            </w:r>
          </w:p>
        </w:tc>
        <w:tc>
          <w:tcPr>
            <w:tcW w:w="7032" w:type="dxa"/>
            <w:tcBorders>
              <w:left w:val="nil"/>
            </w:tcBorders>
          </w:tcPr>
          <w:p>
            <w:pPr>
              <w:pStyle w:val="TableParagraph"/>
              <w:spacing w:line="199" w:lineRule="exact" w:before="116"/>
              <w:ind w:left="338"/>
              <w:rPr>
                <w:sz w:val="19"/>
              </w:rPr>
            </w:pPr>
            <w:r>
              <w:rPr>
                <w:sz w:val="19"/>
              </w:rPr>
              <w:t>Average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Recurrence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Interval</w:t>
            </w:r>
          </w:p>
        </w:tc>
      </w:tr>
      <w:tr>
        <w:trPr>
          <w:trHeight w:val="337" w:hRule="atLeast"/>
        </w:trPr>
        <w:tc>
          <w:tcPr>
            <w:tcW w:w="1476" w:type="dxa"/>
            <w:tcBorders>
              <w:right w:val="nil"/>
            </w:tcBorders>
          </w:tcPr>
          <w:p>
            <w:pPr>
              <w:pStyle w:val="TableParagraph"/>
              <w:spacing w:line="199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CoM</w:t>
            </w:r>
          </w:p>
        </w:tc>
        <w:tc>
          <w:tcPr>
            <w:tcW w:w="7032" w:type="dxa"/>
            <w:tcBorders>
              <w:left w:val="nil"/>
            </w:tcBorders>
          </w:tcPr>
          <w:p>
            <w:pPr>
              <w:pStyle w:val="TableParagraph"/>
              <w:spacing w:line="199" w:lineRule="exact"/>
              <w:ind w:left="338"/>
              <w:rPr>
                <w:sz w:val="19"/>
              </w:rPr>
            </w:pPr>
            <w:r>
              <w:rPr>
                <w:sz w:val="19"/>
              </w:rPr>
              <w:t>City of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Melbourne</w:t>
            </w:r>
          </w:p>
        </w:tc>
      </w:tr>
      <w:tr>
        <w:trPr>
          <w:trHeight w:val="338" w:hRule="atLeast"/>
        </w:trPr>
        <w:tc>
          <w:tcPr>
            <w:tcW w:w="1476" w:type="dxa"/>
            <w:tcBorders>
              <w:right w:val="nil"/>
            </w:tcBorders>
          </w:tcPr>
          <w:p>
            <w:pPr>
              <w:pStyle w:val="TableParagraph"/>
              <w:spacing w:line="199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CPTED</w:t>
            </w:r>
          </w:p>
        </w:tc>
        <w:tc>
          <w:tcPr>
            <w:tcW w:w="7032" w:type="dxa"/>
            <w:tcBorders>
              <w:left w:val="nil"/>
            </w:tcBorders>
          </w:tcPr>
          <w:p>
            <w:pPr>
              <w:pStyle w:val="TableParagraph"/>
              <w:spacing w:line="199" w:lineRule="exact"/>
              <w:ind w:left="338"/>
              <w:rPr>
                <w:sz w:val="19"/>
              </w:rPr>
            </w:pPr>
            <w:r>
              <w:rPr>
                <w:sz w:val="19"/>
              </w:rPr>
              <w:t>Crime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Prevention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Through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Environmental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Design</w:t>
            </w:r>
          </w:p>
        </w:tc>
      </w:tr>
      <w:tr>
        <w:trPr>
          <w:trHeight w:val="338" w:hRule="atLeast"/>
        </w:trPr>
        <w:tc>
          <w:tcPr>
            <w:tcW w:w="1476" w:type="dxa"/>
            <w:tcBorders>
              <w:right w:val="nil"/>
            </w:tcBorders>
          </w:tcPr>
          <w:p>
            <w:pPr>
              <w:pStyle w:val="TableParagraph"/>
              <w:spacing w:line="199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CYP</w:t>
            </w:r>
          </w:p>
        </w:tc>
        <w:tc>
          <w:tcPr>
            <w:tcW w:w="7032" w:type="dxa"/>
            <w:tcBorders>
              <w:left w:val="nil"/>
            </w:tcBorders>
          </w:tcPr>
          <w:p>
            <w:pPr>
              <w:pStyle w:val="TableParagraph"/>
              <w:spacing w:line="199" w:lineRule="exact"/>
              <w:ind w:left="338"/>
              <w:rPr>
                <w:sz w:val="19"/>
              </w:rPr>
            </w:pPr>
            <w:r>
              <w:rPr>
                <w:sz w:val="19"/>
              </w:rPr>
              <w:t>Cross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Yarra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Partnership</w:t>
            </w:r>
          </w:p>
        </w:tc>
      </w:tr>
      <w:tr>
        <w:trPr>
          <w:trHeight w:val="337" w:hRule="atLeast"/>
        </w:trPr>
        <w:tc>
          <w:tcPr>
            <w:tcW w:w="1476" w:type="dxa"/>
            <w:tcBorders>
              <w:right w:val="nil"/>
            </w:tcBorders>
          </w:tcPr>
          <w:p>
            <w:pPr>
              <w:pStyle w:val="TableParagraph"/>
              <w:spacing w:line="199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DoT</w:t>
            </w:r>
          </w:p>
        </w:tc>
        <w:tc>
          <w:tcPr>
            <w:tcW w:w="7032" w:type="dxa"/>
            <w:tcBorders>
              <w:left w:val="nil"/>
            </w:tcBorders>
          </w:tcPr>
          <w:p>
            <w:pPr>
              <w:pStyle w:val="TableParagraph"/>
              <w:spacing w:line="199" w:lineRule="exact"/>
              <w:ind w:left="338"/>
              <w:rPr>
                <w:sz w:val="19"/>
              </w:rPr>
            </w:pPr>
            <w:r>
              <w:rPr>
                <w:sz w:val="19"/>
              </w:rPr>
              <w:t>Department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Transport</w:t>
            </w:r>
          </w:p>
        </w:tc>
      </w:tr>
      <w:tr>
        <w:trPr>
          <w:trHeight w:val="340" w:hRule="atLeast"/>
        </w:trPr>
        <w:tc>
          <w:tcPr>
            <w:tcW w:w="1476" w:type="dxa"/>
            <w:tcBorders>
              <w:right w:val="nil"/>
            </w:tcBorders>
          </w:tcPr>
          <w:p>
            <w:pPr>
              <w:pStyle w:val="TableParagraph"/>
              <w:spacing w:line="199" w:lineRule="exact" w:before="121"/>
              <w:rPr>
                <w:b/>
                <w:sz w:val="19"/>
              </w:rPr>
            </w:pPr>
            <w:r>
              <w:rPr>
                <w:b/>
                <w:sz w:val="19"/>
              </w:rPr>
              <w:t>EES</w:t>
            </w:r>
          </w:p>
        </w:tc>
        <w:tc>
          <w:tcPr>
            <w:tcW w:w="7032" w:type="dxa"/>
            <w:tcBorders>
              <w:left w:val="nil"/>
            </w:tcBorders>
          </w:tcPr>
          <w:p>
            <w:pPr>
              <w:pStyle w:val="TableParagraph"/>
              <w:spacing w:line="199" w:lineRule="exact" w:before="121"/>
              <w:ind w:left="338"/>
              <w:rPr>
                <w:sz w:val="19"/>
              </w:rPr>
            </w:pPr>
            <w:r>
              <w:rPr>
                <w:sz w:val="19"/>
              </w:rPr>
              <w:t>Environment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Effects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Statement</w:t>
            </w:r>
          </w:p>
        </w:tc>
      </w:tr>
      <w:tr>
        <w:trPr>
          <w:trHeight w:val="337" w:hRule="atLeast"/>
        </w:trPr>
        <w:tc>
          <w:tcPr>
            <w:tcW w:w="1476" w:type="dxa"/>
            <w:tcBorders>
              <w:right w:val="nil"/>
            </w:tcBorders>
          </w:tcPr>
          <w:p>
            <w:pPr>
              <w:pStyle w:val="TableParagraph"/>
              <w:spacing w:line="199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EMF</w:t>
            </w:r>
          </w:p>
        </w:tc>
        <w:tc>
          <w:tcPr>
            <w:tcW w:w="7032" w:type="dxa"/>
            <w:tcBorders>
              <w:left w:val="nil"/>
            </w:tcBorders>
          </w:tcPr>
          <w:p>
            <w:pPr>
              <w:pStyle w:val="TableParagraph"/>
              <w:spacing w:line="199" w:lineRule="exact"/>
              <w:ind w:left="338"/>
              <w:rPr>
                <w:sz w:val="19"/>
              </w:rPr>
            </w:pPr>
            <w:r>
              <w:rPr>
                <w:sz w:val="19"/>
              </w:rPr>
              <w:t>Environmental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Management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Framework</w:t>
            </w:r>
          </w:p>
        </w:tc>
      </w:tr>
      <w:tr>
        <w:trPr>
          <w:trHeight w:val="337" w:hRule="atLeast"/>
        </w:trPr>
        <w:tc>
          <w:tcPr>
            <w:tcW w:w="1476" w:type="dxa"/>
            <w:tcBorders>
              <w:right w:val="nil"/>
            </w:tcBorders>
          </w:tcPr>
          <w:p>
            <w:pPr>
              <w:pStyle w:val="TableParagraph"/>
              <w:spacing w:line="199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EPA</w:t>
            </w:r>
          </w:p>
        </w:tc>
        <w:tc>
          <w:tcPr>
            <w:tcW w:w="7032" w:type="dxa"/>
            <w:tcBorders>
              <w:left w:val="nil"/>
            </w:tcBorders>
          </w:tcPr>
          <w:p>
            <w:pPr>
              <w:pStyle w:val="TableParagraph"/>
              <w:spacing w:line="199" w:lineRule="exact"/>
              <w:ind w:left="338"/>
              <w:rPr>
                <w:sz w:val="19"/>
              </w:rPr>
            </w:pPr>
            <w:r>
              <w:rPr>
                <w:sz w:val="19"/>
              </w:rPr>
              <w:t>Environment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Protection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Authority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Victoria</w:t>
            </w:r>
          </w:p>
        </w:tc>
      </w:tr>
      <w:tr>
        <w:trPr>
          <w:trHeight w:val="338" w:hRule="atLeast"/>
        </w:trPr>
        <w:tc>
          <w:tcPr>
            <w:tcW w:w="1476" w:type="dxa"/>
            <w:tcBorders>
              <w:right w:val="nil"/>
            </w:tcBorders>
          </w:tcPr>
          <w:p>
            <w:pPr>
              <w:pStyle w:val="TableParagraph"/>
              <w:spacing w:line="199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EPR</w:t>
            </w:r>
          </w:p>
        </w:tc>
        <w:tc>
          <w:tcPr>
            <w:tcW w:w="7032" w:type="dxa"/>
            <w:tcBorders>
              <w:left w:val="nil"/>
            </w:tcBorders>
          </w:tcPr>
          <w:p>
            <w:pPr>
              <w:pStyle w:val="TableParagraph"/>
              <w:spacing w:line="199" w:lineRule="exact"/>
              <w:ind w:left="338"/>
              <w:rPr>
                <w:sz w:val="19"/>
              </w:rPr>
            </w:pPr>
            <w:r>
              <w:rPr>
                <w:sz w:val="19"/>
              </w:rPr>
              <w:t>Environmental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Performance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Requirements</w:t>
            </w:r>
          </w:p>
        </w:tc>
      </w:tr>
      <w:tr>
        <w:trPr>
          <w:trHeight w:val="337" w:hRule="atLeast"/>
        </w:trPr>
        <w:tc>
          <w:tcPr>
            <w:tcW w:w="1476" w:type="dxa"/>
            <w:tcBorders>
              <w:right w:val="nil"/>
            </w:tcBorders>
          </w:tcPr>
          <w:p>
            <w:pPr>
              <w:pStyle w:val="TableParagraph"/>
              <w:spacing w:line="199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HV</w:t>
            </w:r>
          </w:p>
        </w:tc>
        <w:tc>
          <w:tcPr>
            <w:tcW w:w="7032" w:type="dxa"/>
            <w:tcBorders>
              <w:left w:val="nil"/>
            </w:tcBorders>
          </w:tcPr>
          <w:p>
            <w:pPr>
              <w:pStyle w:val="TableParagraph"/>
              <w:spacing w:line="199" w:lineRule="exact"/>
              <w:ind w:left="338"/>
              <w:rPr>
                <w:sz w:val="19"/>
              </w:rPr>
            </w:pPr>
            <w:r>
              <w:rPr>
                <w:sz w:val="19"/>
              </w:rPr>
              <w:t>Heritage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Victoria</w:t>
            </w:r>
          </w:p>
        </w:tc>
      </w:tr>
      <w:tr>
        <w:trPr>
          <w:trHeight w:val="340" w:hRule="atLeast"/>
        </w:trPr>
        <w:tc>
          <w:tcPr>
            <w:tcW w:w="1476" w:type="dxa"/>
            <w:tcBorders>
              <w:right w:val="nil"/>
            </w:tcBorders>
          </w:tcPr>
          <w:p>
            <w:pPr>
              <w:pStyle w:val="TableParagraph"/>
              <w:spacing w:line="199" w:lineRule="exact" w:before="121"/>
              <w:rPr>
                <w:b/>
                <w:sz w:val="19"/>
              </w:rPr>
            </w:pPr>
            <w:r>
              <w:rPr>
                <w:b/>
                <w:sz w:val="19"/>
              </w:rPr>
              <w:t>OVGA</w:t>
            </w:r>
          </w:p>
        </w:tc>
        <w:tc>
          <w:tcPr>
            <w:tcW w:w="7032" w:type="dxa"/>
            <w:tcBorders>
              <w:left w:val="nil"/>
            </w:tcBorders>
          </w:tcPr>
          <w:p>
            <w:pPr>
              <w:pStyle w:val="TableParagraph"/>
              <w:spacing w:line="199" w:lineRule="exact" w:before="121"/>
              <w:ind w:left="338"/>
              <w:rPr>
                <w:sz w:val="19"/>
              </w:rPr>
            </w:pPr>
            <w:r>
              <w:rPr>
                <w:sz w:val="19"/>
              </w:rPr>
              <w:t>Office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Victorian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Government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Architect</w:t>
            </w:r>
          </w:p>
        </w:tc>
      </w:tr>
      <w:tr>
        <w:trPr>
          <w:trHeight w:val="338" w:hRule="atLeast"/>
        </w:trPr>
        <w:tc>
          <w:tcPr>
            <w:tcW w:w="1476" w:type="dxa"/>
            <w:tcBorders>
              <w:right w:val="nil"/>
            </w:tcBorders>
          </w:tcPr>
          <w:p>
            <w:pPr>
              <w:pStyle w:val="TableParagraph"/>
              <w:spacing w:line="199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PS&amp;TR</w:t>
            </w:r>
          </w:p>
        </w:tc>
        <w:tc>
          <w:tcPr>
            <w:tcW w:w="7032" w:type="dxa"/>
            <w:tcBorders>
              <w:left w:val="nil"/>
            </w:tcBorders>
          </w:tcPr>
          <w:p>
            <w:pPr>
              <w:pStyle w:val="TableParagraph"/>
              <w:spacing w:line="199" w:lineRule="exact"/>
              <w:ind w:left="338"/>
              <w:rPr>
                <w:sz w:val="19"/>
              </w:rPr>
            </w:pPr>
            <w:r>
              <w:rPr>
                <w:sz w:val="19"/>
              </w:rPr>
              <w:t>Project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Scope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Technical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Requirements</w:t>
            </w:r>
          </w:p>
        </w:tc>
      </w:tr>
      <w:tr>
        <w:trPr>
          <w:trHeight w:val="338" w:hRule="atLeast"/>
        </w:trPr>
        <w:tc>
          <w:tcPr>
            <w:tcW w:w="1476" w:type="dxa"/>
            <w:tcBorders>
              <w:right w:val="nil"/>
            </w:tcBorders>
          </w:tcPr>
          <w:p>
            <w:pPr>
              <w:pStyle w:val="TableParagraph"/>
              <w:spacing w:line="199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PSA</w:t>
            </w:r>
          </w:p>
        </w:tc>
        <w:tc>
          <w:tcPr>
            <w:tcW w:w="7032" w:type="dxa"/>
            <w:tcBorders>
              <w:left w:val="nil"/>
            </w:tcBorders>
          </w:tcPr>
          <w:p>
            <w:pPr>
              <w:pStyle w:val="TableParagraph"/>
              <w:spacing w:line="199" w:lineRule="exact"/>
              <w:ind w:left="338"/>
              <w:rPr>
                <w:sz w:val="19"/>
              </w:rPr>
            </w:pPr>
            <w:r>
              <w:rPr>
                <w:sz w:val="19"/>
              </w:rPr>
              <w:t>Planning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Scheme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Amendment</w:t>
            </w:r>
          </w:p>
        </w:tc>
      </w:tr>
      <w:tr>
        <w:trPr>
          <w:trHeight w:val="338" w:hRule="atLeast"/>
        </w:trPr>
        <w:tc>
          <w:tcPr>
            <w:tcW w:w="1476" w:type="dxa"/>
            <w:tcBorders>
              <w:right w:val="nil"/>
            </w:tcBorders>
          </w:tcPr>
          <w:p>
            <w:pPr>
              <w:pStyle w:val="TableParagraph"/>
              <w:spacing w:line="199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PTV</w:t>
            </w:r>
          </w:p>
        </w:tc>
        <w:tc>
          <w:tcPr>
            <w:tcW w:w="7032" w:type="dxa"/>
            <w:tcBorders>
              <w:left w:val="nil"/>
            </w:tcBorders>
          </w:tcPr>
          <w:p>
            <w:pPr>
              <w:pStyle w:val="TableParagraph"/>
              <w:spacing w:line="199" w:lineRule="exact"/>
              <w:ind w:left="338"/>
              <w:rPr>
                <w:sz w:val="19"/>
              </w:rPr>
            </w:pPr>
            <w:r>
              <w:rPr>
                <w:sz w:val="19"/>
              </w:rPr>
              <w:t>Public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Transport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Victoria</w:t>
            </w:r>
          </w:p>
        </w:tc>
      </w:tr>
      <w:tr>
        <w:trPr>
          <w:trHeight w:val="458" w:hRule="atLeast"/>
        </w:trPr>
        <w:tc>
          <w:tcPr>
            <w:tcW w:w="1476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19"/>
              </w:rPr>
            </w:pPr>
            <w:r>
              <w:rPr>
                <w:b/>
                <w:sz w:val="19"/>
              </w:rPr>
              <w:t>RPV</w:t>
            </w:r>
          </w:p>
        </w:tc>
        <w:tc>
          <w:tcPr>
            <w:tcW w:w="7032" w:type="dxa"/>
            <w:tcBorders>
              <w:left w:val="nil"/>
            </w:tcBorders>
          </w:tcPr>
          <w:p>
            <w:pPr>
              <w:pStyle w:val="TableParagraph"/>
              <w:ind w:left="338"/>
              <w:rPr>
                <w:sz w:val="19"/>
              </w:rPr>
            </w:pPr>
            <w:r>
              <w:rPr>
                <w:sz w:val="19"/>
              </w:rPr>
              <w:t>Rail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Projects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Victoria</w:t>
            </w:r>
          </w:p>
        </w:tc>
      </w:tr>
      <w:tr>
        <w:trPr>
          <w:trHeight w:val="340" w:hRule="atLeast"/>
        </w:trPr>
        <w:tc>
          <w:tcPr>
            <w:tcW w:w="1476" w:type="dxa"/>
            <w:tcBorders>
              <w:right w:val="nil"/>
            </w:tcBorders>
          </w:tcPr>
          <w:p>
            <w:pPr>
              <w:pStyle w:val="TableParagraph"/>
              <w:spacing w:line="199" w:lineRule="exact" w:before="121"/>
              <w:rPr>
                <w:b/>
                <w:sz w:val="19"/>
              </w:rPr>
            </w:pPr>
            <w:r>
              <w:rPr>
                <w:b/>
                <w:sz w:val="19"/>
              </w:rPr>
              <w:t>RIA</w:t>
            </w:r>
          </w:p>
        </w:tc>
        <w:tc>
          <w:tcPr>
            <w:tcW w:w="7032" w:type="dxa"/>
            <w:tcBorders>
              <w:left w:val="nil"/>
            </w:tcBorders>
          </w:tcPr>
          <w:p>
            <w:pPr>
              <w:pStyle w:val="TableParagraph"/>
              <w:spacing w:line="199" w:lineRule="exact" w:before="121"/>
              <w:ind w:left="338"/>
              <w:rPr>
                <w:sz w:val="19"/>
              </w:rPr>
            </w:pPr>
            <w:r>
              <w:rPr>
                <w:sz w:val="19"/>
              </w:rPr>
              <w:t>Rail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Infrastructure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Alliance</w:t>
            </w:r>
          </w:p>
        </w:tc>
      </w:tr>
      <w:tr>
        <w:trPr>
          <w:trHeight w:val="338" w:hRule="atLeast"/>
        </w:trPr>
        <w:tc>
          <w:tcPr>
            <w:tcW w:w="1476" w:type="dxa"/>
            <w:tcBorders>
              <w:right w:val="nil"/>
            </w:tcBorders>
          </w:tcPr>
          <w:p>
            <w:pPr>
              <w:pStyle w:val="TableParagraph"/>
              <w:spacing w:line="199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RPV</w:t>
            </w:r>
          </w:p>
        </w:tc>
        <w:tc>
          <w:tcPr>
            <w:tcW w:w="7032" w:type="dxa"/>
            <w:tcBorders>
              <w:left w:val="nil"/>
            </w:tcBorders>
          </w:tcPr>
          <w:p>
            <w:pPr>
              <w:pStyle w:val="TableParagraph"/>
              <w:spacing w:line="199" w:lineRule="exact"/>
              <w:ind w:left="338"/>
              <w:rPr>
                <w:sz w:val="19"/>
              </w:rPr>
            </w:pPr>
            <w:r>
              <w:rPr>
                <w:sz w:val="19"/>
              </w:rPr>
              <w:t>Rail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Projects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Victoria</w:t>
            </w:r>
          </w:p>
        </w:tc>
      </w:tr>
      <w:tr>
        <w:trPr>
          <w:trHeight w:val="337" w:hRule="atLeast"/>
        </w:trPr>
        <w:tc>
          <w:tcPr>
            <w:tcW w:w="1476" w:type="dxa"/>
            <w:tcBorders>
              <w:right w:val="nil"/>
            </w:tcBorders>
          </w:tcPr>
          <w:p>
            <w:pPr>
              <w:pStyle w:val="TableParagraph"/>
              <w:spacing w:line="199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TBM</w:t>
            </w:r>
          </w:p>
        </w:tc>
        <w:tc>
          <w:tcPr>
            <w:tcW w:w="7032" w:type="dxa"/>
            <w:tcBorders>
              <w:left w:val="nil"/>
            </w:tcBorders>
          </w:tcPr>
          <w:p>
            <w:pPr>
              <w:pStyle w:val="TableParagraph"/>
              <w:spacing w:line="199" w:lineRule="exact"/>
              <w:ind w:left="338"/>
              <w:rPr>
                <w:sz w:val="19"/>
              </w:rPr>
            </w:pPr>
            <w:r>
              <w:rPr>
                <w:sz w:val="19"/>
              </w:rPr>
              <w:t>Tunnel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Boring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Machine</w:t>
            </w:r>
          </w:p>
        </w:tc>
      </w:tr>
      <w:tr>
        <w:trPr>
          <w:trHeight w:val="337" w:hRule="atLeast"/>
        </w:trPr>
        <w:tc>
          <w:tcPr>
            <w:tcW w:w="1476" w:type="dxa"/>
            <w:tcBorders>
              <w:right w:val="nil"/>
            </w:tcBorders>
          </w:tcPr>
          <w:p>
            <w:pPr>
              <w:pStyle w:val="TableParagraph"/>
              <w:spacing w:line="199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The</w:t>
            </w:r>
            <w:r>
              <w:rPr>
                <w:b/>
                <w:spacing w:val="-3"/>
                <w:sz w:val="19"/>
              </w:rPr>
              <w:t> </w:t>
            </w:r>
            <w:r>
              <w:rPr>
                <w:b/>
                <w:sz w:val="19"/>
              </w:rPr>
              <w:t>Project</w:t>
            </w:r>
          </w:p>
        </w:tc>
        <w:tc>
          <w:tcPr>
            <w:tcW w:w="7032" w:type="dxa"/>
            <w:tcBorders>
              <w:left w:val="nil"/>
            </w:tcBorders>
          </w:tcPr>
          <w:p>
            <w:pPr>
              <w:pStyle w:val="TableParagraph"/>
              <w:spacing w:line="199" w:lineRule="exact"/>
              <w:ind w:left="338"/>
              <w:rPr>
                <w:sz w:val="19"/>
              </w:rPr>
            </w:pPr>
            <w:r>
              <w:rPr>
                <w:sz w:val="19"/>
              </w:rPr>
              <w:t>The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Metro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Tunnel,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or The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Metro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Tunnel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Project</w:t>
            </w:r>
          </w:p>
        </w:tc>
      </w:tr>
    </w:tbl>
    <w:p>
      <w:pPr>
        <w:spacing w:after="0" w:line="199" w:lineRule="exact"/>
        <w:rPr>
          <w:sz w:val="19"/>
        </w:rPr>
        <w:sectPr>
          <w:pgSz w:w="11910" w:h="16840"/>
          <w:pgMar w:header="936" w:footer="365" w:top="1900" w:bottom="560" w:left="94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tbl>
      <w:tblPr>
        <w:tblW w:w="0" w:type="auto"/>
        <w:jc w:val="left"/>
        <w:tblInd w:w="488" w:type="dxa"/>
        <w:tblBorders>
          <w:top w:val="single" w:sz="4" w:space="0" w:color="00BBE9"/>
          <w:left w:val="single" w:sz="4" w:space="0" w:color="00BBE9"/>
          <w:bottom w:val="single" w:sz="4" w:space="0" w:color="00BBE9"/>
          <w:right w:val="single" w:sz="4" w:space="0" w:color="00BBE9"/>
          <w:insideH w:val="single" w:sz="4" w:space="0" w:color="00BBE9"/>
          <w:insideV w:val="single" w:sz="4" w:space="0" w:color="00BB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6"/>
        <w:gridCol w:w="7212"/>
      </w:tblGrid>
      <w:tr>
        <w:trPr>
          <w:trHeight w:val="337" w:hRule="atLeast"/>
        </w:trPr>
        <w:tc>
          <w:tcPr>
            <w:tcW w:w="1296" w:type="dxa"/>
            <w:tcBorders>
              <w:right w:val="nil"/>
            </w:tcBorders>
          </w:tcPr>
          <w:p>
            <w:pPr>
              <w:pStyle w:val="TableParagraph"/>
              <w:spacing w:line="199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UDAAP</w:t>
            </w:r>
          </w:p>
        </w:tc>
        <w:tc>
          <w:tcPr>
            <w:tcW w:w="7212" w:type="dxa"/>
            <w:tcBorders>
              <w:left w:val="nil"/>
            </w:tcBorders>
          </w:tcPr>
          <w:p>
            <w:pPr>
              <w:pStyle w:val="TableParagraph"/>
              <w:spacing w:line="199" w:lineRule="exact"/>
              <w:ind w:left="518"/>
              <w:rPr>
                <w:sz w:val="19"/>
              </w:rPr>
            </w:pPr>
            <w:r>
              <w:rPr>
                <w:sz w:val="19"/>
              </w:rPr>
              <w:t>Urban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Design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Architectural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Advice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Panel</w:t>
            </w:r>
          </w:p>
        </w:tc>
      </w:tr>
      <w:tr>
        <w:trPr>
          <w:trHeight w:val="338" w:hRule="atLeast"/>
        </w:trPr>
        <w:tc>
          <w:tcPr>
            <w:tcW w:w="1296" w:type="dxa"/>
            <w:tcBorders>
              <w:right w:val="nil"/>
            </w:tcBorders>
          </w:tcPr>
          <w:p>
            <w:pPr>
              <w:pStyle w:val="TableParagraph"/>
              <w:spacing w:line="199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UDS</w:t>
            </w:r>
          </w:p>
        </w:tc>
        <w:tc>
          <w:tcPr>
            <w:tcW w:w="7212" w:type="dxa"/>
            <w:tcBorders>
              <w:left w:val="nil"/>
            </w:tcBorders>
          </w:tcPr>
          <w:p>
            <w:pPr>
              <w:pStyle w:val="TableParagraph"/>
              <w:spacing w:line="199" w:lineRule="exact"/>
              <w:ind w:left="518"/>
              <w:rPr>
                <w:sz w:val="19"/>
              </w:rPr>
            </w:pPr>
            <w:r>
              <w:rPr>
                <w:sz w:val="19"/>
              </w:rPr>
              <w:t>Urban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Design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Strategy</w:t>
            </w:r>
          </w:p>
        </w:tc>
      </w:tr>
      <w:tr>
        <w:trPr>
          <w:trHeight w:val="340" w:hRule="atLeast"/>
        </w:trPr>
        <w:tc>
          <w:tcPr>
            <w:tcW w:w="1296" w:type="dxa"/>
            <w:tcBorders>
              <w:right w:val="nil"/>
            </w:tcBorders>
          </w:tcPr>
          <w:p>
            <w:pPr>
              <w:pStyle w:val="TableParagraph"/>
              <w:spacing w:line="199" w:lineRule="exact" w:before="121"/>
              <w:rPr>
                <w:b/>
                <w:sz w:val="19"/>
              </w:rPr>
            </w:pPr>
            <w:r>
              <w:rPr>
                <w:b/>
                <w:sz w:val="19"/>
              </w:rPr>
              <w:t>VHI</w:t>
            </w:r>
          </w:p>
        </w:tc>
        <w:tc>
          <w:tcPr>
            <w:tcW w:w="7212" w:type="dxa"/>
            <w:tcBorders>
              <w:left w:val="nil"/>
            </w:tcBorders>
          </w:tcPr>
          <w:p>
            <w:pPr>
              <w:pStyle w:val="TableParagraph"/>
              <w:spacing w:line="199" w:lineRule="exact" w:before="121"/>
              <w:ind w:left="518"/>
              <w:rPr>
                <w:sz w:val="19"/>
              </w:rPr>
            </w:pPr>
            <w:r>
              <w:rPr>
                <w:sz w:val="19"/>
              </w:rPr>
              <w:t>Victorian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Heritage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Inventory</w:t>
            </w:r>
          </w:p>
        </w:tc>
      </w:tr>
      <w:tr>
        <w:trPr>
          <w:trHeight w:val="338" w:hRule="atLeast"/>
        </w:trPr>
        <w:tc>
          <w:tcPr>
            <w:tcW w:w="1296" w:type="dxa"/>
            <w:tcBorders>
              <w:right w:val="nil"/>
            </w:tcBorders>
          </w:tcPr>
          <w:p>
            <w:pPr>
              <w:pStyle w:val="TableParagraph"/>
              <w:spacing w:line="199" w:lineRule="exact"/>
              <w:rPr>
                <w:b/>
                <w:sz w:val="19"/>
              </w:rPr>
            </w:pPr>
            <w:r>
              <w:rPr>
                <w:b/>
                <w:sz w:val="19"/>
              </w:rPr>
              <w:t>WSUD</w:t>
            </w:r>
          </w:p>
        </w:tc>
        <w:tc>
          <w:tcPr>
            <w:tcW w:w="7212" w:type="dxa"/>
            <w:tcBorders>
              <w:left w:val="nil"/>
            </w:tcBorders>
          </w:tcPr>
          <w:p>
            <w:pPr>
              <w:pStyle w:val="TableParagraph"/>
              <w:spacing w:line="199" w:lineRule="exact"/>
              <w:ind w:left="518"/>
              <w:rPr>
                <w:sz w:val="19"/>
              </w:rPr>
            </w:pPr>
            <w:r>
              <w:rPr>
                <w:sz w:val="19"/>
              </w:rPr>
              <w:t>Water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Sensitive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Urban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Design</w:t>
            </w:r>
          </w:p>
        </w:tc>
      </w:tr>
    </w:tbl>
    <w:p>
      <w:pPr>
        <w:spacing w:after="0" w:line="199" w:lineRule="exact"/>
        <w:rPr>
          <w:sz w:val="19"/>
        </w:rPr>
        <w:sectPr>
          <w:pgSz w:w="11910" w:h="16840"/>
          <w:pgMar w:header="936" w:footer="365" w:top="1900" w:bottom="560" w:left="94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before="89"/>
        <w:ind w:left="478" w:right="0" w:firstLine="0"/>
        <w:jc w:val="left"/>
        <w:rPr>
          <w:sz w:val="32"/>
        </w:rPr>
      </w:pPr>
      <w:r>
        <w:rPr>
          <w:color w:val="00BBE9"/>
          <w:sz w:val="32"/>
        </w:rPr>
        <w:t>PROJECT</w:t>
      </w:r>
      <w:r>
        <w:rPr>
          <w:color w:val="00BBE9"/>
          <w:spacing w:val="-3"/>
          <w:sz w:val="32"/>
        </w:rPr>
        <w:t> </w:t>
      </w:r>
      <w:r>
        <w:rPr>
          <w:color w:val="00BBE9"/>
          <w:sz w:val="32"/>
        </w:rPr>
        <w:t>AND</w:t>
      </w:r>
      <w:r>
        <w:rPr>
          <w:color w:val="00BBE9"/>
          <w:spacing w:val="-1"/>
          <w:sz w:val="32"/>
        </w:rPr>
        <w:t> </w:t>
      </w:r>
      <w:r>
        <w:rPr>
          <w:color w:val="00BBE9"/>
          <w:sz w:val="32"/>
        </w:rPr>
        <w:t>SCOPE</w:t>
      </w:r>
    </w:p>
    <w:p>
      <w:pPr>
        <w:pStyle w:val="BodyText"/>
        <w:spacing w:before="119"/>
        <w:ind w:left="478" w:right="341"/>
      </w:pPr>
      <w:r>
        <w:rPr/>
        <w:t>The Metro Tunnel Project is one of the largest transport infrastructure projects ever undertaken in</w:t>
      </w:r>
      <w:r>
        <w:rPr>
          <w:spacing w:val="1"/>
        </w:rPr>
        <w:t> </w:t>
      </w:r>
      <w:r>
        <w:rPr/>
        <w:t>Australia. It will deliver twin nine kilometre rail tunnels from Kensington to South Yarra as part of a</w:t>
      </w:r>
      <w:r>
        <w:rPr>
          <w:spacing w:val="1"/>
        </w:rPr>
        <w:t> </w:t>
      </w:r>
      <w:r>
        <w:rPr/>
        <w:t>new end-to-end Sunshine to Dandenong line. In addition to the tunnel, new underground stations will</w:t>
      </w:r>
      <w:r>
        <w:rPr>
          <w:spacing w:val="-50"/>
        </w:rPr>
        <w:t> </w:t>
      </w:r>
      <w:r>
        <w:rPr/>
        <w:t>be established at the Arden, Parkville, and Domain precincts and two new stations in the CBD</w:t>
      </w:r>
      <w:r>
        <w:rPr>
          <w:spacing w:val="1"/>
        </w:rPr>
        <w:t> </w:t>
      </w:r>
      <w:r>
        <w:rPr/>
        <w:t>precinct.</w:t>
      </w:r>
    </w:p>
    <w:p>
      <w:pPr>
        <w:pStyle w:val="BodyText"/>
        <w:spacing w:before="6"/>
        <w:rPr>
          <w:sz w:val="8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900430</wp:posOffset>
            </wp:positionH>
            <wp:positionV relativeFrom="paragraph">
              <wp:posOffset>77585</wp:posOffset>
            </wp:positionV>
            <wp:extent cx="5444532" cy="2834640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532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spacing w:before="0"/>
        <w:ind w:left="478" w:right="0" w:firstLine="0"/>
        <w:jc w:val="left"/>
        <w:rPr>
          <w:sz w:val="32"/>
        </w:rPr>
      </w:pPr>
      <w:r>
        <w:rPr>
          <w:color w:val="00BBE9"/>
          <w:sz w:val="32"/>
        </w:rPr>
        <w:t>CONSORTIUM</w:t>
      </w:r>
      <w:r>
        <w:rPr>
          <w:color w:val="00BBE9"/>
          <w:spacing w:val="-4"/>
          <w:sz w:val="32"/>
        </w:rPr>
        <w:t> </w:t>
      </w:r>
      <w:r>
        <w:rPr>
          <w:color w:val="00BBE9"/>
          <w:sz w:val="32"/>
        </w:rPr>
        <w:t>STRUCTURE</w:t>
      </w:r>
    </w:p>
    <w:p>
      <w:pPr>
        <w:pStyle w:val="BodyText"/>
        <w:spacing w:before="4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1358326</wp:posOffset>
            </wp:positionH>
            <wp:positionV relativeFrom="paragraph">
              <wp:posOffset>208132</wp:posOffset>
            </wp:positionV>
            <wp:extent cx="4227776" cy="2916174"/>
            <wp:effectExtent l="0" t="0" r="0" b="0"/>
            <wp:wrapTopAndBottom/>
            <wp:docPr id="15" name="image8.jpeg" descr="Logo, company nam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776" cy="2916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10" w:h="16840"/>
          <w:pgMar w:header="936" w:footer="365" w:top="1900" w:bottom="560" w:left="94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Heading1"/>
      </w:pPr>
      <w:r>
        <w:rPr>
          <w:color w:val="00BBE9"/>
        </w:rPr>
        <w:t>CONTENTS</w:t>
      </w:r>
    </w:p>
    <w:p>
      <w:pPr>
        <w:spacing w:after="0"/>
        <w:sectPr>
          <w:pgSz w:w="11910" w:h="16840"/>
          <w:pgMar w:header="936" w:footer="365" w:top="1900" w:bottom="1519" w:left="940" w:right="16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973" w:val="right" w:leader="dot"/>
            </w:tabs>
            <w:spacing w:before="197"/>
          </w:pPr>
          <w:hyperlink w:history="true" w:anchor="_bookmark1">
            <w:r>
              <w:rPr/>
              <w:t>EXECUTIVE</w:t>
            </w:r>
            <w:r>
              <w:rPr>
                <w:spacing w:val="-1"/>
              </w:rPr>
              <w:t> </w:t>
            </w:r>
            <w:r>
              <w:rPr/>
              <w:t>SUMMARY</w:t>
              <w:tab/>
              <w:t>10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45" w:val="left" w:leader="none"/>
              <w:tab w:pos="1046" w:val="left" w:leader="none"/>
              <w:tab w:pos="8973" w:val="right" w:leader="dot"/>
            </w:tabs>
            <w:spacing w:line="240" w:lineRule="auto" w:before="120" w:after="0"/>
            <w:ind w:left="1045" w:right="0" w:hanging="568"/>
            <w:jc w:val="left"/>
          </w:pPr>
          <w:hyperlink w:history="true" w:anchor="_bookmark3">
            <w:r>
              <w:rPr/>
              <w:t>INTRODUCTION</w:t>
              <w:tab/>
              <w:t>16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45" w:val="left" w:leader="none"/>
              <w:tab w:pos="1046" w:val="left" w:leader="none"/>
              <w:tab w:pos="8973" w:val="right" w:leader="dot"/>
            </w:tabs>
            <w:spacing w:line="240" w:lineRule="auto" w:before="120" w:after="0"/>
            <w:ind w:left="1045" w:right="0" w:hanging="568"/>
            <w:jc w:val="left"/>
          </w:pPr>
          <w:hyperlink w:history="true" w:anchor="_bookmark4">
            <w:r>
              <w:rPr/>
              <w:t>PURPOSE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THIS DEVELOPMENT</w:t>
            </w:r>
            <w:r>
              <w:rPr>
                <w:spacing w:val="-1"/>
              </w:rPr>
              <w:t> </w:t>
            </w:r>
            <w:r>
              <w:rPr/>
              <w:t>PLAN</w:t>
              <w:tab/>
              <w:t>16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45" w:val="left" w:leader="none"/>
              <w:tab w:pos="1046" w:val="left" w:leader="none"/>
              <w:tab w:pos="8973" w:val="right" w:leader="dot"/>
            </w:tabs>
            <w:spacing w:line="240" w:lineRule="auto" w:before="120" w:after="0"/>
            <w:ind w:left="1045" w:right="0" w:hanging="568"/>
            <w:jc w:val="left"/>
          </w:pPr>
          <w:hyperlink w:history="true" w:anchor="_bookmark5">
            <w:r>
              <w:rPr/>
              <w:t>INCORPORATED</w:t>
            </w:r>
            <w:r>
              <w:rPr>
                <w:spacing w:val="-2"/>
              </w:rPr>
              <w:t> </w:t>
            </w:r>
            <w:r>
              <w:rPr/>
              <w:t>DOCUMENT</w:t>
            </w:r>
            <w:r>
              <w:rPr>
                <w:spacing w:val="-1"/>
              </w:rPr>
              <w:t> </w:t>
            </w:r>
            <w:r>
              <w:rPr/>
              <w:t>CONDITIONS</w:t>
              <w:tab/>
              <w:t>17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45" w:val="left" w:leader="none"/>
              <w:tab w:pos="1046" w:val="left" w:leader="none"/>
              <w:tab w:pos="8973" w:val="right" w:leader="dot"/>
            </w:tabs>
            <w:spacing w:line="240" w:lineRule="auto" w:before="120" w:after="0"/>
            <w:ind w:left="1045" w:right="0" w:hanging="568"/>
            <w:jc w:val="left"/>
          </w:pPr>
          <w:hyperlink w:history="true" w:anchor="_bookmark7">
            <w:r>
              <w:rPr/>
              <w:t>COMMUNITY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STAKEHOLDER</w:t>
            </w:r>
            <w:r>
              <w:rPr>
                <w:spacing w:val="-1"/>
              </w:rPr>
              <w:t> </w:t>
            </w:r>
            <w:r>
              <w:rPr/>
              <w:t>ENGAGEMENT</w:t>
              <w:tab/>
              <w:t>19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8973" w:val="right" w:leader="dot"/>
            </w:tabs>
            <w:spacing w:line="240" w:lineRule="auto" w:before="120" w:after="0"/>
            <w:ind w:left="1755" w:right="0" w:hanging="711"/>
            <w:jc w:val="left"/>
          </w:pPr>
          <w:hyperlink w:history="true" w:anchor="_bookmark8">
            <w:r>
              <w:rPr/>
              <w:t>EARLY</w:t>
            </w:r>
            <w:r>
              <w:rPr>
                <w:spacing w:val="-1"/>
              </w:rPr>
              <w:t> </w:t>
            </w:r>
            <w:r>
              <w:rPr/>
              <w:t>ENGAGEMENT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PUBLIC</w:t>
            </w:r>
            <w:r>
              <w:rPr>
                <w:spacing w:val="-2"/>
              </w:rPr>
              <w:t> </w:t>
            </w:r>
            <w:r>
              <w:rPr/>
              <w:t>DISPLAY PERIOD</w:t>
              <w:tab/>
              <w:t>20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</w:tabs>
            <w:spacing w:line="240" w:lineRule="auto" w:before="121" w:after="0"/>
            <w:ind w:left="1755" w:right="0" w:hanging="711"/>
            <w:jc w:val="left"/>
          </w:pPr>
          <w:hyperlink w:history="true" w:anchor="_bookmark9">
            <w:r>
              <w:rPr/>
              <w:t>STAKEHOLDER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COMMUNITY</w:t>
            </w:r>
            <w:r>
              <w:rPr>
                <w:spacing w:val="-4"/>
              </w:rPr>
              <w:t> </w:t>
            </w:r>
            <w:r>
              <w:rPr/>
              <w:t>ENGAGEMENT</w:t>
            </w:r>
            <w:r>
              <w:rPr>
                <w:spacing w:val="-3"/>
              </w:rPr>
              <w:t> </w:t>
            </w:r>
            <w:r>
              <w:rPr/>
              <w:t>DURING</w:t>
            </w:r>
            <w:r>
              <w:rPr>
                <w:spacing w:val="-4"/>
              </w:rPr>
              <w:t> </w:t>
            </w:r>
            <w:r>
              <w:rPr/>
              <w:t>DETAILED</w:t>
            </w:r>
            <w:r>
              <w:rPr>
                <w:spacing w:val="-4"/>
              </w:rPr>
              <w:t> </w:t>
            </w:r>
            <w:r>
              <w:rPr/>
              <w:t>DESIGN</w:t>
            </w:r>
          </w:hyperlink>
        </w:p>
        <w:p>
          <w:pPr>
            <w:pStyle w:val="TOC4"/>
          </w:pPr>
          <w:hyperlink w:history="true" w:anchor="_bookmark9">
            <w:r>
              <w:rPr>
                <w:w w:val="95"/>
              </w:rPr>
              <w:t>...................................................................................................................................</w:t>
            </w:r>
            <w:r>
              <w:rPr>
                <w:spacing w:val="74"/>
              </w:rPr>
              <w:t> </w:t>
            </w:r>
            <w:r>
              <w:rPr>
                <w:spacing w:val="202"/>
              </w:rPr>
              <w:t> </w:t>
            </w:r>
            <w:r>
              <w:rPr>
                <w:w w:val="95"/>
              </w:rPr>
              <w:t>21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45" w:val="left" w:leader="none"/>
              <w:tab w:pos="1046" w:val="left" w:leader="none"/>
              <w:tab w:pos="8973" w:val="right" w:leader="dot"/>
            </w:tabs>
            <w:spacing w:line="240" w:lineRule="auto" w:before="119" w:after="0"/>
            <w:ind w:left="1045" w:right="0" w:hanging="568"/>
            <w:jc w:val="left"/>
          </w:pPr>
          <w:hyperlink w:history="true" w:anchor="_bookmark11">
            <w:r>
              <w:rPr/>
              <w:t>SITE</w:t>
            </w:r>
            <w:r>
              <w:rPr>
                <w:spacing w:val="-1"/>
              </w:rPr>
              <w:t> </w:t>
            </w:r>
            <w:r>
              <w:rPr/>
              <w:t>CONTEXT</w:t>
              <w:tab/>
              <w:t>24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45" w:val="left" w:leader="none"/>
              <w:tab w:pos="1046" w:val="left" w:leader="none"/>
              <w:tab w:pos="8973" w:val="right" w:leader="dot"/>
            </w:tabs>
            <w:spacing w:line="240" w:lineRule="auto" w:before="120" w:after="0"/>
            <w:ind w:left="1045" w:right="0" w:hanging="568"/>
            <w:jc w:val="left"/>
          </w:pPr>
          <w:hyperlink w:history="true" w:anchor="_bookmark13">
            <w:r>
              <w:rPr/>
              <w:t>BROADER</w:t>
            </w:r>
            <w:r>
              <w:rPr>
                <w:spacing w:val="-2"/>
              </w:rPr>
              <w:t> </w:t>
            </w:r>
            <w:r>
              <w:rPr/>
              <w:t>CONTEXT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STRATEGIC</w:t>
            </w:r>
            <w:r>
              <w:rPr>
                <w:spacing w:val="-2"/>
              </w:rPr>
              <w:t> </w:t>
            </w:r>
            <w:r>
              <w:rPr/>
              <w:t>POSITIONING</w:t>
              <w:tab/>
              <w:t>24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45" w:val="left" w:leader="none"/>
              <w:tab w:pos="1046" w:val="left" w:leader="none"/>
              <w:tab w:pos="8973" w:val="right" w:leader="dot"/>
            </w:tabs>
            <w:spacing w:line="240" w:lineRule="auto" w:before="120" w:after="0"/>
            <w:ind w:left="1045" w:right="0" w:hanging="568"/>
            <w:jc w:val="left"/>
          </w:pPr>
          <w:hyperlink w:history="true" w:anchor="_bookmark15">
            <w:r>
              <w:rPr/>
              <w:t>HISTORICAL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NATURAL</w:t>
            </w:r>
            <w:r>
              <w:rPr>
                <w:spacing w:val="-1"/>
              </w:rPr>
              <w:t> </w:t>
            </w:r>
            <w:r>
              <w:rPr/>
              <w:t>CONTEXT</w:t>
              <w:tab/>
              <w:t>27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45" w:val="left" w:leader="none"/>
              <w:tab w:pos="1046" w:val="left" w:leader="none"/>
              <w:tab w:pos="8973" w:val="right" w:leader="dot"/>
            </w:tabs>
            <w:spacing w:line="240" w:lineRule="auto" w:before="120" w:after="0"/>
            <w:ind w:left="1045" w:right="0" w:hanging="568"/>
            <w:jc w:val="left"/>
          </w:pPr>
          <w:hyperlink w:history="true" w:anchor="_bookmark16">
            <w:r>
              <w:rPr/>
              <w:t>EXISTING</w:t>
            </w:r>
            <w:r>
              <w:rPr>
                <w:spacing w:val="-3"/>
              </w:rPr>
              <w:t> </w:t>
            </w:r>
            <w:r>
              <w:rPr/>
              <w:t>SITE</w:t>
            </w:r>
            <w:r>
              <w:rPr>
                <w:spacing w:val="-1"/>
              </w:rPr>
              <w:t> </w:t>
            </w:r>
            <w:r>
              <w:rPr/>
              <w:t>CONDITIONS</w:t>
              <w:tab/>
              <w:t>27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45" w:val="left" w:leader="none"/>
              <w:tab w:pos="1046" w:val="left" w:leader="none"/>
              <w:tab w:pos="8973" w:val="right" w:leader="dot"/>
            </w:tabs>
            <w:spacing w:line="240" w:lineRule="auto" w:before="120" w:after="0"/>
            <w:ind w:left="1045" w:right="0" w:hanging="568"/>
            <w:jc w:val="left"/>
          </w:pPr>
          <w:hyperlink w:history="true" w:anchor="_bookmark17">
            <w:r>
              <w:rPr/>
              <w:t>SCOPE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WORKS IN</w:t>
            </w:r>
            <w:r>
              <w:rPr>
                <w:spacing w:val="-1"/>
              </w:rPr>
              <w:t> </w:t>
            </w:r>
            <w:r>
              <w:rPr/>
              <w:t>ARDEN</w:t>
            </w:r>
            <w:r>
              <w:rPr>
                <w:spacing w:val="-1"/>
              </w:rPr>
              <w:t> </w:t>
            </w:r>
            <w:r>
              <w:rPr/>
              <w:t>STATION</w:t>
            </w:r>
            <w:r>
              <w:rPr>
                <w:spacing w:val="-1"/>
              </w:rPr>
              <w:t> </w:t>
            </w:r>
            <w:r>
              <w:rPr/>
              <w:t>PRECINCT</w:t>
              <w:tab/>
              <w:t>28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45" w:val="left" w:leader="none"/>
              <w:tab w:pos="1046" w:val="left" w:leader="none"/>
              <w:tab w:pos="8973" w:val="right" w:leader="dot"/>
            </w:tabs>
            <w:spacing w:line="240" w:lineRule="auto" w:before="120" w:after="0"/>
            <w:ind w:left="1045" w:right="0" w:hanging="568"/>
            <w:jc w:val="left"/>
          </w:pPr>
          <w:hyperlink w:history="true" w:anchor="_bookmark19">
            <w:r>
              <w:rPr/>
              <w:t>DESIGN</w:t>
            </w:r>
            <w:r>
              <w:rPr>
                <w:spacing w:val="-2"/>
              </w:rPr>
              <w:t> </w:t>
            </w:r>
            <w:r>
              <w:rPr/>
              <w:t>RESPONSE</w:t>
              <w:tab/>
              <w:t>31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45" w:val="left" w:leader="none"/>
              <w:tab w:pos="1046" w:val="left" w:leader="none"/>
              <w:tab w:pos="8973" w:val="right" w:leader="dot"/>
            </w:tabs>
            <w:spacing w:line="240" w:lineRule="auto" w:before="120" w:after="0"/>
            <w:ind w:left="1045" w:right="0" w:hanging="568"/>
            <w:jc w:val="left"/>
          </w:pPr>
          <w:hyperlink w:history="true" w:anchor="_bookmark20">
            <w:r>
              <w:rPr/>
              <w:t>DESIGN</w:t>
            </w:r>
            <w:r>
              <w:rPr>
                <w:spacing w:val="-2"/>
              </w:rPr>
              <w:t> </w:t>
            </w:r>
            <w:r>
              <w:rPr/>
              <w:t>DEVELOPMENT</w:t>
              <w:tab/>
              <w:t>31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45" w:val="left" w:leader="none"/>
              <w:tab w:pos="1046" w:val="left" w:leader="none"/>
              <w:tab w:pos="8973" w:val="right" w:leader="dot"/>
            </w:tabs>
            <w:spacing w:line="240" w:lineRule="auto" w:before="120" w:after="0"/>
            <w:ind w:left="1045" w:right="0" w:hanging="568"/>
            <w:jc w:val="left"/>
          </w:pPr>
          <w:hyperlink w:history="true" w:anchor="_bookmark21">
            <w:r>
              <w:rPr/>
              <w:t>DESIGN</w:t>
            </w:r>
            <w:r>
              <w:rPr>
                <w:spacing w:val="-2"/>
              </w:rPr>
              <w:t> </w:t>
            </w:r>
            <w:r>
              <w:rPr/>
              <w:t>PRINCIPLES FOR</w:t>
            </w:r>
            <w:r>
              <w:rPr>
                <w:spacing w:val="2"/>
              </w:rPr>
              <w:t> </w:t>
            </w:r>
            <w:r>
              <w:rPr/>
              <w:t>METRO</w:t>
            </w:r>
            <w:r>
              <w:rPr>
                <w:spacing w:val="-3"/>
              </w:rPr>
              <w:t> </w:t>
            </w:r>
            <w:r>
              <w:rPr/>
              <w:t>TUNNEL PROJECT</w:t>
              <w:tab/>
              <w:t>33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8973" w:val="right" w:leader="dot"/>
            </w:tabs>
            <w:spacing w:line="240" w:lineRule="auto" w:before="120" w:after="0"/>
            <w:ind w:left="1755" w:right="0" w:hanging="711"/>
            <w:jc w:val="left"/>
          </w:pPr>
          <w:hyperlink w:history="true" w:anchor="_bookmark22">
            <w:r>
              <w:rPr/>
              <w:t>VISION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KEY DIRECTIONS</w:t>
              <w:tab/>
              <w:t>33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8973" w:val="right" w:leader="dot"/>
            </w:tabs>
            <w:spacing w:line="240" w:lineRule="auto" w:before="120" w:after="0"/>
            <w:ind w:left="1755" w:right="0" w:hanging="711"/>
            <w:jc w:val="left"/>
          </w:pPr>
          <w:hyperlink w:history="true" w:anchor="_bookmark24">
            <w:r>
              <w:rPr/>
              <w:t>PRECINCT-SPECIFIC</w:t>
            </w:r>
            <w:r>
              <w:rPr>
                <w:spacing w:val="-2"/>
              </w:rPr>
              <w:t> </w:t>
            </w:r>
            <w:r>
              <w:rPr/>
              <w:t>DESIGN</w:t>
            </w:r>
            <w:r>
              <w:rPr>
                <w:spacing w:val="-1"/>
              </w:rPr>
              <w:t> </w:t>
            </w:r>
            <w:r>
              <w:rPr/>
              <w:t>ISSUES</w:t>
              <w:tab/>
              <w:t>35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45" w:val="left" w:leader="none"/>
              <w:tab w:pos="1046" w:val="left" w:leader="none"/>
              <w:tab w:pos="8973" w:val="right" w:leader="dot"/>
            </w:tabs>
            <w:spacing w:line="240" w:lineRule="auto" w:before="120" w:after="0"/>
            <w:ind w:left="1045" w:right="0" w:hanging="568"/>
            <w:jc w:val="left"/>
          </w:pPr>
          <w:hyperlink w:history="true" w:anchor="_bookmark25">
            <w:r>
              <w:rPr/>
              <w:t>CONSISTENCY</w:t>
            </w:r>
            <w:r>
              <w:rPr>
                <w:spacing w:val="-1"/>
              </w:rPr>
              <w:t> </w:t>
            </w:r>
            <w:r>
              <w:rPr/>
              <w:t>WITH</w:t>
            </w:r>
            <w:r>
              <w:rPr>
                <w:spacing w:val="-1"/>
              </w:rPr>
              <w:t> </w:t>
            </w:r>
            <w:r>
              <w:rPr/>
              <w:t>URBAN</w:t>
            </w:r>
            <w:r>
              <w:rPr>
                <w:spacing w:val="-1"/>
              </w:rPr>
              <w:t> </w:t>
            </w:r>
            <w:r>
              <w:rPr/>
              <w:t>DESIGN</w:t>
            </w:r>
            <w:r>
              <w:rPr>
                <w:spacing w:val="-1"/>
              </w:rPr>
              <w:t> </w:t>
            </w:r>
            <w:r>
              <w:rPr/>
              <w:t>STRATEGY</w:t>
              <w:tab/>
              <w:t>35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8973" w:val="right" w:leader="dot"/>
            </w:tabs>
            <w:spacing w:line="240" w:lineRule="auto" w:before="120" w:after="0"/>
            <w:ind w:left="1755" w:right="0" w:hanging="711"/>
            <w:jc w:val="left"/>
          </w:pPr>
          <w:hyperlink w:history="true" w:anchor="_bookmark26">
            <w:r>
              <w:rPr/>
              <w:t>ARCHITECTURAL</w:t>
            </w:r>
            <w:r>
              <w:rPr>
                <w:spacing w:val="-1"/>
              </w:rPr>
              <w:t> </w:t>
            </w:r>
            <w:r>
              <w:rPr/>
              <w:t>RESPONSE</w:t>
              <w:tab/>
              <w:t>36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8973" w:val="right" w:leader="dot"/>
            </w:tabs>
            <w:spacing w:line="240" w:lineRule="auto" w:before="120" w:after="0"/>
            <w:ind w:left="1755" w:right="0" w:hanging="711"/>
            <w:jc w:val="left"/>
          </w:pPr>
          <w:hyperlink w:history="true" w:anchor="_bookmark27">
            <w:r>
              <w:rPr/>
              <w:t>LANDSCAPE</w:t>
            </w:r>
            <w:r>
              <w:rPr>
                <w:spacing w:val="-1"/>
              </w:rPr>
              <w:t> </w:t>
            </w:r>
            <w:r>
              <w:rPr/>
              <w:t>RESPONSE</w:t>
              <w:tab/>
              <w:t>37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8973" w:val="right" w:leader="dot"/>
            </w:tabs>
            <w:spacing w:line="240" w:lineRule="auto" w:before="120" w:after="0"/>
            <w:ind w:left="1755" w:right="0" w:hanging="711"/>
            <w:jc w:val="left"/>
          </w:pPr>
          <w:hyperlink w:history="true" w:anchor="_bookmark29">
            <w:r>
              <w:rPr/>
              <w:t>PUBLIC</w:t>
            </w:r>
            <w:r>
              <w:rPr>
                <w:spacing w:val="-2"/>
              </w:rPr>
              <w:t> </w:t>
            </w:r>
            <w:r>
              <w:rPr/>
              <w:t>REALM RESPONSE</w:t>
              <w:tab/>
              <w:t>40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8973" w:val="right" w:leader="dot"/>
            </w:tabs>
            <w:spacing w:line="240" w:lineRule="auto" w:before="120" w:after="0"/>
            <w:ind w:left="1755" w:right="0" w:hanging="711"/>
            <w:jc w:val="left"/>
          </w:pPr>
          <w:hyperlink w:history="true" w:anchor="_bookmark30">
            <w:r>
              <w:rPr/>
              <w:t>COMMUNITY</w:t>
            </w:r>
            <w:r>
              <w:rPr>
                <w:spacing w:val="-1"/>
              </w:rPr>
              <w:t> </w:t>
            </w:r>
            <w:r>
              <w:rPr/>
              <w:t>EXPERIENCE</w:t>
              <w:tab/>
              <w:t>41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8973" w:val="right" w:leader="dot"/>
            </w:tabs>
            <w:spacing w:line="240" w:lineRule="auto" w:before="122" w:after="0"/>
            <w:ind w:left="1755" w:right="0" w:hanging="711"/>
            <w:jc w:val="left"/>
          </w:pPr>
          <w:hyperlink w:history="true" w:anchor="_bookmark40">
            <w:r>
              <w:rPr/>
              <w:t>LIGHTING</w:t>
              <w:tab/>
              <w:t>51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8973" w:val="right" w:leader="dot"/>
            </w:tabs>
            <w:spacing w:line="240" w:lineRule="auto" w:before="120" w:after="0"/>
            <w:ind w:left="1755" w:right="0" w:hanging="711"/>
            <w:jc w:val="left"/>
          </w:pPr>
          <w:hyperlink w:history="true" w:anchor="_bookmark41">
            <w:r>
              <w:rPr/>
              <w:t>SIGNAGE</w:t>
              <w:tab/>
              <w:t>51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8973" w:val="right" w:leader="dot"/>
            </w:tabs>
            <w:spacing w:line="240" w:lineRule="auto" w:before="120" w:after="0"/>
            <w:ind w:left="1755" w:right="0" w:hanging="711"/>
            <w:jc w:val="left"/>
          </w:pPr>
          <w:hyperlink w:history="true" w:anchor="_bookmark42">
            <w:r>
              <w:rPr/>
              <w:t>ANCILLARY</w:t>
            </w:r>
            <w:r>
              <w:rPr>
                <w:spacing w:val="-1"/>
              </w:rPr>
              <w:t> </w:t>
            </w:r>
            <w:r>
              <w:rPr/>
              <w:t>FEATURES</w:t>
              <w:tab/>
              <w:t>51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8973" w:val="right" w:leader="dot"/>
            </w:tabs>
            <w:spacing w:line="240" w:lineRule="auto" w:before="120" w:after="0"/>
            <w:ind w:left="1755" w:right="0" w:hanging="711"/>
            <w:jc w:val="left"/>
          </w:pPr>
          <w:hyperlink w:history="true" w:anchor="_bookmark43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FINISHES</w:t>
              <w:tab/>
              <w:t>52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8973" w:val="right" w:leader="dot"/>
            </w:tabs>
            <w:spacing w:line="240" w:lineRule="auto" w:before="120" w:after="0"/>
            <w:ind w:left="1755" w:right="0" w:hanging="711"/>
            <w:jc w:val="left"/>
          </w:pPr>
          <w:hyperlink w:history="true" w:anchor="_bookmark44">
            <w:r>
              <w:rPr/>
              <w:t>CRIME</w:t>
            </w:r>
            <w:r>
              <w:rPr>
                <w:spacing w:val="-1"/>
              </w:rPr>
              <w:t> </w:t>
            </w:r>
            <w:r>
              <w:rPr/>
              <w:t>PREVENTION</w:t>
            </w:r>
            <w:r>
              <w:rPr>
                <w:spacing w:val="-1"/>
              </w:rPr>
              <w:t> </w:t>
            </w:r>
            <w:r>
              <w:rPr/>
              <w:t>THROUGH</w:t>
            </w:r>
            <w:r>
              <w:rPr>
                <w:spacing w:val="-2"/>
              </w:rPr>
              <w:t> </w:t>
            </w:r>
            <w:r>
              <w:rPr/>
              <w:t>ENVIRONMENTAL</w:t>
            </w:r>
            <w:r>
              <w:rPr>
                <w:spacing w:val="-1"/>
              </w:rPr>
              <w:t> </w:t>
            </w:r>
            <w:r>
              <w:rPr/>
              <w:t>DESIGN</w:t>
              <w:tab/>
              <w:t>52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45" w:val="left" w:leader="none"/>
              <w:tab w:pos="1046" w:val="left" w:leader="none"/>
              <w:tab w:pos="8973" w:val="right" w:leader="dot"/>
            </w:tabs>
            <w:spacing w:line="240" w:lineRule="auto" w:before="120" w:after="0"/>
            <w:ind w:left="1045" w:right="0" w:hanging="568"/>
            <w:jc w:val="left"/>
          </w:pPr>
          <w:hyperlink w:history="true" w:anchor="_bookmark45">
            <w:r>
              <w:rPr/>
              <w:t>CONSISTENCY</w:t>
            </w:r>
            <w:r>
              <w:rPr>
                <w:spacing w:val="-1"/>
              </w:rPr>
              <w:t> </w:t>
            </w:r>
            <w:r>
              <w:rPr/>
              <w:t>WITH</w:t>
            </w:r>
            <w:r>
              <w:rPr>
                <w:spacing w:val="-2"/>
              </w:rPr>
              <w:t> </w:t>
            </w:r>
            <w:r>
              <w:rPr/>
              <w:t>ENVIRONMENTAL</w:t>
            </w:r>
            <w:r>
              <w:rPr>
                <w:spacing w:val="-1"/>
              </w:rPr>
              <w:t> </w:t>
            </w:r>
            <w:r>
              <w:rPr/>
              <w:t>MANAGEMENT</w:t>
            </w:r>
            <w:r>
              <w:rPr>
                <w:spacing w:val="-2"/>
              </w:rPr>
              <w:t> </w:t>
            </w:r>
            <w:r>
              <w:rPr/>
              <w:t>FRAMEWORK</w:t>
              <w:tab/>
              <w:t>54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8973" w:val="right" w:leader="dot"/>
            </w:tabs>
            <w:spacing w:line="240" w:lineRule="auto" w:before="120" w:after="0"/>
            <w:ind w:left="1755" w:right="0" w:hanging="711"/>
            <w:jc w:val="left"/>
          </w:pPr>
          <w:hyperlink w:history="true" w:anchor="_bookmark47">
            <w:r>
              <w:rPr/>
              <w:t>AQUATIC</w:t>
            </w:r>
            <w:r>
              <w:rPr>
                <w:spacing w:val="-2"/>
              </w:rPr>
              <w:t> </w:t>
            </w:r>
            <w:r>
              <w:rPr/>
              <w:t>ECOLOGY AND</w:t>
            </w:r>
            <w:r>
              <w:rPr>
                <w:spacing w:val="2"/>
              </w:rPr>
              <w:t> </w:t>
            </w:r>
            <w:r>
              <w:rPr/>
              <w:t>RIVER</w:t>
            </w:r>
            <w:r>
              <w:rPr>
                <w:spacing w:val="-1"/>
              </w:rPr>
              <w:t> </w:t>
            </w:r>
            <w:r>
              <w:rPr/>
              <w:t>HEALTH</w:t>
              <w:tab/>
              <w:t>55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8973" w:val="right" w:leader="dot"/>
            </w:tabs>
            <w:spacing w:line="240" w:lineRule="auto" w:before="120" w:after="0"/>
            <w:ind w:left="1755" w:right="0" w:hanging="711"/>
            <w:jc w:val="left"/>
          </w:pPr>
          <w:hyperlink w:history="true" w:anchor="_bookmark49">
            <w:r>
              <w:rPr/>
              <w:t>ARBORICULTURE</w:t>
              <w:tab/>
              <w:t>55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8973" w:val="right" w:leader="dot"/>
            </w:tabs>
            <w:spacing w:line="240" w:lineRule="auto" w:before="120" w:after="0"/>
            <w:ind w:left="1755" w:right="0" w:hanging="711"/>
            <w:jc w:val="left"/>
          </w:pPr>
          <w:hyperlink w:history="true" w:anchor="_bookmark51">
            <w:r>
              <w:rPr/>
              <w:t>HISTORICAL</w:t>
            </w:r>
            <w:r>
              <w:rPr>
                <w:spacing w:val="-2"/>
              </w:rPr>
              <w:t> </w:t>
            </w:r>
            <w:r>
              <w:rPr/>
              <w:t>CULTURAL HERITAGE</w:t>
              <w:tab/>
              <w:t>56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8973" w:val="right" w:leader="dot"/>
            </w:tabs>
            <w:spacing w:line="240" w:lineRule="auto" w:before="120" w:after="0"/>
            <w:ind w:left="1755" w:right="0" w:hanging="711"/>
            <w:jc w:val="left"/>
          </w:pPr>
          <w:hyperlink w:history="true" w:anchor="_bookmark53">
            <w:r>
              <w:rPr/>
              <w:t>LAND</w:t>
            </w:r>
            <w:r>
              <w:rPr>
                <w:spacing w:val="-2"/>
              </w:rPr>
              <w:t> </w:t>
            </w:r>
            <w:r>
              <w:rPr/>
              <w:t>USE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PLANNING</w:t>
              <w:tab/>
              <w:t>57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8973" w:val="right" w:leader="dot"/>
            </w:tabs>
            <w:spacing w:line="240" w:lineRule="auto" w:before="120" w:after="0"/>
            <w:ind w:left="1755" w:right="0" w:hanging="711"/>
            <w:jc w:val="left"/>
          </w:pPr>
          <w:hyperlink w:history="true" w:anchor="_bookmark55">
            <w:r>
              <w:rPr/>
              <w:t>LANDSCAPE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VISUAL</w:t>
              <w:tab/>
              <w:t>58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8973" w:val="right" w:leader="dot"/>
            </w:tabs>
            <w:spacing w:line="240" w:lineRule="auto" w:before="120" w:after="0"/>
            <w:ind w:left="1755" w:right="0" w:hanging="711"/>
            <w:jc w:val="left"/>
          </w:pPr>
          <w:hyperlink w:history="true" w:anchor="_bookmark57">
            <w:r>
              <w:rPr/>
              <w:t>SOCIAL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COMMUNITY</w:t>
              <w:tab/>
              <w:t>58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8973" w:val="right" w:leader="dot"/>
            </w:tabs>
            <w:spacing w:line="240" w:lineRule="auto" w:before="120" w:after="20"/>
            <w:ind w:left="1755" w:right="0" w:hanging="711"/>
            <w:jc w:val="left"/>
          </w:pPr>
          <w:hyperlink w:history="true" w:anchor="_bookmark59">
            <w:r>
              <w:rPr/>
              <w:t>SURFACE</w:t>
            </w:r>
            <w:r>
              <w:rPr>
                <w:spacing w:val="-1"/>
              </w:rPr>
              <w:t> </w:t>
            </w:r>
            <w:r>
              <w:rPr/>
              <w:t>WATER</w:t>
              <w:tab/>
              <w:t>59</w:t>
            </w:r>
          </w:hyperlink>
        </w:p>
        <w:p>
          <w:pPr>
            <w:pStyle w:val="TOC3"/>
            <w:numPr>
              <w:ilvl w:val="2"/>
              <w:numId w:val="1"/>
            </w:numPr>
            <w:tabs>
              <w:tab w:pos="1755" w:val="left" w:leader="none"/>
              <w:tab w:pos="1756" w:val="left" w:leader="none"/>
              <w:tab w:pos="8762" w:val="left" w:leader="dot"/>
            </w:tabs>
            <w:spacing w:line="240" w:lineRule="auto" w:before="774" w:after="0"/>
            <w:ind w:left="1755" w:right="0" w:hanging="711"/>
            <w:jc w:val="left"/>
          </w:pPr>
          <w:hyperlink w:history="true" w:anchor="_bookmark61">
            <w:r>
              <w:rPr/>
              <w:t>TRANSPORT</w:t>
              <w:tab/>
              <w:t>59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045" w:val="left" w:leader="none"/>
              <w:tab w:pos="1046" w:val="left" w:leader="none"/>
              <w:tab w:pos="8762" w:val="left" w:leader="dot"/>
            </w:tabs>
            <w:spacing w:line="240" w:lineRule="auto" w:before="120" w:after="0"/>
            <w:ind w:left="1045" w:right="0" w:hanging="568"/>
            <w:jc w:val="left"/>
          </w:pPr>
          <w:hyperlink w:history="true" w:anchor="_bookmark63">
            <w:r>
              <w:rPr/>
              <w:t>CONCLUSION</w:t>
              <w:tab/>
              <w:t>62</w:t>
            </w:r>
          </w:hyperlink>
        </w:p>
        <w:p>
          <w:pPr>
            <w:pStyle w:val="TOC1"/>
            <w:tabs>
              <w:tab w:pos="8762" w:val="left" w:leader="dot"/>
            </w:tabs>
            <w:spacing w:before="201"/>
          </w:pPr>
          <w:hyperlink w:history="true" w:anchor="_bookmark0">
            <w:r>
              <w:rPr/>
              <w:t>APPENDIX</w:t>
            </w:r>
            <w:r>
              <w:rPr>
                <w:spacing w:val="-2"/>
              </w:rPr>
              <w:t> </w:t>
            </w:r>
            <w:r>
              <w:rPr/>
              <w:t>A:</w:t>
            </w:r>
            <w:r>
              <w:rPr>
                <w:spacing w:val="-3"/>
              </w:rPr>
              <w:t> </w:t>
            </w:r>
            <w:r>
              <w:rPr/>
              <w:t>ARDEN</w:t>
            </w:r>
            <w:r>
              <w:rPr>
                <w:spacing w:val="-2"/>
              </w:rPr>
              <w:t> </w:t>
            </w:r>
            <w:r>
              <w:rPr/>
              <w:t>STATION</w:t>
            </w:r>
            <w:r>
              <w:rPr>
                <w:spacing w:val="-3"/>
              </w:rPr>
              <w:t> </w:t>
            </w:r>
            <w:r>
              <w:rPr/>
              <w:t>PRECINCT SITE</w:t>
            </w:r>
            <w:r>
              <w:rPr>
                <w:spacing w:val="-2"/>
              </w:rPr>
              <w:t> </w:t>
            </w:r>
            <w:r>
              <w:rPr/>
              <w:t>LAYOUT</w:t>
            </w:r>
            <w:r>
              <w:rPr>
                <w:spacing w:val="-1"/>
              </w:rPr>
              <w:t> </w:t>
            </w:r>
            <w:r>
              <w:rPr/>
              <w:t>PLAN</w:t>
              <w:tab/>
              <w:t>64</w:t>
            </w:r>
          </w:hyperlink>
        </w:p>
        <w:p>
          <w:pPr>
            <w:pStyle w:val="TOC1"/>
            <w:tabs>
              <w:tab w:pos="8762" w:val="left" w:leader="dot"/>
            </w:tabs>
          </w:pPr>
          <w:r>
            <w:rPr/>
            <w:t>APPENDIX</w:t>
          </w:r>
          <w:r>
            <w:rPr>
              <w:spacing w:val="-2"/>
            </w:rPr>
            <w:t> </w:t>
          </w:r>
          <w:r>
            <w:rPr/>
            <w:t>B:</w:t>
          </w:r>
          <w:r>
            <w:rPr>
              <w:spacing w:val="-2"/>
            </w:rPr>
            <w:t> </w:t>
          </w:r>
          <w:r>
            <w:rPr/>
            <w:t>ARDEN</w:t>
          </w:r>
          <w:r>
            <w:rPr>
              <w:spacing w:val="-2"/>
            </w:rPr>
            <w:t> </w:t>
          </w:r>
          <w:r>
            <w:rPr/>
            <w:t>STATION</w:t>
          </w:r>
          <w:r>
            <w:rPr>
              <w:spacing w:val="-2"/>
            </w:rPr>
            <w:t> </w:t>
          </w:r>
          <w:r>
            <w:rPr/>
            <w:t>PRECINCT ARCHITECTURAL</w:t>
          </w:r>
          <w:r>
            <w:rPr>
              <w:spacing w:val="-3"/>
            </w:rPr>
            <w:t> </w:t>
          </w:r>
          <w:r>
            <w:rPr/>
            <w:t>PLANS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ELEVATIONS</w:t>
            <w:tab/>
            <w:t>65</w:t>
          </w:r>
        </w:p>
        <w:p>
          <w:pPr>
            <w:pStyle w:val="TOC1"/>
            <w:tabs>
              <w:tab w:pos="8762" w:val="left" w:leader="dot"/>
            </w:tabs>
          </w:pPr>
          <w:r>
            <w:rPr/>
            <w:t>APPENDIX</w:t>
          </w:r>
          <w:r>
            <w:rPr>
              <w:spacing w:val="-2"/>
            </w:rPr>
            <w:t> </w:t>
          </w:r>
          <w:r>
            <w:rPr/>
            <w:t>C:</w:t>
          </w:r>
          <w:r>
            <w:rPr>
              <w:spacing w:val="-2"/>
            </w:rPr>
            <w:t> </w:t>
          </w:r>
          <w:r>
            <w:rPr/>
            <w:t>ARDEN</w:t>
          </w:r>
          <w:r>
            <w:rPr>
              <w:spacing w:val="-2"/>
            </w:rPr>
            <w:t> </w:t>
          </w:r>
          <w:r>
            <w:rPr/>
            <w:t>STATION</w:t>
          </w:r>
          <w:r>
            <w:rPr>
              <w:spacing w:val="-3"/>
            </w:rPr>
            <w:t> </w:t>
          </w:r>
          <w:r>
            <w:rPr/>
            <w:t>PRECINCT LANDSCAPE</w:t>
          </w:r>
          <w:r>
            <w:rPr>
              <w:spacing w:val="-1"/>
            </w:rPr>
            <w:t> </w:t>
          </w:r>
          <w:r>
            <w:rPr/>
            <w:t>PLANS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ELEVATIONS</w:t>
            <w:tab/>
            <w:t>66</w:t>
          </w:r>
        </w:p>
        <w:p>
          <w:pPr>
            <w:pStyle w:val="TOC1"/>
            <w:tabs>
              <w:tab w:pos="8762" w:val="left" w:leader="dot"/>
            </w:tabs>
          </w:pPr>
          <w:r>
            <w:rPr/>
            <w:t>APPENDIX</w:t>
          </w:r>
          <w:r>
            <w:rPr>
              <w:spacing w:val="-2"/>
            </w:rPr>
            <w:t> </w:t>
          </w:r>
          <w:r>
            <w:rPr/>
            <w:t>D:</w:t>
          </w:r>
          <w:r>
            <w:rPr>
              <w:spacing w:val="-2"/>
            </w:rPr>
            <w:t> </w:t>
          </w:r>
          <w:r>
            <w:rPr/>
            <w:t>ARDEN STATION</w:t>
          </w:r>
          <w:r>
            <w:rPr>
              <w:spacing w:val="-2"/>
            </w:rPr>
            <w:t> </w:t>
          </w:r>
          <w:r>
            <w:rPr/>
            <w:t>PRECINCT</w:t>
          </w:r>
          <w:r>
            <w:rPr>
              <w:spacing w:val="-1"/>
            </w:rPr>
            <w:t> </w:t>
          </w:r>
          <w:r>
            <w:rPr/>
            <w:t>PUBLIC</w:t>
          </w:r>
          <w:r>
            <w:rPr>
              <w:spacing w:val="-2"/>
            </w:rPr>
            <w:t> </w:t>
          </w:r>
          <w:r>
            <w:rPr/>
            <w:t>REALM</w:t>
          </w:r>
          <w:r>
            <w:rPr>
              <w:spacing w:val="-2"/>
            </w:rPr>
            <w:t> </w:t>
          </w:r>
          <w:r>
            <w:rPr/>
            <w:t>PLANS</w:t>
            <w:tab/>
            <w:t>67</w:t>
          </w:r>
        </w:p>
        <w:p>
          <w:pPr>
            <w:pStyle w:val="TOC1"/>
            <w:tabs>
              <w:tab w:pos="8762" w:val="left" w:leader="dot"/>
            </w:tabs>
            <w:ind w:right="310"/>
          </w:pPr>
          <w:r>
            <w:rPr/>
            <w:t>APPENDIX E: ARDEN STATION PRECINCT URBAN DESIGN STRATEGY GUIDELINES</w:t>
          </w:r>
          <w:r>
            <w:rPr>
              <w:spacing w:val="1"/>
            </w:rPr>
            <w:t> </w:t>
          </w:r>
          <w:r>
            <w:rPr/>
            <w:t>ASSESSMENT</w:t>
            <w:tab/>
          </w:r>
          <w:r>
            <w:rPr>
              <w:spacing w:val="-1"/>
            </w:rPr>
            <w:t>68</w:t>
          </w:r>
        </w:p>
        <w:p>
          <w:pPr>
            <w:pStyle w:val="TOC1"/>
            <w:tabs>
              <w:tab w:pos="8762" w:val="left" w:leader="dot"/>
            </w:tabs>
            <w:ind w:right="310"/>
          </w:pPr>
          <w:r>
            <w:rPr/>
            <w:t>APPENDIX F: ARDEN STATION PRECINCT ENVIRONMENTAL PERFORMANCE</w:t>
          </w:r>
          <w:r>
            <w:rPr>
              <w:spacing w:val="1"/>
            </w:rPr>
            <w:t> </w:t>
          </w:r>
          <w:r>
            <w:rPr/>
            <w:t>REQUIREMENTS</w:t>
          </w:r>
          <w:r>
            <w:rPr>
              <w:spacing w:val="-3"/>
            </w:rPr>
            <w:t> </w:t>
          </w:r>
          <w:r>
            <w:rPr/>
            <w:t>ASSESSMENT</w:t>
            <w:tab/>
          </w:r>
          <w:r>
            <w:rPr>
              <w:spacing w:val="-1"/>
            </w:rPr>
            <w:t>69</w:t>
          </w:r>
        </w:p>
      </w:sdtContent>
    </w:sdt>
    <w:p>
      <w:pPr>
        <w:spacing w:after="0"/>
        <w:sectPr>
          <w:type w:val="continuous"/>
          <w:pgSz w:w="11910" w:h="16840"/>
          <w:pgMar w:header="936" w:footer="365" w:top="1920" w:bottom="1519" w:left="940" w:right="16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</w:p>
    <w:p>
      <w:pPr>
        <w:pStyle w:val="Heading5"/>
      </w:pPr>
      <w:r>
        <w:rPr/>
        <w:t>Figures</w:t>
      </w:r>
    </w:p>
    <w:p>
      <w:pPr>
        <w:pStyle w:val="BodyText"/>
        <w:spacing w:before="120"/>
        <w:ind w:left="478" w:right="469"/>
      </w:pPr>
      <w:hyperlink w:history="true" w:anchor="_bookmark10">
        <w:r>
          <w:rPr/>
          <w:t>Figure 1 – Development Plan consultation process (blue refers to Early Engagement, orange refers</w:t>
        </w:r>
      </w:hyperlink>
      <w:r>
        <w:rPr>
          <w:spacing w:val="-50"/>
        </w:rPr>
        <w:t> </w:t>
      </w:r>
      <w:hyperlink w:history="true" w:anchor="_bookmark10">
        <w:r>
          <w:rPr/>
          <w:t>to</w:t>
        </w:r>
        <w:r>
          <w:rPr>
            <w:spacing w:val="-2"/>
          </w:rPr>
          <w:t> </w:t>
        </w:r>
        <w:r>
          <w:rPr/>
          <w:t>Public</w:t>
        </w:r>
        <w:r>
          <w:rPr>
            <w:spacing w:val="-1"/>
          </w:rPr>
          <w:t> </w:t>
        </w:r>
        <w:r>
          <w:rPr/>
          <w:t>Display</w:t>
        </w:r>
        <w:r>
          <w:rPr>
            <w:spacing w:val="-1"/>
          </w:rPr>
          <w:t> </w:t>
        </w:r>
        <w:r>
          <w:rPr/>
          <w:t>Period,</w:t>
        </w:r>
        <w:r>
          <w:rPr>
            <w:spacing w:val="-2"/>
          </w:rPr>
          <w:t> </w:t>
        </w:r>
        <w:r>
          <w:rPr/>
          <w:t>and</w:t>
        </w:r>
        <w:r>
          <w:rPr>
            <w:spacing w:val="-4"/>
          </w:rPr>
          <w:t> </w:t>
        </w:r>
        <w:r>
          <w:rPr/>
          <w:t>green</w:t>
        </w:r>
        <w:r>
          <w:rPr>
            <w:spacing w:val="-2"/>
          </w:rPr>
          <w:t> </w:t>
        </w:r>
        <w:r>
          <w:rPr/>
          <w:t>refers</w:t>
        </w:r>
        <w:r>
          <w:rPr>
            <w:spacing w:val="-1"/>
          </w:rPr>
          <w:t> </w:t>
        </w:r>
        <w:r>
          <w:rPr/>
          <w:t>to</w:t>
        </w:r>
        <w:r>
          <w:rPr>
            <w:spacing w:val="-2"/>
          </w:rPr>
          <w:t> </w:t>
        </w:r>
        <w:r>
          <w:rPr/>
          <w:t>Stakeholder</w:t>
        </w:r>
        <w:r>
          <w:rPr>
            <w:spacing w:val="-2"/>
          </w:rPr>
          <w:t> </w:t>
        </w:r>
        <w:r>
          <w:rPr/>
          <w:t>Engagement</w:t>
        </w:r>
        <w:r>
          <w:rPr>
            <w:spacing w:val="-1"/>
          </w:rPr>
          <w:t> </w:t>
        </w:r>
        <w:r>
          <w:rPr/>
          <w:t>during</w:t>
        </w:r>
        <w:r>
          <w:rPr>
            <w:spacing w:val="-2"/>
          </w:rPr>
          <w:t> </w:t>
        </w:r>
        <w:r>
          <w:rPr/>
          <w:t>detailed</w:t>
        </w:r>
        <w:r>
          <w:rPr>
            <w:spacing w:val="-3"/>
          </w:rPr>
          <w:t> </w:t>
        </w:r>
        <w:r>
          <w:rPr/>
          <w:t>design)</w:t>
        </w:r>
      </w:hyperlink>
    </w:p>
    <w:p>
      <w:pPr>
        <w:pStyle w:val="BodyText"/>
        <w:spacing w:line="372" w:lineRule="auto" w:before="120"/>
        <w:ind w:left="478" w:right="3669"/>
      </w:pPr>
      <w:hyperlink w:history="true" w:anchor="_bookmark12">
        <w:r>
          <w:rPr/>
          <w:t>Figure 2 – Five-minute walking catchment of Arden Station</w:t>
        </w:r>
      </w:hyperlink>
      <w:r>
        <w:rPr>
          <w:spacing w:val="1"/>
        </w:rPr>
        <w:t> </w:t>
      </w:r>
      <w:hyperlink w:history="true" w:anchor="_bookmark14">
        <w:r>
          <w:rPr/>
          <w:t>Figure 3 – Highlights of the draft Arden Structure Plan (2020)</w:t>
        </w:r>
      </w:hyperlink>
      <w:r>
        <w:rPr>
          <w:spacing w:val="-50"/>
        </w:rPr>
        <w:t> </w:t>
      </w:r>
      <w:hyperlink w:history="true" w:anchor="_bookmark18">
        <w:r>
          <w:rPr/>
          <w:t>Figure</w:t>
        </w:r>
        <w:r>
          <w:rPr>
            <w:spacing w:val="-2"/>
          </w:rPr>
          <w:t> </w:t>
        </w:r>
        <w:r>
          <w:rPr/>
          <w:t>4 -</w:t>
        </w:r>
        <w:r>
          <w:rPr>
            <w:spacing w:val="-1"/>
          </w:rPr>
          <w:t> </w:t>
        </w:r>
        <w:r>
          <w:rPr/>
          <w:t>Arden Station</w:t>
        </w:r>
        <w:r>
          <w:rPr>
            <w:spacing w:val="-1"/>
          </w:rPr>
          <w:t> </w:t>
        </w:r>
        <w:r>
          <w:rPr/>
          <w:t>precinct</w:t>
        </w:r>
        <w:r>
          <w:rPr>
            <w:spacing w:val="-2"/>
          </w:rPr>
          <w:t> </w:t>
        </w:r>
        <w:r>
          <w:rPr/>
          <w:t>surface</w:t>
        </w:r>
        <w:r>
          <w:rPr>
            <w:spacing w:val="-1"/>
          </w:rPr>
          <w:t> </w:t>
        </w:r>
        <w:r>
          <w:rPr/>
          <w:t>works</w:t>
        </w:r>
      </w:hyperlink>
    </w:p>
    <w:p>
      <w:pPr>
        <w:pStyle w:val="BodyText"/>
        <w:spacing w:line="372" w:lineRule="auto"/>
        <w:ind w:left="478" w:right="4303"/>
      </w:pPr>
      <w:hyperlink w:history="true" w:anchor="_bookmark28">
        <w:r>
          <w:rPr/>
          <w:t>Figure 5 – Arden precinct flood management strategy</w:t>
        </w:r>
      </w:hyperlink>
      <w:r>
        <w:rPr>
          <w:spacing w:val="-50"/>
        </w:rPr>
        <w:t> </w:t>
      </w:r>
      <w:hyperlink w:history="true" w:anchor="_bookmark31">
        <w:r>
          <w:rPr/>
          <w:t>Figure</w:t>
        </w:r>
        <w:r>
          <w:rPr>
            <w:spacing w:val="-2"/>
          </w:rPr>
          <w:t> </w:t>
        </w:r>
        <w:r>
          <w:rPr/>
          <w:t>6</w:t>
        </w:r>
        <w:r>
          <w:rPr>
            <w:spacing w:val="-1"/>
          </w:rPr>
          <w:t> </w:t>
        </w:r>
        <w:r>
          <w:rPr/>
          <w:t>– Arden</w:t>
        </w:r>
        <w:r>
          <w:rPr>
            <w:spacing w:val="-1"/>
          </w:rPr>
          <w:t> </w:t>
        </w:r>
        <w:r>
          <w:rPr/>
          <w:t>Station</w:t>
        </w:r>
        <w:r>
          <w:rPr>
            <w:spacing w:val="-1"/>
          </w:rPr>
          <w:t> </w:t>
        </w:r>
        <w:r>
          <w:rPr/>
          <w:t>user</w:t>
        </w:r>
        <w:r>
          <w:rPr>
            <w:spacing w:val="-2"/>
          </w:rPr>
          <w:t> </w:t>
        </w:r>
        <w:r>
          <w:rPr/>
          <w:t>experience</w:t>
        </w:r>
        <w:r>
          <w:rPr>
            <w:spacing w:val="-1"/>
          </w:rPr>
          <w:t> </w:t>
        </w:r>
        <w:r>
          <w:rPr/>
          <w:t>design</w:t>
        </w:r>
      </w:hyperlink>
    </w:p>
    <w:p>
      <w:pPr>
        <w:pStyle w:val="BodyText"/>
        <w:spacing w:line="218" w:lineRule="exact"/>
        <w:ind w:left="478"/>
      </w:pPr>
      <w:hyperlink w:history="true" w:anchor="_bookmark33">
        <w:r>
          <w:rPr/>
          <w:t>Figure</w:t>
        </w:r>
        <w:r>
          <w:rPr>
            <w:spacing w:val="-3"/>
          </w:rPr>
          <w:t> </w:t>
        </w:r>
        <w:r>
          <w:rPr/>
          <w:t>7</w:t>
        </w:r>
        <w:r>
          <w:rPr>
            <w:spacing w:val="-1"/>
          </w:rPr>
          <w:t> </w:t>
        </w:r>
        <w:r>
          <w:rPr/>
          <w:t>–</w:t>
        </w:r>
        <w:r>
          <w:rPr>
            <w:spacing w:val="-1"/>
          </w:rPr>
          <w:t> </w:t>
        </w:r>
        <w:r>
          <w:rPr/>
          <w:t>DDA</w:t>
        </w:r>
        <w:r>
          <w:rPr>
            <w:spacing w:val="-1"/>
          </w:rPr>
          <w:t> </w:t>
        </w:r>
        <w:r>
          <w:rPr/>
          <w:t>access</w:t>
        </w:r>
        <w:r>
          <w:rPr>
            <w:spacing w:val="-2"/>
          </w:rPr>
          <w:t> </w:t>
        </w:r>
        <w:r>
          <w:rPr/>
          <w:t>within</w:t>
        </w:r>
        <w:r>
          <w:rPr>
            <w:spacing w:val="-2"/>
          </w:rPr>
          <w:t> </w:t>
        </w:r>
        <w:r>
          <w:rPr/>
          <w:t>the</w:t>
        </w:r>
        <w:r>
          <w:rPr>
            <w:spacing w:val="-1"/>
          </w:rPr>
          <w:t> </w:t>
        </w:r>
        <w:r>
          <w:rPr/>
          <w:t>Arden</w:t>
        </w:r>
        <w:r>
          <w:rPr>
            <w:spacing w:val="-1"/>
          </w:rPr>
          <w:t> </w:t>
        </w:r>
        <w:r>
          <w:rPr/>
          <w:t>Station</w:t>
        </w:r>
        <w:r>
          <w:rPr>
            <w:spacing w:val="-3"/>
          </w:rPr>
          <w:t> </w:t>
        </w:r>
        <w:r>
          <w:rPr/>
          <w:t>precinct</w:t>
        </w:r>
      </w:hyperlink>
    </w:p>
    <w:p>
      <w:pPr>
        <w:pStyle w:val="BodyText"/>
        <w:spacing w:line="372" w:lineRule="auto" w:before="119"/>
        <w:ind w:left="478" w:right="3004"/>
      </w:pPr>
      <w:hyperlink w:history="true" w:anchor="_bookmark35">
        <w:r>
          <w:rPr/>
          <w:t>Figure 8 – Pedestrian movements through the Arden Station precinct</w:t>
        </w:r>
      </w:hyperlink>
      <w:r>
        <w:rPr>
          <w:spacing w:val="-50"/>
        </w:rPr>
        <w:t> </w:t>
      </w:r>
      <w:hyperlink w:history="true" w:anchor="_bookmark37">
        <w:r>
          <w:rPr/>
          <w:t>Figure</w:t>
        </w:r>
        <w:r>
          <w:rPr>
            <w:spacing w:val="-2"/>
          </w:rPr>
          <w:t> </w:t>
        </w:r>
        <w:r>
          <w:rPr/>
          <w:t>9 –</w:t>
        </w:r>
        <w:r>
          <w:rPr>
            <w:spacing w:val="-1"/>
          </w:rPr>
          <w:t> </w:t>
        </w:r>
        <w:r>
          <w:rPr/>
          <w:t>Bicycle</w:t>
        </w:r>
        <w:r>
          <w:rPr>
            <w:spacing w:val="-2"/>
          </w:rPr>
          <w:t> </w:t>
        </w:r>
        <w:r>
          <w:rPr/>
          <w:t>facilities</w:t>
        </w:r>
        <w:r>
          <w:rPr>
            <w:spacing w:val="-2"/>
          </w:rPr>
          <w:t> </w:t>
        </w:r>
        <w:r>
          <w:rPr/>
          <w:t>in</w:t>
        </w:r>
        <w:r>
          <w:rPr>
            <w:spacing w:val="-3"/>
          </w:rPr>
          <w:t> </w:t>
        </w:r>
        <w:r>
          <w:rPr/>
          <w:t>the</w:t>
        </w:r>
        <w:r>
          <w:rPr>
            <w:spacing w:val="-1"/>
          </w:rPr>
          <w:t> </w:t>
        </w:r>
        <w:r>
          <w:rPr/>
          <w:t>Arden Station</w:t>
        </w:r>
        <w:r>
          <w:rPr>
            <w:spacing w:val="-2"/>
          </w:rPr>
          <w:t> </w:t>
        </w:r>
        <w:r>
          <w:rPr/>
          <w:t>precinct</w:t>
        </w:r>
      </w:hyperlink>
    </w:p>
    <w:p>
      <w:pPr>
        <w:pStyle w:val="BodyText"/>
        <w:spacing w:line="372" w:lineRule="auto"/>
        <w:ind w:left="478" w:right="3247"/>
      </w:pPr>
      <w:hyperlink w:history="true" w:anchor="_bookmark38">
        <w:r>
          <w:rPr/>
          <w:t>Figure 10 – Transport integration within the Arden Station precinct</w:t>
        </w:r>
      </w:hyperlink>
      <w:r>
        <w:rPr>
          <w:spacing w:val="-50"/>
        </w:rPr>
        <w:t> </w:t>
      </w:r>
      <w:hyperlink w:history="true" w:anchor="_bookmark39">
        <w:r>
          <w:rPr/>
          <w:t>Figure</w:t>
        </w:r>
        <w:r>
          <w:rPr>
            <w:spacing w:val="-2"/>
          </w:rPr>
          <w:t> </w:t>
        </w:r>
        <w:r>
          <w:rPr/>
          <w:t>11</w:t>
        </w:r>
        <w:r>
          <w:rPr>
            <w:spacing w:val="52"/>
          </w:rPr>
          <w:t> </w:t>
        </w:r>
        <w:r>
          <w:rPr/>
          <w:t>–</w:t>
        </w:r>
        <w:r>
          <w:rPr>
            <w:spacing w:val="-1"/>
          </w:rPr>
          <w:t> </w:t>
        </w:r>
        <w:r>
          <w:rPr/>
          <w:t>Arden’s transport</w:t>
        </w:r>
        <w:r>
          <w:rPr>
            <w:spacing w:val="-2"/>
          </w:rPr>
          <w:t> </w:t>
        </w:r>
        <w:r>
          <w:rPr/>
          <w:t>network 2051</w:t>
        </w:r>
      </w:hyperlink>
    </w:p>
    <w:p>
      <w:pPr>
        <w:pStyle w:val="BodyText"/>
        <w:spacing w:before="4"/>
        <w:rPr>
          <w:sz w:val="29"/>
        </w:rPr>
      </w:pPr>
    </w:p>
    <w:p>
      <w:pPr>
        <w:pStyle w:val="Heading5"/>
      </w:pPr>
      <w:r>
        <w:rPr/>
        <w:t>Tables</w:t>
      </w:r>
    </w:p>
    <w:p>
      <w:pPr>
        <w:spacing w:before="120"/>
        <w:ind w:left="478" w:right="1278" w:firstLine="0"/>
        <w:jc w:val="left"/>
        <w:rPr>
          <w:sz w:val="18"/>
        </w:rPr>
      </w:pPr>
      <w:hyperlink w:history="true" w:anchor="_bookmark2">
        <w:r>
          <w:rPr>
            <w:sz w:val="18"/>
          </w:rPr>
          <w:t>Table 1 – Amendments to Arden Station Precinct Development Plan since Ministerial Approval</w:t>
        </w:r>
      </w:hyperlink>
      <w:r>
        <w:rPr>
          <w:spacing w:val="-47"/>
          <w:sz w:val="18"/>
        </w:rPr>
        <w:t> </w:t>
      </w:r>
      <w:hyperlink w:history="true" w:anchor="_bookmark2">
        <w:r>
          <w:rPr>
            <w:sz w:val="18"/>
          </w:rPr>
          <w:t>(08/03/2018)</w:t>
        </w:r>
      </w:hyperlink>
    </w:p>
    <w:p>
      <w:pPr>
        <w:spacing w:before="121"/>
        <w:ind w:left="478" w:right="0" w:firstLine="0"/>
        <w:jc w:val="left"/>
        <w:rPr>
          <w:sz w:val="18"/>
        </w:rPr>
      </w:pPr>
      <w:hyperlink w:history="true" w:anchor="_bookmark6">
        <w:r>
          <w:rPr>
            <w:sz w:val="18"/>
          </w:rPr>
          <w:t>Table</w:t>
        </w:r>
        <w:r>
          <w:rPr>
            <w:spacing w:val="-4"/>
            <w:sz w:val="18"/>
          </w:rPr>
          <w:t> </w:t>
        </w:r>
        <w:r>
          <w:rPr>
            <w:sz w:val="18"/>
          </w:rPr>
          <w:t>2</w:t>
        </w:r>
        <w:r>
          <w:rPr>
            <w:spacing w:val="-1"/>
            <w:sz w:val="18"/>
          </w:rPr>
          <w:t> </w:t>
        </w:r>
        <w:r>
          <w:rPr>
            <w:sz w:val="18"/>
          </w:rPr>
          <w:t>–</w:t>
        </w:r>
        <w:r>
          <w:rPr>
            <w:spacing w:val="-1"/>
            <w:sz w:val="18"/>
          </w:rPr>
          <w:t> </w:t>
        </w:r>
        <w:r>
          <w:rPr>
            <w:sz w:val="18"/>
          </w:rPr>
          <w:t>Response</w:t>
        </w:r>
        <w:r>
          <w:rPr>
            <w:spacing w:val="-2"/>
            <w:sz w:val="18"/>
          </w:rPr>
          <w:t> </w:t>
        </w:r>
        <w:r>
          <w:rPr>
            <w:sz w:val="18"/>
          </w:rPr>
          <w:t>to</w:t>
        </w:r>
        <w:r>
          <w:rPr>
            <w:spacing w:val="-4"/>
            <w:sz w:val="18"/>
          </w:rPr>
          <w:t> </w:t>
        </w:r>
        <w:r>
          <w:rPr>
            <w:sz w:val="18"/>
          </w:rPr>
          <w:t>conditions</w:t>
        </w:r>
        <w:r>
          <w:rPr>
            <w:spacing w:val="-3"/>
            <w:sz w:val="18"/>
          </w:rPr>
          <w:t> </w:t>
        </w:r>
        <w:r>
          <w:rPr>
            <w:sz w:val="18"/>
          </w:rPr>
          <w:t>of</w:t>
        </w:r>
        <w:r>
          <w:rPr>
            <w:spacing w:val="-2"/>
            <w:sz w:val="18"/>
          </w:rPr>
          <w:t> </w:t>
        </w:r>
        <w:r>
          <w:rPr>
            <w:sz w:val="18"/>
          </w:rPr>
          <w:t>the</w:t>
        </w:r>
        <w:r>
          <w:rPr>
            <w:spacing w:val="-3"/>
            <w:sz w:val="18"/>
          </w:rPr>
          <w:t> </w:t>
        </w:r>
        <w:r>
          <w:rPr>
            <w:sz w:val="18"/>
          </w:rPr>
          <w:t>Incorporated</w:t>
        </w:r>
        <w:r>
          <w:rPr>
            <w:spacing w:val="-2"/>
            <w:sz w:val="18"/>
          </w:rPr>
          <w:t> </w:t>
        </w:r>
        <w:r>
          <w:rPr>
            <w:sz w:val="18"/>
          </w:rPr>
          <w:t>Document</w:t>
        </w:r>
      </w:hyperlink>
    </w:p>
    <w:p>
      <w:pPr>
        <w:spacing w:line="379" w:lineRule="auto" w:before="120"/>
        <w:ind w:left="478" w:right="2478" w:firstLine="0"/>
        <w:jc w:val="left"/>
        <w:rPr>
          <w:sz w:val="18"/>
        </w:rPr>
      </w:pPr>
      <w:hyperlink w:history="true" w:anchor="_bookmark23">
        <w:r>
          <w:rPr>
            <w:sz w:val="18"/>
          </w:rPr>
          <w:t>Table 3 – CYP public realm principles integrated into the Arden Station precinct</w:t>
        </w:r>
      </w:hyperlink>
      <w:r>
        <w:rPr>
          <w:spacing w:val="-47"/>
          <w:sz w:val="18"/>
        </w:rPr>
        <w:t> </w:t>
      </w:r>
      <w:hyperlink w:history="true" w:anchor="_bookmark46">
        <w:r>
          <w:rPr>
            <w:sz w:val="18"/>
          </w:rPr>
          <w:t>Table</w:t>
        </w:r>
        <w:r>
          <w:rPr>
            <w:spacing w:val="-3"/>
            <w:sz w:val="18"/>
          </w:rPr>
          <w:t> </w:t>
        </w:r>
        <w:r>
          <w:rPr>
            <w:sz w:val="18"/>
          </w:rPr>
          <w:t>4 – Summary of RPV’s</w:t>
        </w:r>
        <w:r>
          <w:rPr>
            <w:spacing w:val="-2"/>
            <w:sz w:val="18"/>
          </w:rPr>
          <w:t> </w:t>
        </w:r>
        <w:r>
          <w:rPr>
            <w:sz w:val="18"/>
          </w:rPr>
          <w:t>Environmental</w:t>
        </w:r>
        <w:r>
          <w:rPr>
            <w:spacing w:val="-1"/>
            <w:sz w:val="18"/>
          </w:rPr>
          <w:t> </w:t>
        </w:r>
        <w:r>
          <w:rPr>
            <w:sz w:val="18"/>
          </w:rPr>
          <w:t>Management</w:t>
        </w:r>
        <w:r>
          <w:rPr>
            <w:spacing w:val="-1"/>
            <w:sz w:val="18"/>
          </w:rPr>
          <w:t> </w:t>
        </w:r>
        <w:r>
          <w:rPr>
            <w:sz w:val="18"/>
          </w:rPr>
          <w:t>Framework</w:t>
        </w:r>
      </w:hyperlink>
    </w:p>
    <w:p>
      <w:pPr>
        <w:spacing w:line="379" w:lineRule="auto" w:before="1"/>
        <w:ind w:left="478" w:right="2738" w:firstLine="0"/>
        <w:jc w:val="left"/>
        <w:rPr>
          <w:sz w:val="18"/>
        </w:rPr>
      </w:pPr>
      <w:hyperlink w:history="true" w:anchor="_bookmark48">
        <w:r>
          <w:rPr>
            <w:sz w:val="18"/>
          </w:rPr>
          <w:t>Table 5 – Design response to relevant aquatic ecology and river health EPR</w:t>
        </w:r>
      </w:hyperlink>
      <w:r>
        <w:rPr>
          <w:spacing w:val="-47"/>
          <w:sz w:val="18"/>
        </w:rPr>
        <w:t> </w:t>
      </w:r>
      <w:hyperlink w:history="true" w:anchor="_bookmark50">
        <w:r>
          <w:rPr>
            <w:sz w:val="18"/>
          </w:rPr>
          <w:t>Table</w:t>
        </w:r>
        <w:r>
          <w:rPr>
            <w:spacing w:val="-2"/>
            <w:sz w:val="18"/>
          </w:rPr>
          <w:t> </w:t>
        </w:r>
        <w:r>
          <w:rPr>
            <w:sz w:val="18"/>
          </w:rPr>
          <w:t>6</w:t>
        </w:r>
        <w:r>
          <w:rPr>
            <w:spacing w:val="1"/>
            <w:sz w:val="18"/>
          </w:rPr>
          <w:t> </w:t>
        </w:r>
        <w:r>
          <w:rPr>
            <w:sz w:val="18"/>
          </w:rPr>
          <w:t>– Design response</w:t>
        </w:r>
        <w:r>
          <w:rPr>
            <w:spacing w:val="-1"/>
            <w:sz w:val="18"/>
          </w:rPr>
          <w:t> </w:t>
        </w:r>
        <w:r>
          <w:rPr>
            <w:sz w:val="18"/>
          </w:rPr>
          <w:t>to</w:t>
        </w:r>
        <w:r>
          <w:rPr>
            <w:spacing w:val="-2"/>
            <w:sz w:val="18"/>
          </w:rPr>
          <w:t> </w:t>
        </w:r>
        <w:r>
          <w:rPr>
            <w:sz w:val="18"/>
          </w:rPr>
          <w:t>relevant</w:t>
        </w:r>
        <w:r>
          <w:rPr>
            <w:spacing w:val="-2"/>
            <w:sz w:val="18"/>
          </w:rPr>
          <w:t> </w:t>
        </w:r>
        <w:r>
          <w:rPr>
            <w:sz w:val="18"/>
          </w:rPr>
          <w:t>arboriculture</w:t>
        </w:r>
        <w:r>
          <w:rPr>
            <w:spacing w:val="-3"/>
            <w:sz w:val="18"/>
          </w:rPr>
          <w:t> </w:t>
        </w:r>
        <w:r>
          <w:rPr>
            <w:sz w:val="18"/>
          </w:rPr>
          <w:t>EPRs</w:t>
        </w:r>
      </w:hyperlink>
    </w:p>
    <w:p>
      <w:pPr>
        <w:spacing w:line="379" w:lineRule="auto" w:before="0"/>
        <w:ind w:left="478" w:right="3164" w:firstLine="0"/>
        <w:jc w:val="left"/>
        <w:rPr>
          <w:sz w:val="18"/>
        </w:rPr>
      </w:pPr>
      <w:hyperlink w:history="true" w:anchor="_bookmark52">
        <w:r>
          <w:rPr>
            <w:sz w:val="18"/>
          </w:rPr>
          <w:t>Table 7 – Design response to relevant historical cultural heritage EPRs</w:t>
        </w:r>
      </w:hyperlink>
      <w:r>
        <w:rPr>
          <w:spacing w:val="-47"/>
          <w:sz w:val="18"/>
        </w:rPr>
        <w:t> </w:t>
      </w:r>
      <w:hyperlink w:history="true" w:anchor="_bookmark54">
        <w:r>
          <w:rPr>
            <w:sz w:val="18"/>
          </w:rPr>
          <w:t>Table 8 – Design response to relevant land use and planning EPRs</w:t>
        </w:r>
      </w:hyperlink>
      <w:r>
        <w:rPr>
          <w:spacing w:val="1"/>
          <w:sz w:val="18"/>
        </w:rPr>
        <w:t> </w:t>
      </w:r>
      <w:hyperlink w:history="true" w:anchor="_bookmark56">
        <w:r>
          <w:rPr>
            <w:sz w:val="18"/>
          </w:rPr>
          <w:t>Table 9</w:t>
        </w:r>
        <w:r>
          <w:rPr>
            <w:spacing w:val="2"/>
            <w:sz w:val="18"/>
          </w:rPr>
          <w:t> </w:t>
        </w:r>
        <w:r>
          <w:rPr>
            <w:sz w:val="18"/>
          </w:rPr>
          <w:t>–</w:t>
        </w:r>
        <w:r>
          <w:rPr>
            <w:spacing w:val="3"/>
            <w:sz w:val="18"/>
          </w:rPr>
          <w:t> </w:t>
        </w:r>
        <w:r>
          <w:rPr>
            <w:sz w:val="18"/>
          </w:rPr>
          <w:t>Design</w:t>
        </w:r>
        <w:r>
          <w:rPr>
            <w:spacing w:val="1"/>
            <w:sz w:val="18"/>
          </w:rPr>
          <w:t> </w:t>
        </w:r>
        <w:r>
          <w:rPr>
            <w:sz w:val="18"/>
          </w:rPr>
          <w:t>response</w:t>
        </w:r>
        <w:r>
          <w:rPr>
            <w:spacing w:val="1"/>
            <w:sz w:val="18"/>
          </w:rPr>
          <w:t> </w:t>
        </w:r>
        <w:r>
          <w:rPr>
            <w:sz w:val="18"/>
          </w:rPr>
          <w:t>to relevant</w:t>
        </w:r>
        <w:r>
          <w:rPr>
            <w:spacing w:val="-1"/>
            <w:sz w:val="18"/>
          </w:rPr>
          <w:t> </w:t>
        </w:r>
        <w:r>
          <w:rPr>
            <w:sz w:val="18"/>
          </w:rPr>
          <w:t>landscape</w:t>
        </w:r>
        <w:r>
          <w:rPr>
            <w:spacing w:val="-1"/>
            <w:sz w:val="18"/>
          </w:rPr>
          <w:t> </w:t>
        </w:r>
        <w:r>
          <w:rPr>
            <w:sz w:val="18"/>
          </w:rPr>
          <w:t>and visual</w:t>
        </w:r>
        <w:r>
          <w:rPr>
            <w:spacing w:val="-1"/>
            <w:sz w:val="18"/>
          </w:rPr>
          <w:t> </w:t>
        </w:r>
        <w:r>
          <w:rPr>
            <w:sz w:val="18"/>
          </w:rPr>
          <w:t>EPR</w:t>
        </w:r>
      </w:hyperlink>
      <w:r>
        <w:rPr>
          <w:spacing w:val="1"/>
          <w:sz w:val="18"/>
        </w:rPr>
        <w:t> </w:t>
      </w:r>
      <w:hyperlink w:history="true" w:anchor="_bookmark58">
        <w:r>
          <w:rPr>
            <w:sz w:val="18"/>
          </w:rPr>
          <w:t>Table 10 – Design response to relevant social and community EPR</w:t>
        </w:r>
      </w:hyperlink>
      <w:r>
        <w:rPr>
          <w:spacing w:val="1"/>
          <w:sz w:val="18"/>
        </w:rPr>
        <w:t> </w:t>
      </w:r>
      <w:hyperlink w:history="true" w:anchor="_bookmark60">
        <w:r>
          <w:rPr>
            <w:sz w:val="18"/>
          </w:rPr>
          <w:t>Table</w:t>
        </w:r>
        <w:r>
          <w:rPr>
            <w:spacing w:val="-2"/>
            <w:sz w:val="18"/>
          </w:rPr>
          <w:t> </w:t>
        </w:r>
        <w:r>
          <w:rPr>
            <w:sz w:val="18"/>
          </w:rPr>
          <w:t>11</w:t>
        </w:r>
        <w:r>
          <w:rPr>
            <w:spacing w:val="-2"/>
            <w:sz w:val="18"/>
          </w:rPr>
          <w:t> </w:t>
        </w:r>
        <w:r>
          <w:rPr>
            <w:sz w:val="18"/>
          </w:rPr>
          <w:t>– Design response to</w:t>
        </w:r>
        <w:r>
          <w:rPr>
            <w:spacing w:val="-3"/>
            <w:sz w:val="18"/>
          </w:rPr>
          <w:t> </w:t>
        </w:r>
        <w:r>
          <w:rPr>
            <w:sz w:val="18"/>
          </w:rPr>
          <w:t>relevant</w:t>
        </w:r>
        <w:r>
          <w:rPr>
            <w:spacing w:val="-2"/>
            <w:sz w:val="18"/>
          </w:rPr>
          <w:t> </w:t>
        </w:r>
        <w:r>
          <w:rPr>
            <w:sz w:val="18"/>
          </w:rPr>
          <w:t>surface water</w:t>
        </w:r>
        <w:r>
          <w:rPr>
            <w:spacing w:val="-1"/>
            <w:sz w:val="18"/>
          </w:rPr>
          <w:t> </w:t>
        </w:r>
        <w:r>
          <w:rPr>
            <w:sz w:val="18"/>
          </w:rPr>
          <w:t>EPRs</w:t>
        </w:r>
      </w:hyperlink>
    </w:p>
    <w:p>
      <w:pPr>
        <w:spacing w:line="206" w:lineRule="exact" w:before="0"/>
        <w:ind w:left="478" w:right="0" w:firstLine="0"/>
        <w:jc w:val="left"/>
        <w:rPr>
          <w:sz w:val="18"/>
        </w:rPr>
      </w:pPr>
      <w:hyperlink w:history="true" w:anchor="_bookmark62">
        <w:r>
          <w:rPr>
            <w:sz w:val="18"/>
          </w:rPr>
          <w:t>Table</w:t>
        </w:r>
        <w:r>
          <w:rPr>
            <w:spacing w:val="-2"/>
            <w:sz w:val="18"/>
          </w:rPr>
          <w:t> </w:t>
        </w:r>
        <w:r>
          <w:rPr>
            <w:sz w:val="18"/>
          </w:rPr>
          <w:t>12</w:t>
        </w:r>
        <w:r>
          <w:rPr>
            <w:spacing w:val="-2"/>
            <w:sz w:val="18"/>
          </w:rPr>
          <w:t> </w:t>
        </w:r>
        <w:r>
          <w:rPr>
            <w:sz w:val="18"/>
          </w:rPr>
          <w:t>– Design response</w:t>
        </w:r>
        <w:r>
          <w:rPr>
            <w:spacing w:val="-1"/>
            <w:sz w:val="18"/>
          </w:rPr>
          <w:t> </w:t>
        </w:r>
        <w:r>
          <w:rPr>
            <w:sz w:val="18"/>
          </w:rPr>
          <w:t>to</w:t>
        </w:r>
        <w:r>
          <w:rPr>
            <w:spacing w:val="-2"/>
            <w:sz w:val="18"/>
          </w:rPr>
          <w:t> </w:t>
        </w:r>
        <w:r>
          <w:rPr>
            <w:sz w:val="18"/>
          </w:rPr>
          <w:t>relevant</w:t>
        </w:r>
        <w:r>
          <w:rPr>
            <w:spacing w:val="-3"/>
            <w:sz w:val="18"/>
          </w:rPr>
          <w:t> </w:t>
        </w:r>
        <w:r>
          <w:rPr>
            <w:sz w:val="18"/>
          </w:rPr>
          <w:t>transport</w:t>
        </w:r>
        <w:r>
          <w:rPr>
            <w:spacing w:val="-2"/>
            <w:sz w:val="18"/>
          </w:rPr>
          <w:t> </w:t>
        </w:r>
        <w:r>
          <w:rPr>
            <w:sz w:val="18"/>
          </w:rPr>
          <w:t>EPRs</w:t>
        </w:r>
      </w:hyperlink>
    </w:p>
    <w:p>
      <w:pPr>
        <w:spacing w:after="0" w:line="206" w:lineRule="exact"/>
        <w:jc w:val="left"/>
        <w:rPr>
          <w:sz w:val="18"/>
        </w:rPr>
        <w:sectPr>
          <w:type w:val="continuous"/>
          <w:pgSz w:w="11910" w:h="16840"/>
          <w:pgMar w:header="936" w:footer="365" w:top="1900" w:bottom="640" w:left="94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Heading1"/>
      </w:pPr>
      <w:bookmarkStart w:name="_bookmark1" w:id="41"/>
      <w:bookmarkEnd w:id="41"/>
      <w:r>
        <w:rPr/>
      </w:r>
      <w:r>
        <w:rPr>
          <w:color w:val="00BBE9"/>
        </w:rPr>
        <w:t>EXECUTIVE</w:t>
      </w:r>
      <w:r>
        <w:rPr>
          <w:color w:val="00BBE9"/>
          <w:spacing w:val="2"/>
        </w:rPr>
        <w:t> </w:t>
      </w:r>
      <w:r>
        <w:rPr>
          <w:color w:val="00BBE9"/>
        </w:rPr>
        <w:t>SUMMARY</w:t>
      </w:r>
    </w:p>
    <w:p>
      <w:pPr>
        <w:pStyle w:val="BodyText"/>
        <w:spacing w:before="197"/>
        <w:ind w:left="478" w:right="289"/>
      </w:pPr>
      <w:r>
        <w:rPr/>
        <w:t>Cross</w:t>
      </w:r>
      <w:r>
        <w:rPr>
          <w:spacing w:val="10"/>
        </w:rPr>
        <w:t> </w:t>
      </w:r>
      <w:r>
        <w:rPr/>
        <w:t>Yarra</w:t>
      </w:r>
      <w:r>
        <w:rPr>
          <w:spacing w:val="10"/>
        </w:rPr>
        <w:t> </w:t>
      </w:r>
      <w:r>
        <w:rPr/>
        <w:t>Partnership</w:t>
      </w:r>
      <w:r>
        <w:rPr>
          <w:spacing w:val="10"/>
        </w:rPr>
        <w:t> </w:t>
      </w:r>
      <w:r>
        <w:rPr/>
        <w:t>(CYP)</w:t>
      </w:r>
      <w:r>
        <w:rPr>
          <w:spacing w:val="9"/>
        </w:rPr>
        <w:t> </w:t>
      </w:r>
      <w:r>
        <w:rPr/>
        <w:t>has</w:t>
      </w:r>
      <w:r>
        <w:rPr>
          <w:spacing w:val="11"/>
        </w:rPr>
        <w:t> </w:t>
      </w:r>
      <w:r>
        <w:rPr/>
        <w:t>been</w:t>
      </w:r>
      <w:r>
        <w:rPr>
          <w:spacing w:val="10"/>
        </w:rPr>
        <w:t> </w:t>
      </w:r>
      <w:r>
        <w:rPr/>
        <w:t>contracted</w:t>
      </w:r>
      <w:r>
        <w:rPr>
          <w:spacing w:val="10"/>
        </w:rPr>
        <w:t> </w:t>
      </w:r>
      <w:r>
        <w:rPr/>
        <w:t>by</w:t>
      </w:r>
      <w:r>
        <w:rPr>
          <w:spacing w:val="12"/>
        </w:rPr>
        <w:t> </w:t>
      </w:r>
      <w:r>
        <w:rPr/>
        <w:t>Rail</w:t>
      </w:r>
      <w:r>
        <w:rPr>
          <w:spacing w:val="10"/>
        </w:rPr>
        <w:t> </w:t>
      </w:r>
      <w:r>
        <w:rPr/>
        <w:t>Projects</w:t>
      </w:r>
      <w:r>
        <w:rPr>
          <w:spacing w:val="10"/>
        </w:rPr>
        <w:t> </w:t>
      </w:r>
      <w:r>
        <w:rPr/>
        <w:t>Victoria</w:t>
      </w:r>
      <w:r>
        <w:rPr>
          <w:spacing w:val="10"/>
        </w:rPr>
        <w:t> </w:t>
      </w:r>
      <w:r>
        <w:rPr/>
        <w:t>(RPV)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design,</w:t>
      </w:r>
      <w:r>
        <w:rPr>
          <w:spacing w:val="10"/>
        </w:rPr>
        <w:t> </w:t>
      </w:r>
      <w:r>
        <w:rPr/>
        <w:t>build</w:t>
      </w:r>
      <w:r>
        <w:rPr>
          <w:spacing w:val="-50"/>
        </w:rPr>
        <w:t> </w:t>
      </w:r>
      <w:r>
        <w:rPr/>
        <w:t>and</w:t>
      </w:r>
      <w:r>
        <w:rPr>
          <w:spacing w:val="-3"/>
        </w:rPr>
        <w:t> </w:t>
      </w:r>
      <w:r>
        <w:rPr/>
        <w:t>maintain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stations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tunnels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the Metro</w:t>
      </w:r>
      <w:r>
        <w:rPr>
          <w:spacing w:val="-2"/>
        </w:rPr>
        <w:t> </w:t>
      </w:r>
      <w:r>
        <w:rPr/>
        <w:t>Tunnel</w:t>
      </w:r>
      <w:r>
        <w:rPr>
          <w:spacing w:val="-2"/>
        </w:rPr>
        <w:t> </w:t>
      </w:r>
      <w:r>
        <w:rPr/>
        <w:t>Project</w:t>
      </w:r>
      <w:r>
        <w:rPr>
          <w:spacing w:val="-4"/>
        </w:rPr>
        <w:t> </w:t>
      </w:r>
      <w:r>
        <w:rPr/>
        <w:t>(the</w:t>
      </w:r>
      <w:r>
        <w:rPr>
          <w:spacing w:val="-2"/>
        </w:rPr>
        <w:t> </w:t>
      </w:r>
      <w:r>
        <w:rPr/>
        <w:t>Project).</w:t>
      </w:r>
      <w:r>
        <w:rPr>
          <w:spacing w:val="-4"/>
        </w:rPr>
        <w:t> </w:t>
      </w:r>
      <w:r>
        <w:rPr/>
        <w:t>The</w:t>
      </w:r>
      <w:r>
        <w:rPr>
          <w:spacing w:val="2"/>
        </w:rPr>
        <w:t> </w:t>
      </w:r>
      <w:r>
        <w:rPr/>
        <w:t>Project</w:t>
      </w:r>
      <w:r>
        <w:rPr>
          <w:spacing w:val="-4"/>
        </w:rPr>
        <w:t> </w:t>
      </w:r>
      <w:r>
        <w:rPr/>
        <w:t>includes: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20" w:after="0"/>
        <w:ind w:left="762" w:right="971" w:hanging="284"/>
        <w:jc w:val="left"/>
        <w:rPr>
          <w:sz w:val="19"/>
        </w:rPr>
      </w:pPr>
      <w:r>
        <w:rPr>
          <w:sz w:val="19"/>
        </w:rPr>
        <w:t>Twin nine-kilometre rail tunnels from the west of the city to the south-east as part of a new</w:t>
      </w:r>
      <w:r>
        <w:rPr>
          <w:spacing w:val="-50"/>
          <w:sz w:val="19"/>
        </w:rPr>
        <w:t> </w:t>
      </w:r>
      <w:r>
        <w:rPr>
          <w:sz w:val="19"/>
        </w:rPr>
        <w:t>Sunbury</w:t>
      </w:r>
      <w:r>
        <w:rPr>
          <w:spacing w:val="-1"/>
          <w:sz w:val="19"/>
        </w:rPr>
        <w:t> </w:t>
      </w:r>
      <w:r>
        <w:rPr>
          <w:sz w:val="19"/>
        </w:rPr>
        <w:t>to</w:t>
      </w:r>
      <w:r>
        <w:rPr>
          <w:spacing w:val="-1"/>
          <w:sz w:val="19"/>
        </w:rPr>
        <w:t> </w:t>
      </w:r>
      <w:r>
        <w:rPr>
          <w:sz w:val="19"/>
        </w:rPr>
        <w:t>Cranbourne/Pakenham</w:t>
      </w:r>
      <w:r>
        <w:rPr>
          <w:spacing w:val="-1"/>
          <w:sz w:val="19"/>
        </w:rPr>
        <w:t> </w:t>
      </w:r>
      <w:r>
        <w:rPr>
          <w:sz w:val="19"/>
        </w:rPr>
        <w:t>line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19" w:after="0"/>
        <w:ind w:left="762" w:right="305" w:hanging="284"/>
        <w:jc w:val="left"/>
        <w:rPr>
          <w:sz w:val="19"/>
        </w:rPr>
      </w:pPr>
      <w:r>
        <w:rPr>
          <w:sz w:val="19"/>
        </w:rPr>
        <w:t>Five new underground stations: Arden Station, Parkville Station (under Grattan Street), State</w:t>
      </w:r>
      <w:r>
        <w:rPr>
          <w:spacing w:val="1"/>
          <w:sz w:val="19"/>
        </w:rPr>
        <w:t> </w:t>
      </w:r>
      <w:r>
        <w:rPr>
          <w:sz w:val="19"/>
        </w:rPr>
        <w:t>Library Station (at the northern end of Swanston Street), Town Hall Station (at the southern extent</w:t>
      </w:r>
      <w:r>
        <w:rPr>
          <w:spacing w:val="-50"/>
          <w:sz w:val="19"/>
        </w:rPr>
        <w:t> </w:t>
      </w:r>
      <w:r>
        <w:rPr>
          <w:sz w:val="19"/>
        </w:rPr>
        <w:t>of</w:t>
      </w:r>
      <w:r>
        <w:rPr>
          <w:spacing w:val="-2"/>
          <w:sz w:val="19"/>
        </w:rPr>
        <w:t> </w:t>
      </w:r>
      <w:r>
        <w:rPr>
          <w:sz w:val="19"/>
        </w:rPr>
        <w:t>Swanston</w:t>
      </w:r>
      <w:r>
        <w:rPr>
          <w:spacing w:val="-1"/>
          <w:sz w:val="19"/>
        </w:rPr>
        <w:t> </w:t>
      </w:r>
      <w:r>
        <w:rPr>
          <w:sz w:val="19"/>
        </w:rPr>
        <w:t>Street)</w:t>
      </w:r>
      <w:r>
        <w:rPr>
          <w:spacing w:val="-2"/>
          <w:sz w:val="19"/>
        </w:rPr>
        <w:t> </w:t>
      </w:r>
      <w:r>
        <w:rPr>
          <w:sz w:val="19"/>
        </w:rPr>
        <w:t>and</w:t>
      </w:r>
      <w:r>
        <w:rPr>
          <w:spacing w:val="-1"/>
          <w:sz w:val="19"/>
        </w:rPr>
        <w:t> </w:t>
      </w:r>
      <w:r>
        <w:rPr>
          <w:sz w:val="19"/>
        </w:rPr>
        <w:t>Anzac</w:t>
      </w:r>
      <w:r>
        <w:rPr>
          <w:spacing w:val="2"/>
          <w:sz w:val="19"/>
        </w:rPr>
        <w:t> </w:t>
      </w:r>
      <w:r>
        <w:rPr>
          <w:sz w:val="19"/>
        </w:rPr>
        <w:t>Station</w:t>
      </w:r>
      <w:r>
        <w:rPr>
          <w:spacing w:val="-1"/>
          <w:sz w:val="19"/>
        </w:rPr>
        <w:t> </w:t>
      </w:r>
      <w:r>
        <w:rPr>
          <w:sz w:val="19"/>
        </w:rPr>
        <w:t>(under</w:t>
      </w:r>
      <w:r>
        <w:rPr>
          <w:spacing w:val="-1"/>
          <w:sz w:val="19"/>
        </w:rPr>
        <w:t> </w:t>
      </w:r>
      <w:r>
        <w:rPr>
          <w:sz w:val="19"/>
        </w:rPr>
        <w:t>Domain</w:t>
      </w:r>
      <w:r>
        <w:rPr>
          <w:spacing w:val="-1"/>
          <w:sz w:val="19"/>
        </w:rPr>
        <w:t> </w:t>
      </w:r>
      <w:r>
        <w:rPr>
          <w:sz w:val="19"/>
        </w:rPr>
        <w:t>Interchange</w:t>
      </w:r>
      <w:r>
        <w:rPr>
          <w:spacing w:val="-2"/>
          <w:sz w:val="19"/>
        </w:rPr>
        <w:t> </w:t>
      </w:r>
      <w:r>
        <w:rPr>
          <w:sz w:val="19"/>
        </w:rPr>
        <w:t>on St</w:t>
      </w:r>
      <w:r>
        <w:rPr>
          <w:spacing w:val="-1"/>
          <w:sz w:val="19"/>
        </w:rPr>
        <w:t> </w:t>
      </w:r>
      <w:r>
        <w:rPr>
          <w:sz w:val="19"/>
        </w:rPr>
        <w:t>Kilda</w:t>
      </w:r>
      <w:r>
        <w:rPr>
          <w:spacing w:val="-2"/>
          <w:sz w:val="19"/>
        </w:rPr>
        <w:t> </w:t>
      </w:r>
      <w:r>
        <w:rPr>
          <w:sz w:val="19"/>
        </w:rPr>
        <w:t>Road)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19" w:after="0"/>
        <w:ind w:left="762" w:right="442" w:hanging="284"/>
        <w:jc w:val="left"/>
        <w:rPr>
          <w:sz w:val="19"/>
        </w:rPr>
      </w:pPr>
      <w:r>
        <w:rPr>
          <w:sz w:val="19"/>
        </w:rPr>
        <w:t>A new Intake Substation at Arden and the two tunnel portals at South Yarra (Eastern Portal) and</w:t>
      </w:r>
      <w:r>
        <w:rPr>
          <w:spacing w:val="-50"/>
          <w:sz w:val="19"/>
        </w:rPr>
        <w:t> </w:t>
      </w:r>
      <w:r>
        <w:rPr>
          <w:sz w:val="19"/>
        </w:rPr>
        <w:t>South</w:t>
      </w:r>
      <w:r>
        <w:rPr>
          <w:spacing w:val="-1"/>
          <w:sz w:val="19"/>
        </w:rPr>
        <w:t> </w:t>
      </w:r>
      <w:r>
        <w:rPr>
          <w:sz w:val="19"/>
        </w:rPr>
        <w:t>Kensington</w:t>
      </w:r>
      <w:r>
        <w:rPr>
          <w:spacing w:val="-1"/>
          <w:sz w:val="19"/>
        </w:rPr>
        <w:t> </w:t>
      </w:r>
      <w:r>
        <w:rPr>
          <w:sz w:val="19"/>
        </w:rPr>
        <w:t>(Western</w:t>
      </w:r>
      <w:r>
        <w:rPr>
          <w:spacing w:val="-3"/>
          <w:sz w:val="19"/>
        </w:rPr>
        <w:t> </w:t>
      </w:r>
      <w:r>
        <w:rPr>
          <w:sz w:val="19"/>
        </w:rPr>
        <w:t>Portal).</w:t>
      </w:r>
    </w:p>
    <w:p>
      <w:pPr>
        <w:pStyle w:val="BodyText"/>
        <w:spacing w:before="118"/>
        <w:ind w:left="478" w:right="341"/>
      </w:pPr>
      <w:r>
        <w:rPr/>
        <w:t>Arden is to become a new destination and community of Melbourne – a place to work, live and visit –</w:t>
      </w:r>
      <w:r>
        <w:rPr>
          <w:spacing w:val="-50"/>
        </w:rPr>
        <w:t> </w:t>
      </w:r>
      <w:r>
        <w:rPr/>
        <w:t>with a</w:t>
      </w:r>
      <w:r>
        <w:rPr>
          <w:spacing w:val="1"/>
        </w:rPr>
        <w:t> </w:t>
      </w:r>
      <w:r>
        <w:rPr/>
        <w:t>character</w:t>
      </w:r>
      <w:r>
        <w:rPr>
          <w:spacing w:val="1"/>
        </w:rPr>
        <w:t> </w:t>
      </w:r>
      <w:r>
        <w:rPr/>
        <w:t>that is</w:t>
      </w:r>
      <w:r>
        <w:rPr>
          <w:spacing w:val="1"/>
        </w:rPr>
        <w:t> </w:t>
      </w:r>
      <w:r>
        <w:rPr/>
        <w:t>modern,</w:t>
      </w:r>
      <w:r>
        <w:rPr>
          <w:spacing w:val="1"/>
        </w:rPr>
        <w:t> </w:t>
      </w:r>
      <w:r>
        <w:rPr/>
        <w:t>industrial, youthful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gritty. Arden</w:t>
      </w:r>
      <w:r>
        <w:rPr>
          <w:spacing w:val="1"/>
        </w:rPr>
        <w:t> </w:t>
      </w:r>
      <w:r>
        <w:rPr/>
        <w:t>Station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catalyst for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urban</w:t>
      </w:r>
      <w:r>
        <w:rPr>
          <w:spacing w:val="-1"/>
        </w:rPr>
        <w:t> </w:t>
      </w:r>
      <w:r>
        <w:rPr/>
        <w:t>renewal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precinct,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heart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its economic,</w:t>
      </w:r>
      <w:r>
        <w:rPr>
          <w:spacing w:val="-2"/>
        </w:rPr>
        <w:t> </w:t>
      </w:r>
      <w:r>
        <w:rPr/>
        <w:t>social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civic</w:t>
      </w:r>
      <w:r>
        <w:rPr>
          <w:spacing w:val="-1"/>
        </w:rPr>
        <w:t> </w:t>
      </w:r>
      <w:r>
        <w:rPr/>
        <w:t>intensity.</w:t>
      </w:r>
    </w:p>
    <w:p>
      <w:pPr>
        <w:pStyle w:val="BodyText"/>
        <w:spacing w:line="242" w:lineRule="auto" w:before="120"/>
        <w:ind w:left="478" w:right="754"/>
      </w:pPr>
      <w:r>
        <w:rPr/>
        <w:t>In response, CYP has designed the Arden Station precinct as an integrated public building and</w:t>
      </w:r>
      <w:r>
        <w:rPr>
          <w:spacing w:val="1"/>
        </w:rPr>
        <w:t> </w:t>
      </w:r>
      <w:r>
        <w:rPr/>
        <w:t>landmark that connects seamlessly with the objectives and strategies outlined in the draft Arden</w:t>
      </w:r>
      <w:r>
        <w:rPr>
          <w:spacing w:val="-50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(2020) for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proposed</w:t>
      </w:r>
      <w:r>
        <w:rPr>
          <w:spacing w:val="-1"/>
        </w:rPr>
        <w:t> </w:t>
      </w:r>
      <w:r>
        <w:rPr/>
        <w:t>future</w:t>
      </w:r>
      <w:r>
        <w:rPr>
          <w:spacing w:val="-1"/>
        </w:rPr>
        <w:t> </w:t>
      </w:r>
      <w:r>
        <w:rPr/>
        <w:t>Arden</w:t>
      </w:r>
      <w:r>
        <w:rPr>
          <w:spacing w:val="-1"/>
        </w:rPr>
        <w:t> </w:t>
      </w:r>
      <w:r>
        <w:rPr/>
        <w:t>Urban</w:t>
      </w:r>
      <w:r>
        <w:rPr>
          <w:spacing w:val="-2"/>
        </w:rPr>
        <w:t> </w:t>
      </w:r>
      <w:r>
        <w:rPr/>
        <w:t>Renewal Precinct.</w:t>
      </w:r>
    </w:p>
    <w:p>
      <w:pPr>
        <w:pStyle w:val="BodyText"/>
        <w:spacing w:before="115"/>
        <w:ind w:left="478" w:right="289"/>
      </w:pPr>
      <w:r>
        <w:rPr/>
        <w:t>The Arden Station precinct public realm design will create new spaces for transit users and the</w:t>
      </w:r>
      <w:r>
        <w:rPr>
          <w:spacing w:val="1"/>
        </w:rPr>
        <w:t> </w:t>
      </w:r>
      <w:r>
        <w:rPr/>
        <w:t>community to interact with and enjoy. A station plaza on Laurens Street provides a meeting place at</w:t>
      </w:r>
      <w:r>
        <w:rPr>
          <w:spacing w:val="1"/>
        </w:rPr>
        <w:t> </w:t>
      </w:r>
      <w:r>
        <w:rPr/>
        <w:t>the station entry set back from the street, while a new green laneway servicing the rear of the station</w:t>
      </w:r>
      <w:r>
        <w:rPr>
          <w:spacing w:val="1"/>
        </w:rPr>
        <w:t> </w:t>
      </w:r>
      <w:r>
        <w:rPr/>
        <w:t>building provides an inviting green space, set amongst trees, encouraging visitors to enjoy the</w:t>
      </w:r>
      <w:r>
        <w:rPr>
          <w:spacing w:val="1"/>
        </w:rPr>
        <w:t> </w:t>
      </w:r>
      <w:r>
        <w:rPr/>
        <w:t>surrounds. Project works will change the streetscape of Laurens Street, encouraging ongoing urban</w:t>
      </w:r>
      <w:r>
        <w:rPr>
          <w:spacing w:val="1"/>
        </w:rPr>
        <w:t> </w:t>
      </w:r>
      <w:r>
        <w:rPr/>
        <w:t>renewal in an area currently heavily dominated by industrial uses. Works along Barwise Street will</w:t>
      </w:r>
      <w:r>
        <w:rPr>
          <w:spacing w:val="1"/>
        </w:rPr>
        <w:t> </w:t>
      </w:r>
      <w:r>
        <w:rPr/>
        <w:t>reinvigorate an underused space and the design will reinstate a greener more sustainable precinct as</w:t>
      </w:r>
      <w:r>
        <w:rPr>
          <w:spacing w:val="-50"/>
        </w:rPr>
        <w:t> </w:t>
      </w:r>
      <w:r>
        <w:rPr/>
        <w:t>a</w:t>
      </w:r>
      <w:r>
        <w:rPr>
          <w:spacing w:val="-2"/>
        </w:rPr>
        <w:t> </w:t>
      </w:r>
      <w:r>
        <w:rPr/>
        <w:t>legacy for</w:t>
      </w:r>
      <w:r>
        <w:rPr>
          <w:spacing w:val="-1"/>
        </w:rPr>
        <w:t> </w:t>
      </w:r>
      <w:r>
        <w:rPr/>
        <w:t>future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opportunities.</w:t>
      </w:r>
    </w:p>
    <w:p>
      <w:pPr>
        <w:pStyle w:val="BodyText"/>
        <w:spacing w:before="120"/>
        <w:ind w:left="478" w:right="289"/>
      </w:pPr>
      <w:r>
        <w:rPr/>
        <w:t>This Arden Station Precinct Development Plan presents the scope and extent of the built form of</w:t>
      </w:r>
      <w:r>
        <w:rPr>
          <w:spacing w:val="1"/>
        </w:rPr>
        <w:t> </w:t>
      </w:r>
      <w:r>
        <w:rPr/>
        <w:t>CYP’s works for the Arden Station precinct, including the new Arden Station from the entrance to the</w:t>
      </w:r>
      <w:r>
        <w:rPr>
          <w:spacing w:val="1"/>
        </w:rPr>
        <w:t> </w:t>
      </w:r>
      <w:r>
        <w:rPr/>
        <w:t>ticket gate for Day 1 operation. This Development Plan is a requirement of Clause 4.7 of the</w:t>
      </w:r>
      <w:r>
        <w:rPr>
          <w:spacing w:val="1"/>
        </w:rPr>
        <w:t> </w:t>
      </w:r>
      <w:r>
        <w:rPr>
          <w:i/>
        </w:rPr>
        <w:t>Melbourne Metro Rail Project Incorporated Document </w:t>
      </w:r>
      <w:r>
        <w:rPr/>
        <w:t>(the Incorporated Document)</w:t>
      </w:r>
      <w:r>
        <w:rPr>
          <w:i/>
        </w:rPr>
        <w:t>, </w:t>
      </w:r>
      <w:r>
        <w:rPr/>
        <w:t>which requires</w:t>
      </w:r>
      <w:r>
        <w:rPr>
          <w:spacing w:val="1"/>
        </w:rPr>
        <w:t> </w:t>
      </w:r>
      <w:r>
        <w:rPr/>
        <w:t>Development Plans be prepared for each of the five stations, two portals and any other above ground</w:t>
      </w:r>
      <w:r>
        <w:rPr>
          <w:spacing w:val="-50"/>
        </w:rPr>
        <w:t> </w:t>
      </w:r>
      <w:r>
        <w:rPr/>
        <w:t>works or structures that are part of the Project. This Development Plan must be submitted to and</w:t>
      </w:r>
      <w:r>
        <w:rPr>
          <w:spacing w:val="1"/>
        </w:rPr>
        <w:t> </w:t>
      </w:r>
      <w:r>
        <w:rPr/>
        <w:t>approved</w:t>
      </w:r>
      <w:r>
        <w:rPr>
          <w:spacing w:val="-2"/>
        </w:rPr>
        <w:t> </w:t>
      </w:r>
      <w:r>
        <w:rPr/>
        <w:t>by the Minister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Planning.</w:t>
      </w:r>
    </w:p>
    <w:p>
      <w:pPr>
        <w:pStyle w:val="BodyText"/>
        <w:spacing w:before="119"/>
        <w:ind w:left="478" w:right="353"/>
      </w:pPr>
      <w:r>
        <w:rPr/>
        <w:t>The Project has already undergone an extensive and robust planning assessment process. As part</w:t>
      </w:r>
      <w:r>
        <w:rPr>
          <w:spacing w:val="1"/>
        </w:rPr>
        <w:t> </w:t>
      </w:r>
      <w:r>
        <w:rPr/>
        <w:t>of this, RPV published an Environment Effects Statement (EES) and draft Planning Scheme</w:t>
      </w:r>
      <w:r>
        <w:rPr>
          <w:spacing w:val="1"/>
        </w:rPr>
        <w:t> </w:t>
      </w:r>
      <w:r>
        <w:rPr/>
        <w:t>Amendment that included an integrated assessment of the potential environmental, social, economic</w:t>
      </w:r>
      <w:r>
        <w:rPr>
          <w:spacing w:val="-50"/>
        </w:rPr>
        <w:t> </w:t>
      </w:r>
      <w:r>
        <w:rPr/>
        <w:t>and</w:t>
      </w:r>
      <w:r>
        <w:rPr>
          <w:spacing w:val="-1"/>
        </w:rPr>
        <w:t> </w:t>
      </w:r>
      <w:r>
        <w:rPr/>
        <w:t>planning</w:t>
      </w:r>
      <w:r>
        <w:rPr>
          <w:spacing w:val="-1"/>
        </w:rPr>
        <w:t> </w:t>
      </w:r>
      <w:r>
        <w:rPr/>
        <w:t>impacts of</w:t>
      </w:r>
      <w:r>
        <w:rPr>
          <w:spacing w:val="-2"/>
        </w:rPr>
        <w:t> </w:t>
      </w:r>
      <w:r>
        <w:rPr/>
        <w:t>the Project,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to managing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impacts.</w:t>
      </w:r>
    </w:p>
    <w:p>
      <w:pPr>
        <w:pStyle w:val="BodyText"/>
        <w:spacing w:before="120"/>
        <w:ind w:left="478" w:right="585"/>
      </w:pPr>
      <w:r>
        <w:rPr/>
        <w:t>In developing the EES, RPV undertook a comprehensive engagement program to seek input from</w:t>
      </w:r>
      <w:r>
        <w:rPr>
          <w:spacing w:val="-50"/>
        </w:rPr>
        <w:t> </w:t>
      </w:r>
      <w:r>
        <w:rPr/>
        <w:t>stakeholders and the community. This included stakeholders and the community having the</w:t>
      </w:r>
      <w:r>
        <w:rPr>
          <w:spacing w:val="1"/>
        </w:rPr>
        <w:t> </w:t>
      </w:r>
      <w:r>
        <w:rPr/>
        <w:t>opportunity to provide formal submissions during a public exhibition period, which were then</w:t>
      </w:r>
      <w:r>
        <w:rPr>
          <w:spacing w:val="1"/>
        </w:rPr>
        <w:t> </w:t>
      </w:r>
      <w:r>
        <w:rPr/>
        <w:t>presented to an Inquiry and Advisory Committee. This committee then considered the EES and</w:t>
      </w:r>
      <w:r>
        <w:rPr>
          <w:spacing w:val="1"/>
        </w:rPr>
        <w:t> </w:t>
      </w:r>
      <w:r>
        <w:rPr/>
        <w:t>submissions,</w:t>
      </w:r>
      <w:r>
        <w:rPr>
          <w:spacing w:val="-2"/>
        </w:rPr>
        <w:t> </w:t>
      </w:r>
      <w:r>
        <w:rPr/>
        <w:t>and prepared</w:t>
      </w:r>
      <w:r>
        <w:rPr>
          <w:spacing w:val="-1"/>
        </w:rPr>
        <w:t> </w:t>
      </w:r>
      <w:r>
        <w:rPr/>
        <w:t>a report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Minister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Planning.</w:t>
      </w:r>
    </w:p>
    <w:p>
      <w:pPr>
        <w:pStyle w:val="BodyText"/>
        <w:spacing w:before="120"/>
        <w:ind w:left="478" w:right="311"/>
      </w:pPr>
      <w:r>
        <w:rPr/>
        <w:t>In December 2016, the Minister for Planning released his Assessment of the environmental effects of</w:t>
      </w:r>
      <w:r>
        <w:rPr>
          <w:spacing w:val="-50"/>
        </w:rPr>
        <w:t> </w:t>
      </w:r>
      <w:r>
        <w:rPr/>
        <w:t>the Project. The Minister subsequently approved a Planning Scheme Amendment for the Project,</w:t>
      </w:r>
      <w:r>
        <w:rPr>
          <w:spacing w:val="1"/>
        </w:rPr>
        <w:t> </w:t>
      </w:r>
      <w:r>
        <w:rPr/>
        <w:t>which inserted the Incorporated Document into the Melbourne, Port Phillip, Stonnington and</w:t>
      </w:r>
      <w:r>
        <w:rPr>
          <w:spacing w:val="1"/>
        </w:rPr>
        <w:t> </w:t>
      </w:r>
      <w:r>
        <w:rPr/>
        <w:t>Maribyrnong</w:t>
      </w:r>
      <w:r>
        <w:rPr>
          <w:spacing w:val="-1"/>
        </w:rPr>
        <w:t> </w:t>
      </w:r>
      <w:r>
        <w:rPr/>
        <w:t>Planning</w:t>
      </w:r>
      <w:r>
        <w:rPr>
          <w:spacing w:val="-1"/>
        </w:rPr>
        <w:t> </w:t>
      </w:r>
      <w:r>
        <w:rPr/>
        <w:t>Schemes.</w:t>
      </w:r>
    </w:p>
    <w:p>
      <w:pPr>
        <w:pStyle w:val="BodyText"/>
        <w:spacing w:before="122"/>
        <w:ind w:left="478"/>
      </w:pPr>
      <w:r>
        <w:rPr/>
        <w:t>In</w:t>
      </w:r>
      <w:r>
        <w:rPr>
          <w:spacing w:val="-3"/>
        </w:rPr>
        <w:t> </w:t>
      </w:r>
      <w:r>
        <w:rPr/>
        <w:t>accordance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Clause</w:t>
      </w:r>
      <w:r>
        <w:rPr>
          <w:spacing w:val="-2"/>
        </w:rPr>
        <w:t> </w:t>
      </w:r>
      <w:r>
        <w:rPr/>
        <w:t>4.7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Incorporated</w:t>
      </w:r>
      <w:r>
        <w:rPr>
          <w:spacing w:val="-1"/>
        </w:rPr>
        <w:t> </w:t>
      </w:r>
      <w:r>
        <w:rPr/>
        <w:t>Document,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includes: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22" w:after="0"/>
        <w:ind w:left="762" w:right="0" w:hanging="285"/>
        <w:jc w:val="left"/>
        <w:rPr>
          <w:sz w:val="19"/>
        </w:rPr>
      </w:pPr>
      <w:r>
        <w:rPr>
          <w:sz w:val="19"/>
        </w:rPr>
        <w:t>Site</w:t>
      </w:r>
      <w:r>
        <w:rPr>
          <w:spacing w:val="-3"/>
          <w:sz w:val="19"/>
        </w:rPr>
        <w:t> </w:t>
      </w:r>
      <w:r>
        <w:rPr>
          <w:sz w:val="19"/>
        </w:rPr>
        <w:t>layout</w:t>
      </w:r>
      <w:r>
        <w:rPr>
          <w:spacing w:val="-2"/>
          <w:sz w:val="19"/>
        </w:rPr>
        <w:t> </w:t>
      </w:r>
      <w:r>
        <w:rPr>
          <w:sz w:val="19"/>
        </w:rPr>
        <w:t>plan</w:t>
      </w:r>
      <w:r>
        <w:rPr>
          <w:spacing w:val="-2"/>
          <w:sz w:val="19"/>
        </w:rPr>
        <w:t> </w:t>
      </w:r>
      <w:r>
        <w:rPr>
          <w:sz w:val="19"/>
        </w:rPr>
        <w:t>(refer</w:t>
      </w:r>
      <w:r>
        <w:rPr>
          <w:spacing w:val="-2"/>
          <w:sz w:val="19"/>
        </w:rPr>
        <w:t> </w:t>
      </w:r>
      <w:r>
        <w:rPr>
          <w:sz w:val="19"/>
        </w:rPr>
        <w:t>to</w:t>
      </w:r>
      <w:r>
        <w:rPr>
          <w:spacing w:val="-2"/>
          <w:sz w:val="19"/>
        </w:rPr>
        <w:t> </w:t>
      </w:r>
      <w:hyperlink w:history="true" w:anchor="_bookmark0">
        <w:r>
          <w:rPr>
            <w:sz w:val="19"/>
          </w:rPr>
          <w:t>Appendix</w:t>
        </w:r>
        <w:r>
          <w:rPr>
            <w:spacing w:val="-1"/>
            <w:sz w:val="19"/>
          </w:rPr>
          <w:t> </w:t>
        </w:r>
        <w:r>
          <w:rPr>
            <w:sz w:val="19"/>
          </w:rPr>
          <w:t>A:</w:t>
        </w:r>
        <w:r>
          <w:rPr>
            <w:spacing w:val="-2"/>
            <w:sz w:val="19"/>
          </w:rPr>
          <w:t> </w:t>
        </w:r>
        <w:r>
          <w:rPr>
            <w:sz w:val="19"/>
          </w:rPr>
          <w:t>Arden</w:t>
        </w:r>
        <w:r>
          <w:rPr>
            <w:spacing w:val="1"/>
            <w:sz w:val="19"/>
          </w:rPr>
          <w:t> </w:t>
        </w:r>
        <w:r>
          <w:rPr>
            <w:sz w:val="19"/>
          </w:rPr>
          <w:t>Station</w:t>
        </w:r>
        <w:r>
          <w:rPr>
            <w:spacing w:val="-2"/>
            <w:sz w:val="19"/>
          </w:rPr>
          <w:t> </w:t>
        </w:r>
        <w:r>
          <w:rPr>
            <w:sz w:val="19"/>
          </w:rPr>
          <w:t>Precinct</w:t>
        </w:r>
        <w:r>
          <w:rPr>
            <w:spacing w:val="-2"/>
            <w:sz w:val="19"/>
          </w:rPr>
          <w:t> </w:t>
        </w:r>
        <w:r>
          <w:rPr>
            <w:sz w:val="19"/>
          </w:rPr>
          <w:t>Site</w:t>
        </w:r>
        <w:r>
          <w:rPr>
            <w:spacing w:val="-2"/>
            <w:sz w:val="19"/>
          </w:rPr>
          <w:t> </w:t>
        </w:r>
        <w:r>
          <w:rPr>
            <w:sz w:val="19"/>
          </w:rPr>
          <w:t>Layout</w:t>
        </w:r>
        <w:r>
          <w:rPr>
            <w:spacing w:val="-2"/>
            <w:sz w:val="19"/>
          </w:rPr>
          <w:t> </w:t>
        </w:r>
        <w:r>
          <w:rPr>
            <w:sz w:val="19"/>
          </w:rPr>
          <w:t>Plan</w:t>
        </w:r>
      </w:hyperlink>
      <w:r>
        <w:rPr>
          <w:sz w:val="19"/>
        </w:rPr>
        <w:t>)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15" w:after="0"/>
        <w:ind w:left="762" w:right="302" w:hanging="284"/>
        <w:jc w:val="left"/>
        <w:rPr>
          <w:sz w:val="19"/>
        </w:rPr>
      </w:pPr>
      <w:r>
        <w:rPr>
          <w:sz w:val="19"/>
        </w:rPr>
        <w:t>Architectural plans and elevations (refer to Appendix B: Arden Station Precinct Architectural Plans</w:t>
      </w:r>
      <w:r>
        <w:rPr>
          <w:spacing w:val="-50"/>
          <w:sz w:val="19"/>
        </w:rPr>
        <w:t> </w:t>
      </w:r>
      <w:r>
        <w:rPr>
          <w:sz w:val="19"/>
        </w:rPr>
        <w:t>and</w:t>
      </w:r>
      <w:r>
        <w:rPr>
          <w:spacing w:val="-1"/>
          <w:sz w:val="19"/>
        </w:rPr>
        <w:t> </w:t>
      </w:r>
      <w:r>
        <w:rPr>
          <w:sz w:val="19"/>
        </w:rPr>
        <w:t>Elevations)</w:t>
      </w:r>
    </w:p>
    <w:p>
      <w:pPr>
        <w:spacing w:after="0" w:line="240" w:lineRule="auto"/>
        <w:jc w:val="left"/>
        <w:rPr>
          <w:sz w:val="19"/>
        </w:rPr>
        <w:sectPr>
          <w:pgSz w:w="11910" w:h="16840"/>
          <w:pgMar w:header="936" w:footer="365" w:top="1900" w:bottom="640" w:left="94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00" w:after="0"/>
        <w:ind w:left="762" w:right="547" w:hanging="284"/>
        <w:jc w:val="left"/>
        <w:rPr>
          <w:sz w:val="19"/>
        </w:rPr>
      </w:pPr>
      <w:r>
        <w:rPr>
          <w:sz w:val="19"/>
        </w:rPr>
        <w:t>Landscape plans and elevations (refer to Appendix C: Arden Station Precinct Landscape Plans</w:t>
      </w:r>
      <w:r>
        <w:rPr>
          <w:spacing w:val="-50"/>
          <w:sz w:val="19"/>
        </w:rPr>
        <w:t> </w:t>
      </w:r>
      <w:r>
        <w:rPr>
          <w:sz w:val="19"/>
        </w:rPr>
        <w:t>and</w:t>
      </w:r>
      <w:r>
        <w:rPr>
          <w:spacing w:val="-1"/>
          <w:sz w:val="19"/>
        </w:rPr>
        <w:t> </w:t>
      </w:r>
      <w:r>
        <w:rPr>
          <w:sz w:val="19"/>
        </w:rPr>
        <w:t>Elevations)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20" w:after="0"/>
        <w:ind w:left="762" w:right="0" w:hanging="285"/>
        <w:jc w:val="left"/>
        <w:rPr>
          <w:sz w:val="19"/>
        </w:rPr>
      </w:pPr>
      <w:r>
        <w:rPr>
          <w:sz w:val="19"/>
        </w:rPr>
        <w:t>Public</w:t>
      </w:r>
      <w:r>
        <w:rPr>
          <w:spacing w:val="-2"/>
          <w:sz w:val="19"/>
        </w:rPr>
        <w:t> </w:t>
      </w:r>
      <w:r>
        <w:rPr>
          <w:sz w:val="19"/>
        </w:rPr>
        <w:t>realm</w:t>
      </w:r>
      <w:r>
        <w:rPr>
          <w:spacing w:val="-3"/>
          <w:sz w:val="19"/>
        </w:rPr>
        <w:t> </w:t>
      </w:r>
      <w:r>
        <w:rPr>
          <w:sz w:val="19"/>
        </w:rPr>
        <w:t>plans (refer</w:t>
      </w:r>
      <w:r>
        <w:rPr>
          <w:spacing w:val="-3"/>
          <w:sz w:val="19"/>
        </w:rPr>
        <w:t> </w:t>
      </w:r>
      <w:r>
        <w:rPr>
          <w:sz w:val="19"/>
        </w:rPr>
        <w:t>to</w:t>
      </w:r>
      <w:r>
        <w:rPr>
          <w:spacing w:val="-1"/>
          <w:sz w:val="19"/>
        </w:rPr>
        <w:t> </w:t>
      </w:r>
      <w:r>
        <w:rPr>
          <w:sz w:val="19"/>
        </w:rPr>
        <w:t>Appendix</w:t>
      </w:r>
      <w:r>
        <w:rPr>
          <w:spacing w:val="-1"/>
          <w:sz w:val="19"/>
        </w:rPr>
        <w:t> </w:t>
      </w:r>
      <w:r>
        <w:rPr>
          <w:sz w:val="19"/>
        </w:rPr>
        <w:t>D:</w:t>
      </w:r>
      <w:r>
        <w:rPr>
          <w:spacing w:val="-3"/>
          <w:sz w:val="19"/>
        </w:rPr>
        <w:t> </w:t>
      </w:r>
      <w:r>
        <w:rPr>
          <w:sz w:val="19"/>
        </w:rPr>
        <w:t>Arden</w:t>
      </w:r>
      <w:r>
        <w:rPr>
          <w:spacing w:val="-1"/>
          <w:sz w:val="19"/>
        </w:rPr>
        <w:t> </w:t>
      </w:r>
      <w:r>
        <w:rPr>
          <w:sz w:val="19"/>
        </w:rPr>
        <w:t>Station Precinct</w:t>
      </w:r>
      <w:r>
        <w:rPr>
          <w:spacing w:val="-3"/>
          <w:sz w:val="19"/>
        </w:rPr>
        <w:t> </w:t>
      </w:r>
      <w:r>
        <w:rPr>
          <w:sz w:val="19"/>
        </w:rPr>
        <w:t>Public</w:t>
      </w:r>
      <w:r>
        <w:rPr>
          <w:spacing w:val="-1"/>
          <w:sz w:val="19"/>
        </w:rPr>
        <w:t> </w:t>
      </w:r>
      <w:r>
        <w:rPr>
          <w:sz w:val="19"/>
        </w:rPr>
        <w:t>Realm</w:t>
      </w:r>
      <w:r>
        <w:rPr>
          <w:spacing w:val="-3"/>
          <w:sz w:val="19"/>
        </w:rPr>
        <w:t> </w:t>
      </w:r>
      <w:r>
        <w:rPr>
          <w:sz w:val="19"/>
        </w:rPr>
        <w:t>Plans)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18" w:after="0"/>
        <w:ind w:left="762" w:right="680" w:hanging="284"/>
        <w:jc w:val="left"/>
        <w:rPr>
          <w:sz w:val="19"/>
        </w:rPr>
      </w:pPr>
      <w:r>
        <w:rPr>
          <w:sz w:val="19"/>
        </w:rPr>
        <w:t>An</w:t>
      </w:r>
      <w:r>
        <w:rPr>
          <w:spacing w:val="-3"/>
          <w:sz w:val="19"/>
        </w:rPr>
        <w:t> </w:t>
      </w:r>
      <w:r>
        <w:rPr>
          <w:sz w:val="19"/>
        </w:rPr>
        <w:t>explanation</w:t>
      </w:r>
      <w:r>
        <w:rPr>
          <w:spacing w:val="-3"/>
          <w:sz w:val="19"/>
        </w:rPr>
        <w:t> </w:t>
      </w:r>
      <w:r>
        <w:rPr>
          <w:sz w:val="19"/>
        </w:rPr>
        <w:t>demonstrating</w:t>
      </w:r>
      <w:r>
        <w:rPr>
          <w:spacing w:val="-3"/>
          <w:sz w:val="19"/>
        </w:rPr>
        <w:t> </w:t>
      </w:r>
      <w:r>
        <w:rPr>
          <w:sz w:val="19"/>
        </w:rPr>
        <w:t>how</w:t>
      </w:r>
      <w:r>
        <w:rPr>
          <w:spacing w:val="-2"/>
          <w:sz w:val="19"/>
        </w:rPr>
        <w:t> </w:t>
      </w:r>
      <w:r>
        <w:rPr>
          <w:sz w:val="19"/>
        </w:rPr>
        <w:t>this</w:t>
      </w:r>
      <w:r>
        <w:rPr>
          <w:spacing w:val="-2"/>
          <w:sz w:val="19"/>
        </w:rPr>
        <w:t> </w:t>
      </w:r>
      <w:r>
        <w:rPr>
          <w:sz w:val="19"/>
        </w:rPr>
        <w:t>Development</w:t>
      </w:r>
      <w:r>
        <w:rPr>
          <w:spacing w:val="-3"/>
          <w:sz w:val="19"/>
        </w:rPr>
        <w:t> </w:t>
      </w:r>
      <w:r>
        <w:rPr>
          <w:sz w:val="19"/>
        </w:rPr>
        <w:t>Plan</w:t>
      </w:r>
      <w:r>
        <w:rPr>
          <w:spacing w:val="-2"/>
          <w:sz w:val="19"/>
        </w:rPr>
        <w:t> </w:t>
      </w:r>
      <w:r>
        <w:rPr>
          <w:sz w:val="19"/>
        </w:rPr>
        <w:t>is</w:t>
      </w:r>
      <w:r>
        <w:rPr>
          <w:spacing w:val="-2"/>
          <w:sz w:val="19"/>
        </w:rPr>
        <w:t> </w:t>
      </w:r>
      <w:r>
        <w:rPr>
          <w:sz w:val="19"/>
        </w:rPr>
        <w:t>in</w:t>
      </w:r>
      <w:r>
        <w:rPr>
          <w:spacing w:val="-3"/>
          <w:sz w:val="19"/>
        </w:rPr>
        <w:t> </w:t>
      </w:r>
      <w:r>
        <w:rPr>
          <w:sz w:val="19"/>
        </w:rPr>
        <w:t>accordance</w:t>
      </w:r>
      <w:r>
        <w:rPr>
          <w:spacing w:val="-3"/>
          <w:sz w:val="19"/>
        </w:rPr>
        <w:t> </w:t>
      </w:r>
      <w:r>
        <w:rPr>
          <w:sz w:val="19"/>
        </w:rPr>
        <w:t>with</w:t>
      </w:r>
      <w:r>
        <w:rPr>
          <w:spacing w:val="-2"/>
          <w:sz w:val="19"/>
        </w:rPr>
        <w:t> </w:t>
      </w:r>
      <w:r>
        <w:rPr>
          <w:sz w:val="19"/>
        </w:rPr>
        <w:t>the</w:t>
      </w:r>
      <w:r>
        <w:rPr>
          <w:spacing w:val="-3"/>
          <w:sz w:val="19"/>
        </w:rPr>
        <w:t> </w:t>
      </w:r>
      <w:r>
        <w:rPr>
          <w:sz w:val="19"/>
        </w:rPr>
        <w:t>approved</w:t>
      </w:r>
      <w:r>
        <w:rPr>
          <w:spacing w:val="-50"/>
          <w:sz w:val="19"/>
        </w:rPr>
        <w:t> </w:t>
      </w:r>
      <w:r>
        <w:rPr>
          <w:sz w:val="19"/>
        </w:rPr>
        <w:t>Urban Design Strategy (refer to Section </w:t>
      </w:r>
      <w:hyperlink w:history="true" w:anchor="_bookmark25">
        <w:r>
          <w:rPr>
            <w:sz w:val="19"/>
          </w:rPr>
          <w:t>4.3 </w:t>
        </w:r>
      </w:hyperlink>
      <w:r>
        <w:rPr>
          <w:sz w:val="19"/>
        </w:rPr>
        <w:t>and Appendix E: Arden Station Precinct Urban</w:t>
      </w:r>
      <w:r>
        <w:rPr>
          <w:spacing w:val="1"/>
          <w:sz w:val="19"/>
        </w:rPr>
        <w:t> </w:t>
      </w:r>
      <w:r>
        <w:rPr>
          <w:sz w:val="19"/>
        </w:rPr>
        <w:t>Design</w:t>
      </w:r>
      <w:r>
        <w:rPr>
          <w:spacing w:val="-2"/>
          <w:sz w:val="19"/>
        </w:rPr>
        <w:t> </w:t>
      </w:r>
      <w:r>
        <w:rPr>
          <w:sz w:val="19"/>
        </w:rPr>
        <w:t>Strategy guidelines</w:t>
      </w:r>
      <w:r>
        <w:rPr>
          <w:spacing w:val="1"/>
          <w:sz w:val="19"/>
        </w:rPr>
        <w:t> </w:t>
      </w:r>
      <w:r>
        <w:rPr>
          <w:sz w:val="19"/>
        </w:rPr>
        <w:t>assessment)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17" w:after="0"/>
        <w:ind w:left="762" w:right="678" w:hanging="284"/>
        <w:jc w:val="left"/>
        <w:rPr>
          <w:sz w:val="19"/>
        </w:rPr>
      </w:pPr>
      <w:r>
        <w:rPr>
          <w:sz w:val="19"/>
        </w:rPr>
        <w:t>An explanation demonstrating how this Development Plan is in accordance with the approved</w:t>
      </w:r>
      <w:r>
        <w:rPr>
          <w:spacing w:val="-51"/>
          <w:sz w:val="19"/>
        </w:rPr>
        <w:t> </w:t>
      </w:r>
      <w:r>
        <w:rPr>
          <w:sz w:val="19"/>
        </w:rPr>
        <w:t>Environmental Management Framework particularly the Environmental Performance</w:t>
      </w:r>
      <w:r>
        <w:rPr>
          <w:spacing w:val="1"/>
          <w:sz w:val="19"/>
        </w:rPr>
        <w:t> </w:t>
      </w:r>
      <w:r>
        <w:rPr>
          <w:sz w:val="19"/>
        </w:rPr>
        <w:t>Requirements (refer to Section </w:t>
      </w:r>
      <w:hyperlink w:history="true" w:anchor="_bookmark45">
        <w:r>
          <w:rPr>
            <w:sz w:val="19"/>
          </w:rPr>
          <w:t>4.4 </w:t>
        </w:r>
      </w:hyperlink>
      <w:r>
        <w:rPr>
          <w:sz w:val="19"/>
        </w:rPr>
        <w:t>and Appendix F: Arden Station Precinct Environmental</w:t>
      </w:r>
      <w:r>
        <w:rPr>
          <w:spacing w:val="1"/>
          <w:sz w:val="19"/>
        </w:rPr>
        <w:t> </w:t>
      </w:r>
      <w:r>
        <w:rPr>
          <w:sz w:val="19"/>
        </w:rPr>
        <w:t>Performance</w:t>
      </w:r>
      <w:r>
        <w:rPr>
          <w:spacing w:val="-2"/>
          <w:sz w:val="19"/>
        </w:rPr>
        <w:t> </w:t>
      </w:r>
      <w:r>
        <w:rPr>
          <w:sz w:val="19"/>
        </w:rPr>
        <w:t>Requirements</w:t>
      </w:r>
      <w:r>
        <w:rPr>
          <w:spacing w:val="1"/>
          <w:sz w:val="19"/>
        </w:rPr>
        <w:t> </w:t>
      </w:r>
      <w:r>
        <w:rPr>
          <w:sz w:val="19"/>
        </w:rPr>
        <w:t>assessment).</w:t>
      </w:r>
    </w:p>
    <w:p>
      <w:pPr>
        <w:pStyle w:val="BodyText"/>
        <w:spacing w:before="121"/>
        <w:ind w:left="478" w:right="491"/>
      </w:pPr>
      <w:r>
        <w:rPr/>
        <w:t>The CYP design for the Arden Station precinct has incorporated feedback from a range of</w:t>
      </w:r>
      <w:r>
        <w:rPr>
          <w:spacing w:val="1"/>
        </w:rPr>
        <w:t> </w:t>
      </w:r>
      <w:r>
        <w:rPr/>
        <w:t>stakeholders including those identified in the Incorporated Document; the Office of the Victorian</w:t>
      </w:r>
      <w:r>
        <w:rPr>
          <w:spacing w:val="1"/>
        </w:rPr>
        <w:t> </w:t>
      </w:r>
      <w:r>
        <w:rPr/>
        <w:t>Government Architect, City of Melbourne, Department of Transport (previously known as Transport</w:t>
      </w:r>
      <w:r>
        <w:rPr>
          <w:spacing w:val="-50"/>
        </w:rPr>
        <w:t> </w:t>
      </w:r>
      <w:r>
        <w:rPr/>
        <w:t>for</w:t>
      </w:r>
      <w:r>
        <w:rPr>
          <w:spacing w:val="-2"/>
        </w:rPr>
        <w:t> </w:t>
      </w:r>
      <w:r>
        <w:rPr/>
        <w:t>Victoria,</w:t>
      </w:r>
      <w:r>
        <w:rPr>
          <w:spacing w:val="-2"/>
        </w:rPr>
        <w:t> </w:t>
      </w:r>
      <w:r>
        <w:rPr/>
        <w:t>VicRoads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Transport</w:t>
      </w:r>
      <w:r>
        <w:rPr>
          <w:spacing w:val="-2"/>
        </w:rPr>
        <w:t> </w:t>
      </w:r>
      <w:r>
        <w:rPr/>
        <w:t>Victoria), Melbourne</w:t>
      </w:r>
      <w:r>
        <w:rPr>
          <w:spacing w:val="-2"/>
        </w:rPr>
        <w:t> </w:t>
      </w:r>
      <w:r>
        <w:rPr/>
        <w:t>Water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Heritage</w:t>
      </w:r>
      <w:r>
        <w:rPr>
          <w:spacing w:val="1"/>
        </w:rPr>
        <w:t> </w:t>
      </w:r>
      <w:r>
        <w:rPr/>
        <w:t>Victoria.</w:t>
      </w:r>
    </w:p>
    <w:p>
      <w:pPr>
        <w:pStyle w:val="BodyText"/>
        <w:spacing w:before="120"/>
        <w:ind w:left="478" w:right="396"/>
      </w:pPr>
      <w:r>
        <w:rPr/>
        <w:t>The previous version of this Arden Station Precinct Development Plan was approved by the Minister</w:t>
      </w:r>
      <w:r>
        <w:rPr>
          <w:spacing w:val="-50"/>
        </w:rPr>
        <w:t> </w:t>
      </w:r>
      <w:r>
        <w:rPr/>
        <w:t>for Planning on Thursday 8 March 2018. Under the Project’s Incorporated Document, and in</w:t>
      </w:r>
      <w:r>
        <w:rPr>
          <w:spacing w:val="1"/>
        </w:rPr>
        <w:t> </w:t>
      </w:r>
      <w:r>
        <w:rPr/>
        <w:t>accordance</w:t>
      </w:r>
      <w:r>
        <w:rPr>
          <w:spacing w:val="-2"/>
        </w:rPr>
        <w:t> </w:t>
      </w:r>
      <w:r>
        <w:rPr/>
        <w:t>with Clause</w:t>
      </w:r>
      <w:r>
        <w:rPr>
          <w:spacing w:val="-2"/>
        </w:rPr>
        <w:t> </w:t>
      </w:r>
      <w:r>
        <w:rPr/>
        <w:t>4.7.8,</w:t>
      </w:r>
      <w:r>
        <w:rPr>
          <w:spacing w:val="-1"/>
        </w:rPr>
        <w:t> </w:t>
      </w:r>
      <w:r>
        <w:rPr/>
        <w:t>CYP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seeking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amendment</w:t>
      </w:r>
      <w:r>
        <w:rPr>
          <w:spacing w:val="-2"/>
        </w:rPr>
        <w:t> </w:t>
      </w:r>
      <w:r>
        <w:rPr/>
        <w:t>to this</w:t>
      </w:r>
      <w:r>
        <w:rPr>
          <w:spacing w:val="-1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Plan.</w:t>
      </w:r>
    </w:p>
    <w:p>
      <w:pPr>
        <w:pStyle w:val="BodyText"/>
        <w:spacing w:before="120"/>
        <w:ind w:left="478" w:right="458"/>
      </w:pPr>
      <w:r>
        <w:rPr/>
        <w:t>In accordance with the Incorporated Document requirements, the amended version of this Arden</w:t>
      </w:r>
      <w:r>
        <w:rPr>
          <w:spacing w:val="1"/>
        </w:rPr>
        <w:t> </w:t>
      </w:r>
      <w:r>
        <w:rPr/>
        <w:t>Station Precinct Development Plan was made available for public inspection for 15 business days</w:t>
      </w:r>
      <w:r>
        <w:rPr>
          <w:spacing w:val="1"/>
        </w:rPr>
        <w:t> </w:t>
      </w:r>
      <w:r>
        <w:rPr/>
        <w:t>from Monday 9 August 2021 until Friday 27 August 2021 on the Engage Victoria website along with</w:t>
      </w:r>
      <w:r>
        <w:rPr>
          <w:spacing w:val="-50"/>
        </w:rPr>
        <w:t> </w:t>
      </w:r>
      <w:r>
        <w:rPr/>
        <w:t>an</w:t>
      </w:r>
      <w:r>
        <w:rPr>
          <w:spacing w:val="-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to provide written comments.</w:t>
      </w:r>
    </w:p>
    <w:p>
      <w:pPr>
        <w:pStyle w:val="BodyText"/>
        <w:spacing w:before="119"/>
        <w:ind w:left="478" w:right="459"/>
      </w:pPr>
      <w:r>
        <w:rPr/>
        <w:t>The amendments to this Development Plan improve the design in line with the design principles for</w:t>
      </w:r>
      <w:r>
        <w:rPr>
          <w:spacing w:val="-50"/>
        </w:rPr>
        <w:t> </w:t>
      </w:r>
      <w:r>
        <w:rPr/>
        <w:t>the Metro Tunnel Project and include changes to the architectural layout, landscape design and</w:t>
      </w:r>
      <w:r>
        <w:rPr>
          <w:spacing w:val="1"/>
        </w:rPr>
        <w:t> </w:t>
      </w:r>
      <w:r>
        <w:rPr/>
        <w:t>public realm components of the Project. These amendments have been made to improve access to</w:t>
      </w:r>
      <w:r>
        <w:rPr>
          <w:spacing w:val="-50"/>
        </w:rPr>
        <w:t> </w:t>
      </w:r>
      <w:r>
        <w:rPr/>
        <w:t>the Arden Station, enhance flood protection and provide more greenery through retaining and</w:t>
      </w:r>
      <w:r>
        <w:rPr>
          <w:spacing w:val="1"/>
        </w:rPr>
        <w:t> </w:t>
      </w:r>
      <w:r>
        <w:rPr/>
        <w:t>planting more trees, with 32 less trees removed than identified during the EES and 15 less than the</w:t>
      </w:r>
      <w:r>
        <w:rPr>
          <w:spacing w:val="-50"/>
        </w:rPr>
        <w:t> </w:t>
      </w:r>
      <w:r>
        <w:rPr/>
        <w:t>previously</w:t>
      </w:r>
      <w:r>
        <w:rPr>
          <w:spacing w:val="-1"/>
        </w:rPr>
        <w:t> </w:t>
      </w:r>
      <w:r>
        <w:rPr/>
        <w:t>approved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Plan.</w:t>
      </w:r>
    </w:p>
    <w:p>
      <w:pPr>
        <w:pStyle w:val="BodyText"/>
        <w:spacing w:before="120"/>
        <w:ind w:left="478" w:right="458"/>
      </w:pPr>
      <w:r>
        <w:rPr/>
        <w:t>Consultation with key stakeholders has been ongoing during the preparation of these amendments.</w:t>
      </w:r>
      <w:r>
        <w:rPr>
          <w:spacing w:val="-50"/>
        </w:rPr>
        <w:t> </w:t>
      </w:r>
      <w:r>
        <w:rPr/>
        <w:t>This includes the Victorian Planning Authority as well as the list of stakeholders identified in the</w:t>
      </w:r>
      <w:r>
        <w:rPr>
          <w:spacing w:val="1"/>
        </w:rPr>
        <w:t> </w:t>
      </w:r>
      <w:r>
        <w:rPr/>
        <w:t>Incorporated Document; the Office of the Victorian Government Architect, City of Melbourne,</w:t>
      </w:r>
      <w:r>
        <w:rPr>
          <w:spacing w:val="1"/>
        </w:rPr>
        <w:t> </w:t>
      </w:r>
      <w:r>
        <w:rPr/>
        <w:t>Department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Transport,</w:t>
      </w:r>
      <w:r>
        <w:rPr>
          <w:spacing w:val="-1"/>
        </w:rPr>
        <w:t> </w:t>
      </w:r>
      <w:r>
        <w:rPr/>
        <w:t>Melbourne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Heritage</w:t>
      </w:r>
      <w:r>
        <w:rPr>
          <w:spacing w:val="1"/>
        </w:rPr>
        <w:t> </w:t>
      </w:r>
      <w:r>
        <w:rPr/>
        <w:t>Victoria.</w:t>
      </w:r>
    </w:p>
    <w:p>
      <w:pPr>
        <w:pStyle w:val="BodyText"/>
        <w:spacing w:before="120"/>
        <w:ind w:left="478"/>
      </w:pPr>
      <w:r>
        <w:rPr/>
        <w:t>This</w:t>
      </w:r>
      <w:r>
        <w:rPr>
          <w:spacing w:val="-3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Plan</w:t>
      </w:r>
      <w:r>
        <w:rPr>
          <w:spacing w:val="-4"/>
        </w:rPr>
        <w:t> </w:t>
      </w:r>
      <w:r>
        <w:rPr/>
        <w:t>presents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scope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extent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built</w:t>
      </w:r>
      <w:r>
        <w:rPr>
          <w:spacing w:val="-4"/>
        </w:rPr>
        <w:t> </w:t>
      </w:r>
      <w:r>
        <w:rPr/>
        <w:t>form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CYP’s</w:t>
      </w:r>
      <w:r>
        <w:rPr>
          <w:spacing w:val="-2"/>
        </w:rPr>
        <w:t> </w:t>
      </w:r>
      <w:r>
        <w:rPr/>
        <w:t>works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Arden</w:t>
      </w:r>
      <w:r>
        <w:rPr>
          <w:spacing w:val="1"/>
        </w:rPr>
        <w:t> </w:t>
      </w:r>
      <w:r>
        <w:rPr/>
        <w:t>Station precinct with associated construction works to occur within the Project Land boundary and</w:t>
      </w:r>
      <w:r>
        <w:rPr>
          <w:spacing w:val="1"/>
        </w:rPr>
        <w:t> </w:t>
      </w:r>
      <w:r>
        <w:rPr/>
        <w:t>construction impacts to be managed in accordance with the approved Environmental Management</w:t>
      </w:r>
      <w:r>
        <w:rPr>
          <w:spacing w:val="1"/>
        </w:rPr>
        <w:t> </w:t>
      </w:r>
      <w:r>
        <w:rPr/>
        <w:t>Framework. This includes separately prepared Environmental Management System, Construction</w:t>
      </w:r>
      <w:r>
        <w:rPr>
          <w:spacing w:val="1"/>
        </w:rPr>
        <w:t> </w:t>
      </w:r>
      <w:r>
        <w:rPr/>
        <w:t>Environmental Management Plan, Site Environmental Implementation Plans and aspect-specific</w:t>
      </w:r>
      <w:r>
        <w:rPr>
          <w:spacing w:val="1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plans (as</w:t>
      </w:r>
      <w:r>
        <w:rPr>
          <w:spacing w:val="1"/>
        </w:rPr>
        <w:t> </w:t>
      </w:r>
      <w:r>
        <w:rPr/>
        <w:t>specified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Environmental Performance</w:t>
      </w:r>
      <w:r>
        <w:rPr>
          <w:spacing w:val="-2"/>
        </w:rPr>
        <w:t> </w:t>
      </w:r>
      <w:r>
        <w:rPr/>
        <w:t>Requirements).</w:t>
      </w:r>
    </w:p>
    <w:p>
      <w:pPr>
        <w:spacing w:after="0"/>
        <w:sectPr>
          <w:pgSz w:w="11910" w:h="16840"/>
          <w:pgMar w:header="936" w:footer="365" w:top="1900" w:bottom="640" w:left="94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Heading1"/>
      </w:pPr>
      <w:r>
        <w:rPr>
          <w:color w:val="00BBE9"/>
        </w:rPr>
        <w:t>CHANGE</w:t>
      </w:r>
      <w:r>
        <w:rPr>
          <w:color w:val="00BBE9"/>
          <w:spacing w:val="-1"/>
        </w:rPr>
        <w:t> </w:t>
      </w:r>
      <w:r>
        <w:rPr>
          <w:color w:val="00BBE9"/>
        </w:rPr>
        <w:t>REGISTER</w:t>
      </w:r>
    </w:p>
    <w:p>
      <w:pPr>
        <w:pStyle w:val="BodyText"/>
        <w:spacing w:before="118"/>
        <w:ind w:left="478" w:right="775"/>
      </w:pPr>
      <w:r>
        <w:rPr/>
        <w:t>In accordance with Clause 4.7.8 of the Incorporated Document, an amendment is sought to this</w:t>
      </w:r>
      <w:r>
        <w:rPr>
          <w:spacing w:val="-50"/>
        </w:rPr>
        <w:t> </w:t>
      </w:r>
      <w:r>
        <w:rPr/>
        <w:t>Arden</w:t>
      </w:r>
      <w:r>
        <w:rPr>
          <w:spacing w:val="-1"/>
        </w:rPr>
        <w:t> </w:t>
      </w:r>
      <w:r>
        <w:rPr/>
        <w:t>Station Precinct Development</w:t>
      </w:r>
      <w:r>
        <w:rPr>
          <w:spacing w:val="1"/>
        </w:rPr>
        <w:t> </w:t>
      </w:r>
      <w:r>
        <w:rPr/>
        <w:t>Plan.</w:t>
      </w:r>
    </w:p>
    <w:p>
      <w:pPr>
        <w:pStyle w:val="BodyText"/>
        <w:spacing w:before="120"/>
        <w:ind w:left="478" w:right="310"/>
      </w:pPr>
      <w:r>
        <w:rPr/>
        <w:t>The Project’s design has developed through an iterative process informed by phases of specialist</w:t>
      </w:r>
      <w:r>
        <w:rPr>
          <w:spacing w:val="1"/>
        </w:rPr>
        <w:t> </w:t>
      </w:r>
      <w:r>
        <w:rPr/>
        <w:t>technical assessment integrated with stakeholder and community engagement. This has included</w:t>
      </w:r>
      <w:r>
        <w:rPr>
          <w:spacing w:val="1"/>
        </w:rPr>
        <w:t> </w:t>
      </w:r>
      <w:r>
        <w:rPr/>
        <w:t>public exhibition of the concept design as part of the EES and public display of the detailed design as</w:t>
      </w:r>
      <w:r>
        <w:rPr>
          <w:spacing w:val="-50"/>
        </w:rPr>
        <w:t> </w:t>
      </w:r>
      <w:r>
        <w:rPr/>
        <w:t>part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 development</w:t>
      </w:r>
      <w:r>
        <w:rPr>
          <w:spacing w:val="-1"/>
        </w:rPr>
        <w:t> </w:t>
      </w:r>
      <w:r>
        <w:rPr/>
        <w:t>plan.</w:t>
      </w:r>
    </w:p>
    <w:p>
      <w:pPr>
        <w:pStyle w:val="BodyText"/>
        <w:spacing w:before="120"/>
        <w:ind w:left="478" w:right="363"/>
      </w:pPr>
      <w:r>
        <w:rPr/>
        <w:t>Design development has continued, with CYP preparing approximately 450 Design Packages that</w:t>
      </w:r>
      <w:r>
        <w:rPr>
          <w:spacing w:val="1"/>
        </w:rPr>
        <w:t> </w:t>
      </w:r>
      <w:r>
        <w:rPr/>
        <w:t>relate to specialist technical disciplines and geographic areas. In accordance with the project</w:t>
      </w:r>
      <w:r>
        <w:rPr>
          <w:spacing w:val="1"/>
        </w:rPr>
        <w:t> </w:t>
      </w:r>
      <w:r>
        <w:rPr/>
        <w:t>contract, Design Packages have been reviewed by RPV and the Independent Reviewer, and subject</w:t>
      </w:r>
      <w:r>
        <w:rPr>
          <w:spacing w:val="-50"/>
        </w:rPr>
        <w:t> </w:t>
      </w:r>
      <w:r>
        <w:rPr/>
        <w:t>to specified consultation with relevant stakeholders such as the Office of the Victorian Government</w:t>
      </w:r>
      <w:r>
        <w:rPr>
          <w:spacing w:val="1"/>
        </w:rPr>
        <w:t> </w:t>
      </w:r>
      <w:r>
        <w:rPr/>
        <w:t>Architect, City of Melbourne, Department of Transport, Melbourne Water and the Victorian Planning</w:t>
      </w:r>
      <w:r>
        <w:rPr>
          <w:spacing w:val="1"/>
        </w:rPr>
        <w:t> </w:t>
      </w:r>
      <w:r>
        <w:rPr/>
        <w:t>Authority.</w:t>
      </w:r>
    </w:p>
    <w:p>
      <w:pPr>
        <w:pStyle w:val="BodyText"/>
        <w:spacing w:before="120"/>
        <w:ind w:left="478" w:right="363"/>
      </w:pPr>
      <w:r>
        <w:rPr/>
        <w:t>Design development has led to changes at the Arden Station precinct including to improve access to</w:t>
      </w:r>
      <w:r>
        <w:rPr>
          <w:spacing w:val="-51"/>
        </w:rPr>
        <w:t> </w:t>
      </w:r>
      <w:r>
        <w:rPr/>
        <w:t>the Arden Station, enhance flood protection and provide more greenery through retaining and</w:t>
      </w:r>
      <w:r>
        <w:rPr>
          <w:spacing w:val="1"/>
        </w:rPr>
        <w:t> </w:t>
      </w:r>
      <w:r>
        <w:rPr/>
        <w:t>planting</w:t>
      </w:r>
      <w:r>
        <w:rPr>
          <w:spacing w:val="-2"/>
        </w:rPr>
        <w:t> </w:t>
      </w:r>
      <w:r>
        <w:rPr/>
        <w:t>more</w:t>
      </w:r>
      <w:r>
        <w:rPr>
          <w:spacing w:val="-1"/>
        </w:rPr>
        <w:t> </w:t>
      </w:r>
      <w:r>
        <w:rPr/>
        <w:t>trees.</w:t>
      </w:r>
    </w:p>
    <w:p>
      <w:pPr>
        <w:pStyle w:val="BodyText"/>
        <w:spacing w:before="120"/>
        <w:ind w:left="478"/>
      </w:pPr>
      <w:hyperlink w:history="true" w:anchor="_bookmark2">
        <w:r>
          <w:rPr/>
          <w:t>Table 1 </w:t>
        </w:r>
      </w:hyperlink>
      <w:r>
        <w:rPr/>
        <w:t>provides an overview of these changes and where these are documented within this Arden</w:t>
      </w:r>
      <w:r>
        <w:rPr>
          <w:spacing w:val="1"/>
        </w:rPr>
        <w:t> </w:t>
      </w:r>
      <w:r>
        <w:rPr/>
        <w:t>Station</w:t>
      </w:r>
      <w:r>
        <w:rPr>
          <w:spacing w:val="-2"/>
        </w:rPr>
        <w:t> </w:t>
      </w:r>
      <w:r>
        <w:rPr/>
        <w:t>Precinct</w:t>
      </w:r>
      <w:r>
        <w:rPr>
          <w:spacing w:val="-2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Plan.</w:t>
      </w:r>
      <w:r>
        <w:rPr>
          <w:spacing w:val="-2"/>
        </w:rPr>
        <w:t> </w:t>
      </w:r>
      <w:r>
        <w:rPr/>
        <w:t>CYP</w:t>
      </w:r>
      <w:r>
        <w:rPr>
          <w:spacing w:val="-2"/>
        </w:rPr>
        <w:t> </w:t>
      </w:r>
      <w:r>
        <w:rPr/>
        <w:t>seeks</w:t>
      </w:r>
      <w:r>
        <w:rPr>
          <w:spacing w:val="-1"/>
        </w:rPr>
        <w:t> </w:t>
      </w:r>
      <w:r>
        <w:rPr/>
        <w:t>comments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these</w:t>
      </w:r>
      <w:r>
        <w:rPr>
          <w:spacing w:val="-3"/>
        </w:rPr>
        <w:t> </w:t>
      </w:r>
      <w:r>
        <w:rPr/>
        <w:t>changes from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stakeholders.</w:t>
      </w:r>
    </w:p>
    <w:p>
      <w:pPr>
        <w:spacing w:before="119"/>
        <w:ind w:left="478" w:right="0" w:firstLine="0"/>
        <w:jc w:val="left"/>
        <w:rPr>
          <w:sz w:val="18"/>
        </w:rPr>
      </w:pPr>
      <w:bookmarkStart w:name="_bookmark2" w:id="42"/>
      <w:bookmarkEnd w:id="42"/>
      <w:r>
        <w:rPr/>
      </w:r>
      <w:r>
        <w:rPr>
          <w:sz w:val="18"/>
        </w:rPr>
        <w:t>Table</w:t>
      </w:r>
      <w:r>
        <w:rPr>
          <w:spacing w:val="-9"/>
          <w:sz w:val="18"/>
        </w:rPr>
        <w:t> </w:t>
      </w:r>
      <w:r>
        <w:rPr>
          <w:sz w:val="18"/>
        </w:rPr>
        <w:t>1</w:t>
      </w:r>
      <w:r>
        <w:rPr>
          <w:spacing w:val="-10"/>
          <w:sz w:val="18"/>
        </w:rPr>
        <w:t> </w:t>
      </w:r>
      <w:r>
        <w:rPr>
          <w:sz w:val="18"/>
        </w:rPr>
        <w:t>–</w:t>
      </w:r>
      <w:r>
        <w:rPr>
          <w:spacing w:val="-10"/>
          <w:sz w:val="18"/>
        </w:rPr>
        <w:t> </w:t>
      </w:r>
      <w:r>
        <w:rPr>
          <w:sz w:val="18"/>
        </w:rPr>
        <w:t>Amendments</w:t>
      </w:r>
      <w:r>
        <w:rPr>
          <w:spacing w:val="-9"/>
          <w:sz w:val="18"/>
        </w:rPr>
        <w:t> </w:t>
      </w:r>
      <w:r>
        <w:rPr>
          <w:sz w:val="18"/>
        </w:rPr>
        <w:t>to</w:t>
      </w:r>
      <w:r>
        <w:rPr>
          <w:spacing w:val="-10"/>
          <w:sz w:val="18"/>
        </w:rPr>
        <w:t> </w:t>
      </w:r>
      <w:r>
        <w:rPr>
          <w:sz w:val="18"/>
        </w:rPr>
        <w:t>Arden</w:t>
      </w:r>
      <w:r>
        <w:rPr>
          <w:spacing w:val="-8"/>
          <w:sz w:val="18"/>
        </w:rPr>
        <w:t> </w:t>
      </w:r>
      <w:r>
        <w:rPr>
          <w:sz w:val="18"/>
        </w:rPr>
        <w:t>Station</w:t>
      </w:r>
      <w:r>
        <w:rPr>
          <w:spacing w:val="-9"/>
          <w:sz w:val="18"/>
        </w:rPr>
        <w:t> </w:t>
      </w:r>
      <w:r>
        <w:rPr>
          <w:sz w:val="18"/>
        </w:rPr>
        <w:t>Precinct</w:t>
      </w:r>
      <w:r>
        <w:rPr>
          <w:spacing w:val="-10"/>
          <w:sz w:val="18"/>
        </w:rPr>
        <w:t> </w:t>
      </w:r>
      <w:r>
        <w:rPr>
          <w:sz w:val="18"/>
        </w:rPr>
        <w:t>Development</w:t>
      </w:r>
      <w:r>
        <w:rPr>
          <w:spacing w:val="-10"/>
          <w:sz w:val="18"/>
        </w:rPr>
        <w:t> </w:t>
      </w:r>
      <w:r>
        <w:rPr>
          <w:sz w:val="18"/>
        </w:rPr>
        <w:t>Plan</w:t>
      </w:r>
      <w:r>
        <w:rPr>
          <w:spacing w:val="-10"/>
          <w:sz w:val="18"/>
        </w:rPr>
        <w:t> </w:t>
      </w:r>
      <w:r>
        <w:rPr>
          <w:sz w:val="18"/>
        </w:rPr>
        <w:t>since</w:t>
      </w:r>
      <w:r>
        <w:rPr>
          <w:spacing w:val="-10"/>
          <w:sz w:val="18"/>
        </w:rPr>
        <w:t> </w:t>
      </w:r>
      <w:r>
        <w:rPr>
          <w:sz w:val="18"/>
        </w:rPr>
        <w:t>Ministerial</w:t>
      </w:r>
      <w:r>
        <w:rPr>
          <w:spacing w:val="-9"/>
          <w:sz w:val="18"/>
        </w:rPr>
        <w:t> </w:t>
      </w:r>
      <w:r>
        <w:rPr>
          <w:sz w:val="18"/>
        </w:rPr>
        <w:t>Approval</w:t>
      </w:r>
      <w:r>
        <w:rPr>
          <w:spacing w:val="-6"/>
          <w:sz w:val="18"/>
        </w:rPr>
        <w:t> </w:t>
      </w:r>
      <w:r>
        <w:rPr>
          <w:sz w:val="18"/>
        </w:rPr>
        <w:t>(08/03/2018)</w:t>
      </w: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491" w:type="dxa"/>
        <w:tblBorders>
          <w:top w:val="single" w:sz="4" w:space="0" w:color="00BBE9"/>
          <w:left w:val="single" w:sz="4" w:space="0" w:color="00BBE9"/>
          <w:bottom w:val="single" w:sz="4" w:space="0" w:color="00BBE9"/>
          <w:right w:val="single" w:sz="4" w:space="0" w:color="00BBE9"/>
          <w:insideH w:val="single" w:sz="4" w:space="0" w:color="00BBE9"/>
          <w:insideV w:val="single" w:sz="4" w:space="0" w:color="00BB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4"/>
        <w:gridCol w:w="6392"/>
      </w:tblGrid>
      <w:tr>
        <w:trPr>
          <w:trHeight w:val="340" w:hRule="atLeast"/>
        </w:trPr>
        <w:tc>
          <w:tcPr>
            <w:tcW w:w="2104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line="192" w:lineRule="exact" w:before="128"/>
              <w:ind w:left="11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Section</w:t>
            </w:r>
          </w:p>
        </w:tc>
        <w:tc>
          <w:tcPr>
            <w:tcW w:w="6392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line="192" w:lineRule="exact" w:before="128"/>
              <w:ind w:left="130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Amendment</w:t>
            </w:r>
          </w:p>
        </w:tc>
      </w:tr>
      <w:tr>
        <w:trPr>
          <w:trHeight w:val="575" w:hRule="atLeast"/>
        </w:trPr>
        <w:tc>
          <w:tcPr>
            <w:tcW w:w="2104" w:type="dxa"/>
            <w:tcBorders>
              <w:right w:val="nil"/>
            </w:tcBorders>
          </w:tcPr>
          <w:p>
            <w:pPr>
              <w:pStyle w:val="TableParagraph"/>
              <w:spacing w:before="114"/>
              <w:rPr>
                <w:b/>
                <w:sz w:val="18"/>
              </w:rPr>
            </w:pPr>
            <w:r>
              <w:rPr>
                <w:b/>
                <w:sz w:val="18"/>
              </w:rPr>
              <w:t>General</w:t>
            </w:r>
          </w:p>
        </w:tc>
        <w:tc>
          <w:tcPr>
            <w:tcW w:w="6392" w:type="dxa"/>
            <w:tcBorders>
              <w:left w:val="nil"/>
            </w:tcBorders>
          </w:tcPr>
          <w:p>
            <w:pPr>
              <w:pStyle w:val="TableParagraph"/>
              <w:spacing w:before="114"/>
              <w:ind w:left="130" w:right="333"/>
              <w:rPr>
                <w:sz w:val="18"/>
              </w:rPr>
            </w:pPr>
            <w:r>
              <w:rPr>
                <w:sz w:val="18"/>
              </w:rPr>
              <w:t>Updated references to this ‘Arden Station Precinct Development Plan’ and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‘Arden Station precinct’ following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re-naming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stations by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RPV</w:t>
            </w:r>
          </w:p>
        </w:tc>
      </w:tr>
      <w:tr>
        <w:trPr>
          <w:trHeight w:val="948" w:hRule="atLeast"/>
        </w:trPr>
        <w:tc>
          <w:tcPr>
            <w:tcW w:w="2104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Executive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Summary</w:t>
            </w:r>
          </w:p>
        </w:tc>
        <w:tc>
          <w:tcPr>
            <w:tcW w:w="6392" w:type="dxa"/>
            <w:tcBorders>
              <w:left w:val="nil"/>
            </w:tcBorders>
          </w:tcPr>
          <w:p>
            <w:pPr>
              <w:pStyle w:val="TableParagraph"/>
              <w:ind w:left="130" w:right="258"/>
              <w:jc w:val="both"/>
              <w:rPr>
                <w:sz w:val="18"/>
              </w:rPr>
            </w:pPr>
            <w:r>
              <w:rPr>
                <w:sz w:val="18"/>
              </w:rPr>
              <w:t>Details added to outline that this Arden Station Precinct Development Plan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was previously approved by the Minister for Planning on Thursday 8 March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2018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CYP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now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seeking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amendment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architectural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layout,</w:t>
            </w:r>
          </w:p>
          <w:p>
            <w:pPr>
              <w:pStyle w:val="TableParagraph"/>
              <w:spacing w:line="187" w:lineRule="exact" w:before="1"/>
              <w:ind w:left="130"/>
              <w:jc w:val="both"/>
              <w:rPr>
                <w:sz w:val="18"/>
              </w:rPr>
            </w:pPr>
            <w:r>
              <w:rPr>
                <w:sz w:val="18"/>
              </w:rPr>
              <w:t>landscape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design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public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realm design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Development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Plan</w:t>
            </w:r>
          </w:p>
        </w:tc>
      </w:tr>
      <w:tr>
        <w:trPr>
          <w:trHeight w:val="741" w:hRule="atLeast"/>
        </w:trPr>
        <w:tc>
          <w:tcPr>
            <w:tcW w:w="2104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Introduction</w:t>
            </w:r>
          </w:p>
        </w:tc>
        <w:tc>
          <w:tcPr>
            <w:tcW w:w="6392" w:type="dxa"/>
            <w:tcBorders>
              <w:left w:val="nil"/>
            </w:tcBorders>
          </w:tcPr>
          <w:p>
            <w:pPr>
              <w:pStyle w:val="TableParagraph"/>
              <w:ind w:left="130" w:right="83"/>
              <w:rPr>
                <w:sz w:val="18"/>
              </w:rPr>
            </w:pPr>
            <w:r>
              <w:rPr>
                <w:sz w:val="18"/>
              </w:rPr>
              <w:t>Details added to outline that this Arden Station Precinct Development Plan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was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previously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approved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Minister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Planning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8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March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2018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</w:p>
          <w:p>
            <w:pPr>
              <w:pStyle w:val="TableParagraph"/>
              <w:spacing w:line="187" w:lineRule="exact" w:before="1"/>
              <w:ind w:left="130"/>
              <w:rPr>
                <w:sz w:val="18"/>
              </w:rPr>
            </w:pPr>
            <w:r>
              <w:rPr>
                <w:sz w:val="18"/>
              </w:rPr>
              <w:t>that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CYP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now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seeking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amendment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Development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Plan</w:t>
            </w:r>
          </w:p>
        </w:tc>
      </w:tr>
      <w:tr>
        <w:trPr>
          <w:trHeight w:val="947" w:hRule="atLeast"/>
        </w:trPr>
        <w:tc>
          <w:tcPr>
            <w:tcW w:w="2104" w:type="dxa"/>
            <w:tcBorders>
              <w:right w:val="nil"/>
            </w:tcBorders>
          </w:tcPr>
          <w:p>
            <w:pPr>
              <w:pStyle w:val="TableParagraph"/>
              <w:ind w:right="115"/>
              <w:rPr>
                <w:b/>
                <w:sz w:val="18"/>
              </w:rPr>
            </w:pPr>
            <w:r>
              <w:rPr>
                <w:b/>
                <w:sz w:val="18"/>
              </w:rPr>
              <w:t>1.2 Incorporated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Document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Conditions</w:t>
            </w:r>
          </w:p>
        </w:tc>
        <w:tc>
          <w:tcPr>
            <w:tcW w:w="6392" w:type="dxa"/>
            <w:tcBorders>
              <w:left w:val="nil"/>
            </w:tcBorders>
          </w:tcPr>
          <w:p>
            <w:pPr>
              <w:pStyle w:val="TableParagraph"/>
              <w:ind w:left="130" w:right="83"/>
              <w:rPr>
                <w:sz w:val="18"/>
              </w:rPr>
            </w:pPr>
            <w:r>
              <w:rPr>
                <w:sz w:val="18"/>
              </w:rPr>
              <w:t>Table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2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Clauses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4.7.5,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4.7.6,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4.7.7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4.7.8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responses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amended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reflect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the revised Incorporated Document (May 2018), Arden Station Precinct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Development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approval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process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amendment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going</w:t>
            </w:r>
          </w:p>
          <w:p>
            <w:pPr>
              <w:pStyle w:val="TableParagraph"/>
              <w:spacing w:line="187" w:lineRule="exact" w:before="0"/>
              <w:ind w:left="130"/>
              <w:rPr>
                <w:sz w:val="18"/>
              </w:rPr>
            </w:pPr>
            <w:r>
              <w:rPr>
                <w:sz w:val="18"/>
              </w:rPr>
              <w:t>forward</w:t>
            </w:r>
          </w:p>
        </w:tc>
      </w:tr>
      <w:tr>
        <w:trPr>
          <w:trHeight w:val="741" w:hRule="atLeast"/>
        </w:trPr>
        <w:tc>
          <w:tcPr>
            <w:tcW w:w="2104" w:type="dxa"/>
            <w:tcBorders>
              <w:right w:val="nil"/>
            </w:tcBorders>
          </w:tcPr>
          <w:p>
            <w:pPr>
              <w:pStyle w:val="TableParagraph"/>
              <w:ind w:right="294"/>
              <w:rPr>
                <w:b/>
                <w:sz w:val="18"/>
              </w:rPr>
            </w:pPr>
            <w:r>
              <w:rPr>
                <w:b/>
                <w:sz w:val="18"/>
              </w:rPr>
              <w:t>1.3.2 Stakeholder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Engagement</w:t>
            </w:r>
            <w:r>
              <w:rPr>
                <w:b/>
                <w:spacing w:val="-13"/>
                <w:sz w:val="18"/>
              </w:rPr>
              <w:t> </w:t>
            </w:r>
            <w:r>
              <w:rPr>
                <w:b/>
                <w:sz w:val="18"/>
              </w:rPr>
              <w:t>during</w:t>
            </w:r>
          </w:p>
          <w:p>
            <w:pPr>
              <w:pStyle w:val="TableParagraph"/>
              <w:spacing w:line="187" w:lineRule="exact" w:before="1"/>
              <w:rPr>
                <w:b/>
                <w:sz w:val="18"/>
              </w:rPr>
            </w:pPr>
            <w:r>
              <w:rPr>
                <w:b/>
                <w:sz w:val="18"/>
              </w:rPr>
              <w:t>detailed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design</w:t>
            </w:r>
          </w:p>
        </w:tc>
        <w:tc>
          <w:tcPr>
            <w:tcW w:w="6392" w:type="dxa"/>
            <w:tcBorders>
              <w:left w:val="nil"/>
            </w:tcBorders>
          </w:tcPr>
          <w:p>
            <w:pPr>
              <w:pStyle w:val="TableParagraph"/>
              <w:ind w:left="130" w:right="633"/>
              <w:rPr>
                <w:sz w:val="18"/>
              </w:rPr>
            </w:pPr>
            <w:r>
              <w:rPr>
                <w:sz w:val="18"/>
              </w:rPr>
              <w:t>New section added to outline stakeholder engagement post-Ministerial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Approval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 this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Station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Precinct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Development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Plan,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during</w:t>
            </w:r>
          </w:p>
          <w:p>
            <w:pPr>
              <w:pStyle w:val="TableParagraph"/>
              <w:spacing w:line="187" w:lineRule="exact" w:before="1"/>
              <w:ind w:left="130"/>
              <w:rPr>
                <w:sz w:val="18"/>
              </w:rPr>
            </w:pPr>
            <w:r>
              <w:rPr>
                <w:sz w:val="18"/>
              </w:rPr>
              <w:t>detailed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design</w:t>
            </w:r>
          </w:p>
        </w:tc>
      </w:tr>
      <w:tr>
        <w:trPr>
          <w:trHeight w:val="535" w:hRule="atLeast"/>
        </w:trPr>
        <w:tc>
          <w:tcPr>
            <w:tcW w:w="2104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Figure 1</w:t>
            </w:r>
          </w:p>
        </w:tc>
        <w:tc>
          <w:tcPr>
            <w:tcW w:w="6392" w:type="dxa"/>
            <w:tcBorders>
              <w:left w:val="nil"/>
            </w:tcBorders>
          </w:tcPr>
          <w:p>
            <w:pPr>
              <w:pStyle w:val="TableParagraph"/>
              <w:spacing w:line="206" w:lineRule="exact" w:before="103"/>
              <w:ind w:left="130" w:right="663"/>
              <w:rPr>
                <w:sz w:val="18"/>
              </w:rPr>
            </w:pPr>
            <w:r>
              <w:rPr>
                <w:sz w:val="18"/>
              </w:rPr>
              <w:t>Updated to include the additional consultation process post-Ministerial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Approval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this Arden Station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Precinct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Development Plan</w:t>
            </w:r>
          </w:p>
        </w:tc>
      </w:tr>
      <w:tr>
        <w:trPr>
          <w:trHeight w:val="1067" w:hRule="atLeast"/>
        </w:trPr>
        <w:tc>
          <w:tcPr>
            <w:tcW w:w="2104" w:type="dxa"/>
            <w:tcBorders>
              <w:right w:val="nil"/>
            </w:tcBorders>
          </w:tcPr>
          <w:p>
            <w:pPr>
              <w:pStyle w:val="TableParagraph"/>
              <w:ind w:right="291"/>
              <w:rPr>
                <w:b/>
                <w:sz w:val="18"/>
              </w:rPr>
            </w:pPr>
            <w:r>
              <w:rPr>
                <w:b/>
                <w:sz w:val="18"/>
              </w:rPr>
              <w:t>2.1 Broader context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and strategic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positioning</w:t>
            </w:r>
          </w:p>
        </w:tc>
        <w:tc>
          <w:tcPr>
            <w:tcW w:w="6392" w:type="dxa"/>
            <w:tcBorders>
              <w:left w:val="nil"/>
            </w:tcBorders>
          </w:tcPr>
          <w:p>
            <w:pPr>
              <w:pStyle w:val="TableParagraph"/>
              <w:ind w:left="130" w:right="453"/>
              <w:rPr>
                <w:sz w:val="18"/>
              </w:rPr>
            </w:pPr>
            <w:r>
              <w:rPr>
                <w:sz w:val="18"/>
              </w:rPr>
              <w:t>Updated to reflect that the Arden Vision (2018) and draft Arden Structure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(2020)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prepared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apply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 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precinct</w:t>
            </w:r>
          </w:p>
          <w:p>
            <w:pPr>
              <w:pStyle w:val="TableParagraph"/>
              <w:spacing w:line="206" w:lineRule="exact" w:before="102"/>
              <w:ind w:left="130" w:right="663"/>
              <w:rPr>
                <w:sz w:val="18"/>
              </w:rPr>
            </w:pPr>
            <w:r>
              <w:rPr>
                <w:sz w:val="18"/>
              </w:rPr>
              <w:t>Details added regarding the consistency of this Arden Station Precinct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Development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Plan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 draft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Arden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Structure Plan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(2020)</w:t>
            </w:r>
          </w:p>
        </w:tc>
      </w:tr>
      <w:tr>
        <w:trPr>
          <w:trHeight w:val="532" w:hRule="atLeast"/>
        </w:trPr>
        <w:tc>
          <w:tcPr>
            <w:tcW w:w="2104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Figure 3</w:t>
            </w:r>
          </w:p>
        </w:tc>
        <w:tc>
          <w:tcPr>
            <w:tcW w:w="6392" w:type="dxa"/>
            <w:tcBorders>
              <w:left w:val="nil"/>
            </w:tcBorders>
          </w:tcPr>
          <w:p>
            <w:pPr>
              <w:pStyle w:val="TableParagraph"/>
              <w:spacing w:line="206" w:lineRule="exact" w:before="100"/>
              <w:ind w:left="130" w:right="83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Draft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Arden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Vision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Framework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has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replaced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highlights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from the recent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draft Arden Structure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Plan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(2020)</w:t>
            </w:r>
          </w:p>
        </w:tc>
      </w:tr>
      <w:tr>
        <w:trPr>
          <w:trHeight w:val="741" w:hRule="atLeast"/>
        </w:trPr>
        <w:tc>
          <w:tcPr>
            <w:tcW w:w="2104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Scope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works in</w:t>
            </w:r>
          </w:p>
          <w:p>
            <w:pPr>
              <w:pStyle w:val="TableParagraph"/>
              <w:spacing w:line="206" w:lineRule="exact" w:before="0"/>
              <w:ind w:right="791"/>
              <w:rPr>
                <w:b/>
                <w:sz w:val="18"/>
              </w:rPr>
            </w:pPr>
            <w:r>
              <w:rPr>
                <w:b/>
                <w:sz w:val="18"/>
              </w:rPr>
              <w:t>Arden Station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precinct</w:t>
            </w:r>
          </w:p>
        </w:tc>
        <w:tc>
          <w:tcPr>
            <w:tcW w:w="6392" w:type="dxa"/>
            <w:tcBorders>
              <w:left w:val="nil"/>
            </w:tcBorders>
          </w:tcPr>
          <w:p>
            <w:pPr>
              <w:pStyle w:val="TableParagraph"/>
              <w:ind w:left="130"/>
              <w:rPr>
                <w:sz w:val="18"/>
              </w:rPr>
            </w:pPr>
            <w:r>
              <w:rPr>
                <w:sz w:val="18"/>
              </w:rPr>
              <w:t>Updated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reflect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amendments 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scope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works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including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</w:p>
          <w:p>
            <w:pPr>
              <w:pStyle w:val="TableParagraph"/>
              <w:spacing w:line="206" w:lineRule="exact" w:before="0"/>
              <w:ind w:left="130" w:right="543"/>
              <w:rPr>
                <w:sz w:val="18"/>
              </w:rPr>
            </w:pPr>
            <w:r>
              <w:rPr>
                <w:sz w:val="18"/>
              </w:rPr>
              <w:t>inclusion of a separated raised bicycle path on the west side of Laurens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Street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 that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 flood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management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area that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proposed 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</w:p>
        </w:tc>
      </w:tr>
    </w:tbl>
    <w:p>
      <w:pPr>
        <w:spacing w:after="0" w:line="206" w:lineRule="exact"/>
        <w:rPr>
          <w:sz w:val="18"/>
        </w:rPr>
        <w:sectPr>
          <w:pgSz w:w="11910" w:h="16840"/>
          <w:pgMar w:header="936" w:footer="365" w:top="1900" w:bottom="640" w:left="94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tbl>
      <w:tblPr>
        <w:tblW w:w="0" w:type="auto"/>
        <w:jc w:val="left"/>
        <w:tblInd w:w="491" w:type="dxa"/>
        <w:tblBorders>
          <w:top w:val="single" w:sz="4" w:space="0" w:color="00BBE9"/>
          <w:left w:val="single" w:sz="4" w:space="0" w:color="00BBE9"/>
          <w:bottom w:val="single" w:sz="4" w:space="0" w:color="00BBE9"/>
          <w:right w:val="single" w:sz="4" w:space="0" w:color="00BBE9"/>
          <w:insideH w:val="single" w:sz="4" w:space="0" w:color="00BBE9"/>
          <w:insideV w:val="single" w:sz="4" w:space="0" w:color="00BB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9"/>
        <w:gridCol w:w="6546"/>
      </w:tblGrid>
      <w:tr>
        <w:trPr>
          <w:trHeight w:val="340" w:hRule="atLeast"/>
        </w:trPr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line="192" w:lineRule="exact" w:before="128"/>
              <w:ind w:left="11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Section</w:t>
            </w:r>
          </w:p>
        </w:tc>
        <w:tc>
          <w:tcPr>
            <w:tcW w:w="6546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line="192" w:lineRule="exact" w:before="128"/>
              <w:ind w:left="28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Amendment</w:t>
            </w:r>
          </w:p>
        </w:tc>
      </w:tr>
      <w:tr>
        <w:trPr>
          <w:trHeight w:val="409" w:hRule="atLeast"/>
        </w:trPr>
        <w:tc>
          <w:tcPr>
            <w:tcW w:w="8495" w:type="dxa"/>
            <w:gridSpan w:val="2"/>
          </w:tcPr>
          <w:p>
            <w:pPr>
              <w:pStyle w:val="TableParagraph"/>
              <w:spacing w:line="206" w:lineRule="exact" w:before="0"/>
              <w:ind w:left="2229" w:right="142"/>
              <w:rPr>
                <w:sz w:val="18"/>
              </w:rPr>
            </w:pPr>
            <w:r>
              <w:rPr>
                <w:sz w:val="18"/>
              </w:rPr>
              <w:t>previous submission of this Development Plan will be maintained as grassed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areas</w:t>
            </w:r>
          </w:p>
        </w:tc>
      </w:tr>
      <w:tr>
        <w:trPr>
          <w:trHeight w:val="326" w:hRule="atLeast"/>
        </w:trPr>
        <w:tc>
          <w:tcPr>
            <w:tcW w:w="1949" w:type="dxa"/>
            <w:tcBorders>
              <w:right w:val="nil"/>
            </w:tcBorders>
          </w:tcPr>
          <w:p>
            <w:pPr>
              <w:pStyle w:val="TableParagraph"/>
              <w:spacing w:line="189" w:lineRule="exact" w:before="117"/>
              <w:rPr>
                <w:b/>
                <w:sz w:val="18"/>
              </w:rPr>
            </w:pPr>
            <w:r>
              <w:rPr>
                <w:b/>
                <w:sz w:val="18"/>
              </w:rPr>
              <w:t>Figure 4</w:t>
            </w:r>
          </w:p>
        </w:tc>
        <w:tc>
          <w:tcPr>
            <w:tcW w:w="6546" w:type="dxa"/>
            <w:tcBorders>
              <w:left w:val="nil"/>
            </w:tcBorders>
          </w:tcPr>
          <w:p>
            <w:pPr>
              <w:pStyle w:val="TableParagraph"/>
              <w:spacing w:line="189" w:lineRule="exact" w:before="117"/>
              <w:ind w:left="285"/>
              <w:rPr>
                <w:sz w:val="18"/>
              </w:rPr>
            </w:pPr>
            <w:r>
              <w:rPr>
                <w:sz w:val="18"/>
              </w:rPr>
              <w:t>Figure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amended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reflect 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revised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design</w:t>
            </w:r>
          </w:p>
        </w:tc>
      </w:tr>
      <w:tr>
        <w:trPr>
          <w:trHeight w:val="1067" w:hRule="atLeast"/>
        </w:trPr>
        <w:tc>
          <w:tcPr>
            <w:tcW w:w="1949" w:type="dxa"/>
            <w:tcBorders>
              <w:right w:val="nil"/>
            </w:tcBorders>
          </w:tcPr>
          <w:p>
            <w:pPr>
              <w:pStyle w:val="TableParagraph"/>
              <w:ind w:right="706"/>
              <w:rPr>
                <w:b/>
                <w:sz w:val="18"/>
              </w:rPr>
            </w:pPr>
            <w:r>
              <w:rPr>
                <w:b/>
                <w:sz w:val="18"/>
              </w:rPr>
              <w:t>4.1 Design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development</w:t>
            </w:r>
          </w:p>
        </w:tc>
        <w:tc>
          <w:tcPr>
            <w:tcW w:w="6546" w:type="dxa"/>
            <w:tcBorders>
              <w:left w:val="nil"/>
            </w:tcBorders>
          </w:tcPr>
          <w:p>
            <w:pPr>
              <w:pStyle w:val="TableParagraph"/>
              <w:ind w:left="285" w:right="412"/>
              <w:rPr>
                <w:sz w:val="18"/>
              </w:rPr>
            </w:pPr>
            <w:r>
              <w:rPr>
                <w:sz w:val="18"/>
              </w:rPr>
              <w:t>Additional details added to explain the design development process post-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Ministerial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Approval.</w:t>
            </w:r>
          </w:p>
          <w:p>
            <w:pPr>
              <w:pStyle w:val="TableParagraph"/>
              <w:spacing w:line="206" w:lineRule="exact" w:before="102"/>
              <w:ind w:left="285"/>
              <w:rPr>
                <w:sz w:val="18"/>
              </w:rPr>
            </w:pPr>
            <w:r>
              <w:rPr>
                <w:sz w:val="18"/>
              </w:rPr>
              <w:t>Changes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found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Appendix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Architectural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Plans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Appendix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C: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Landscape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Plans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and Elevations.</w:t>
            </w:r>
          </w:p>
        </w:tc>
      </w:tr>
      <w:tr>
        <w:trPr>
          <w:trHeight w:val="741" w:hRule="atLeast"/>
        </w:trPr>
        <w:tc>
          <w:tcPr>
            <w:tcW w:w="1949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Table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3</w:t>
            </w:r>
          </w:p>
        </w:tc>
        <w:tc>
          <w:tcPr>
            <w:tcW w:w="6546" w:type="dxa"/>
            <w:tcBorders>
              <w:lef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Updated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reflect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that 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Station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precinct design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response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</w:p>
          <w:p>
            <w:pPr>
              <w:pStyle w:val="TableParagraph"/>
              <w:spacing w:line="206" w:lineRule="exact" w:before="0"/>
              <w:ind w:left="285" w:right="263"/>
              <w:rPr>
                <w:sz w:val="18"/>
              </w:rPr>
            </w:pPr>
            <w:r>
              <w:rPr>
                <w:sz w:val="18"/>
              </w:rPr>
              <w:t>design principles for Metro Tunnel Project is consistent with the draft Arden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Structure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Plan (2020)</w:t>
            </w:r>
          </w:p>
        </w:tc>
      </w:tr>
      <w:tr>
        <w:trPr>
          <w:trHeight w:val="2279" w:hRule="atLeast"/>
        </w:trPr>
        <w:tc>
          <w:tcPr>
            <w:tcW w:w="1949" w:type="dxa"/>
            <w:tcBorders>
              <w:right w:val="nil"/>
            </w:tcBorders>
          </w:tcPr>
          <w:p>
            <w:pPr>
              <w:pStyle w:val="TableParagraph"/>
              <w:ind w:right="256"/>
              <w:rPr>
                <w:b/>
                <w:sz w:val="18"/>
              </w:rPr>
            </w:pPr>
            <w:r>
              <w:rPr>
                <w:b/>
                <w:sz w:val="18"/>
              </w:rPr>
              <w:t>4.3.1 Architectural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response</w:t>
            </w:r>
          </w:p>
        </w:tc>
        <w:tc>
          <w:tcPr>
            <w:tcW w:w="6546" w:type="dxa"/>
            <w:tcBorders>
              <w:left w:val="nil"/>
            </w:tcBorders>
          </w:tcPr>
          <w:p>
            <w:pPr>
              <w:pStyle w:val="TableParagraph"/>
              <w:ind w:left="285"/>
              <w:rPr>
                <w:sz w:val="18"/>
              </w:rPr>
            </w:pPr>
            <w:r>
              <w:rPr>
                <w:sz w:val="18"/>
              </w:rPr>
              <w:t>Updated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 reflect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that: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569" w:val="left" w:leader="none"/>
                <w:tab w:pos="570" w:val="left" w:leader="none"/>
              </w:tabs>
              <w:spacing w:line="240" w:lineRule="auto" w:before="119" w:after="0"/>
              <w:ind w:left="569" w:right="189" w:hanging="284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northern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retail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terrace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interfacing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retail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entrances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raised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569" w:val="left" w:leader="none"/>
                <w:tab w:pos="570" w:val="left" w:leader="none"/>
              </w:tabs>
              <w:spacing w:line="240" w:lineRule="auto" w:before="120" w:after="0"/>
              <w:ind w:left="569" w:right="0" w:hanging="285"/>
              <w:jc w:val="left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number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entry arches has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reduced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15.</w:t>
            </w:r>
          </w:p>
          <w:p>
            <w:pPr>
              <w:pStyle w:val="TableParagraph"/>
              <w:spacing w:before="118"/>
              <w:ind w:left="285" w:right="692"/>
              <w:rPr>
                <w:sz w:val="18"/>
              </w:rPr>
            </w:pPr>
            <w:r>
              <w:rPr>
                <w:sz w:val="18"/>
              </w:rPr>
              <w:t>Additional details also added to show how the Arden Station design is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consistent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the draft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Structure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Plan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(2020).</w:t>
            </w:r>
          </w:p>
          <w:p>
            <w:pPr>
              <w:pStyle w:val="TableParagraph"/>
              <w:spacing w:line="210" w:lineRule="atLeast" w:before="95"/>
              <w:ind w:left="285"/>
              <w:rPr>
                <w:sz w:val="18"/>
              </w:rPr>
            </w:pPr>
            <w:r>
              <w:rPr>
                <w:sz w:val="18"/>
              </w:rPr>
              <w:t>Changes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found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Appendix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Architectural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Plans,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including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General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Arrangement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Site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Plan TAS-CYP-AR-00-DRG-ARC-ARD-711000-DP.</w:t>
            </w:r>
          </w:p>
        </w:tc>
      </w:tr>
      <w:tr>
        <w:trPr>
          <w:trHeight w:val="532" w:hRule="atLeast"/>
        </w:trPr>
        <w:tc>
          <w:tcPr>
            <w:tcW w:w="1949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Figure 5</w:t>
            </w:r>
          </w:p>
        </w:tc>
        <w:tc>
          <w:tcPr>
            <w:tcW w:w="6546" w:type="dxa"/>
            <w:tcBorders>
              <w:left w:val="nil"/>
            </w:tcBorders>
          </w:tcPr>
          <w:p>
            <w:pPr>
              <w:pStyle w:val="TableParagraph"/>
              <w:spacing w:line="206" w:lineRule="exact" w:before="100"/>
              <w:ind w:left="285" w:right="113"/>
              <w:rPr>
                <w:sz w:val="18"/>
              </w:rPr>
            </w:pPr>
            <w:r>
              <w:rPr>
                <w:sz w:val="18"/>
              </w:rPr>
              <w:t>Figure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5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(North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Melbourne)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precinct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components)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removed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as all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Arden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Station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precinct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components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now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shown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Figure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4</w:t>
            </w:r>
          </w:p>
        </w:tc>
      </w:tr>
      <w:tr>
        <w:trPr>
          <w:trHeight w:val="2637" w:hRule="atLeast"/>
        </w:trPr>
        <w:tc>
          <w:tcPr>
            <w:tcW w:w="1949" w:type="dxa"/>
            <w:tcBorders>
              <w:right w:val="nil"/>
            </w:tcBorders>
          </w:tcPr>
          <w:p>
            <w:pPr>
              <w:pStyle w:val="TableParagraph"/>
              <w:spacing w:before="121"/>
              <w:ind w:right="426"/>
              <w:rPr>
                <w:b/>
                <w:sz w:val="18"/>
              </w:rPr>
            </w:pPr>
            <w:r>
              <w:rPr>
                <w:b/>
                <w:sz w:val="18"/>
              </w:rPr>
              <w:t>4.3.2 Landscape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response</w:t>
            </w:r>
          </w:p>
        </w:tc>
        <w:tc>
          <w:tcPr>
            <w:tcW w:w="6546" w:type="dxa"/>
            <w:tcBorders>
              <w:left w:val="nil"/>
            </w:tcBorders>
          </w:tcPr>
          <w:p>
            <w:pPr>
              <w:pStyle w:val="TableParagraph"/>
              <w:spacing w:before="121"/>
              <w:ind w:left="285"/>
              <w:rPr>
                <w:sz w:val="18"/>
              </w:rPr>
            </w:pPr>
            <w:r>
              <w:rPr>
                <w:sz w:val="18"/>
              </w:rPr>
              <w:t>Updated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reflect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amendments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tree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removal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retention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well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tree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planting</w:t>
            </w:r>
          </w:p>
          <w:p>
            <w:pPr>
              <w:pStyle w:val="TableParagraph"/>
              <w:ind w:left="285" w:right="263"/>
              <w:rPr>
                <w:sz w:val="18"/>
              </w:rPr>
            </w:pPr>
            <w:r>
              <w:rPr>
                <w:sz w:val="18"/>
              </w:rPr>
              <w:t>Details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added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explain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flood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management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addressed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through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the precinct-wide flood management strategy contained in the draft Arden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Structure Plan (2020). As such, the flood management area that was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proposed in the previous submission of this Development Plan will be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maintained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grassed area.</w:t>
            </w:r>
          </w:p>
          <w:p>
            <w:pPr>
              <w:pStyle w:val="TableParagraph"/>
              <w:spacing w:before="120"/>
              <w:ind w:left="285"/>
              <w:rPr>
                <w:sz w:val="18"/>
              </w:rPr>
            </w:pPr>
            <w:r>
              <w:rPr>
                <w:sz w:val="18"/>
              </w:rPr>
              <w:t>Changes can be found in Appendix C: Landscape Plans and Elevations,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including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Landscape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Architecture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Planting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Plan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–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Sheets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01-11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TAS-CYP-</w:t>
            </w:r>
          </w:p>
          <w:p>
            <w:pPr>
              <w:pStyle w:val="TableParagraph"/>
              <w:spacing w:line="206" w:lineRule="exact" w:before="0"/>
              <w:ind w:left="285" w:right="434"/>
              <w:rPr>
                <w:sz w:val="18"/>
              </w:rPr>
            </w:pPr>
            <w:r>
              <w:rPr>
                <w:sz w:val="18"/>
              </w:rPr>
              <w:t>AR-00-DRG-AUD-ARD-712201-DP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TAS-CYP-AR-00-DRG-AUD-ARD-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712211-DP.</w:t>
            </w:r>
          </w:p>
        </w:tc>
      </w:tr>
      <w:tr>
        <w:trPr>
          <w:trHeight w:val="534" w:hRule="atLeast"/>
        </w:trPr>
        <w:tc>
          <w:tcPr>
            <w:tcW w:w="1949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Figure 6</w:t>
            </w:r>
          </w:p>
        </w:tc>
        <w:tc>
          <w:tcPr>
            <w:tcW w:w="6546" w:type="dxa"/>
            <w:tcBorders>
              <w:left w:val="nil"/>
            </w:tcBorders>
          </w:tcPr>
          <w:p>
            <w:pPr>
              <w:pStyle w:val="TableParagraph"/>
              <w:spacing w:line="210" w:lineRule="atLeast" w:before="96"/>
              <w:ind w:left="285" w:right="602"/>
              <w:rPr>
                <w:sz w:val="18"/>
              </w:rPr>
            </w:pPr>
            <w:r>
              <w:rPr>
                <w:sz w:val="18"/>
              </w:rPr>
              <w:t>New figure added to illustrate the Arden flood management strategy as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identified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draft Arden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Structure Plan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(2020)</w:t>
            </w:r>
          </w:p>
        </w:tc>
      </w:tr>
      <w:tr>
        <w:trPr>
          <w:trHeight w:val="741" w:hRule="atLeast"/>
        </w:trPr>
        <w:tc>
          <w:tcPr>
            <w:tcW w:w="1949" w:type="dxa"/>
            <w:tcBorders>
              <w:right w:val="nil"/>
            </w:tcBorders>
          </w:tcPr>
          <w:p>
            <w:pPr>
              <w:pStyle w:val="TableParagraph"/>
              <w:ind w:right="296"/>
              <w:rPr>
                <w:b/>
                <w:sz w:val="18"/>
              </w:rPr>
            </w:pPr>
            <w:r>
              <w:rPr>
                <w:b/>
                <w:sz w:val="18"/>
              </w:rPr>
              <w:t>4.3.3 Public realm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response</w:t>
            </w:r>
          </w:p>
        </w:tc>
        <w:tc>
          <w:tcPr>
            <w:tcW w:w="6546" w:type="dxa"/>
            <w:tcBorders>
              <w:left w:val="nil"/>
            </w:tcBorders>
          </w:tcPr>
          <w:p>
            <w:pPr>
              <w:pStyle w:val="TableParagraph"/>
              <w:ind w:left="285" w:right="263"/>
              <w:rPr>
                <w:sz w:val="18"/>
              </w:rPr>
            </w:pPr>
            <w:r>
              <w:rPr>
                <w:sz w:val="18"/>
              </w:rPr>
              <w:t>Updated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reflect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increased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width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Lane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amendments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public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realm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features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along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Barwise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Street,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Laurens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Lane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Station</w:t>
            </w:r>
          </w:p>
          <w:p>
            <w:pPr>
              <w:pStyle w:val="TableParagraph"/>
              <w:spacing w:line="187" w:lineRule="exact" w:before="1"/>
              <w:ind w:left="285"/>
              <w:rPr>
                <w:sz w:val="18"/>
              </w:rPr>
            </w:pPr>
            <w:r>
              <w:rPr>
                <w:sz w:val="18"/>
              </w:rPr>
              <w:t>Lane.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Changes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can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found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Appendix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Public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Realm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Plans.</w:t>
            </w:r>
          </w:p>
        </w:tc>
      </w:tr>
      <w:tr>
        <w:trPr>
          <w:trHeight w:val="948" w:hRule="atLeast"/>
        </w:trPr>
        <w:tc>
          <w:tcPr>
            <w:tcW w:w="1949" w:type="dxa"/>
            <w:tcBorders>
              <w:right w:val="nil"/>
            </w:tcBorders>
          </w:tcPr>
          <w:p>
            <w:pPr>
              <w:pStyle w:val="TableParagraph"/>
              <w:ind w:right="376"/>
              <w:rPr>
                <w:b/>
                <w:sz w:val="18"/>
              </w:rPr>
            </w:pPr>
            <w:r>
              <w:rPr>
                <w:b/>
                <w:sz w:val="18"/>
              </w:rPr>
              <w:t>4.3.4 Community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experience</w:t>
            </w:r>
          </w:p>
        </w:tc>
        <w:tc>
          <w:tcPr>
            <w:tcW w:w="6546" w:type="dxa"/>
            <w:tcBorders>
              <w:left w:val="nil"/>
            </w:tcBorders>
          </w:tcPr>
          <w:p>
            <w:pPr>
              <w:pStyle w:val="TableParagraph"/>
              <w:ind w:left="285" w:right="113"/>
              <w:rPr>
                <w:sz w:val="18"/>
              </w:rPr>
            </w:pPr>
            <w:r>
              <w:rPr>
                <w:sz w:val="18"/>
              </w:rPr>
              <w:t>Updated to reflect the new separated bicycle path on the west side of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Laurens Street and relocation of the </w:t>
            </w:r>
            <w:r>
              <w:rPr>
                <w:i/>
                <w:sz w:val="18"/>
              </w:rPr>
              <w:t>Disability Discrimination Act 2002 </w:t>
            </w:r>
            <w:r>
              <w:rPr>
                <w:sz w:val="18"/>
              </w:rPr>
              <w:t>(DDA)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ramp from Barwise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Street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station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entry 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Laurens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Street.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Changes</w:t>
            </w:r>
          </w:p>
          <w:p>
            <w:pPr>
              <w:pStyle w:val="TableParagraph"/>
              <w:spacing w:line="187" w:lineRule="exact" w:before="1"/>
              <w:ind w:left="285"/>
              <w:rPr>
                <w:sz w:val="18"/>
              </w:rPr>
            </w:pPr>
            <w:r>
              <w:rPr>
                <w:sz w:val="18"/>
              </w:rPr>
              <w:t>can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found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Appendix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D: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Public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Realm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Plans.</w:t>
            </w:r>
          </w:p>
        </w:tc>
      </w:tr>
      <w:tr>
        <w:trPr>
          <w:trHeight w:val="1154" w:hRule="atLeast"/>
        </w:trPr>
        <w:tc>
          <w:tcPr>
            <w:tcW w:w="1949" w:type="dxa"/>
            <w:tcBorders>
              <w:right w:val="nil"/>
            </w:tcBorders>
          </w:tcPr>
          <w:p>
            <w:pPr>
              <w:pStyle w:val="TableParagraph"/>
              <w:ind w:right="406"/>
              <w:rPr>
                <w:b/>
                <w:sz w:val="18"/>
              </w:rPr>
            </w:pPr>
            <w:r>
              <w:rPr>
                <w:b/>
                <w:sz w:val="18"/>
              </w:rPr>
              <w:t>4.3.4.1 Universal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access</w:t>
            </w:r>
          </w:p>
        </w:tc>
        <w:tc>
          <w:tcPr>
            <w:tcW w:w="6546" w:type="dxa"/>
            <w:tcBorders>
              <w:left w:val="nil"/>
            </w:tcBorders>
          </w:tcPr>
          <w:p>
            <w:pPr>
              <w:pStyle w:val="TableParagraph"/>
              <w:ind w:left="285" w:right="102"/>
              <w:rPr>
                <w:sz w:val="18"/>
              </w:rPr>
            </w:pPr>
            <w:r>
              <w:rPr>
                <w:sz w:val="18"/>
              </w:rPr>
              <w:t>Updated to reflect the relocation of the DDA ramp from Barwise Street to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station entry on Laurens Street, addition of the new stairs and DDA ramp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from Station Lane at the buildings rear and relocation of the Changing Places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facility 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retail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units.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Changes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found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Appendix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D: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Public Realm</w:t>
            </w:r>
          </w:p>
          <w:p>
            <w:pPr>
              <w:pStyle w:val="TableParagraph"/>
              <w:spacing w:line="187" w:lineRule="exact" w:before="0"/>
              <w:ind w:left="285"/>
              <w:rPr>
                <w:sz w:val="18"/>
              </w:rPr>
            </w:pPr>
            <w:r>
              <w:rPr>
                <w:sz w:val="18"/>
              </w:rPr>
              <w:t>Plans.</w:t>
            </w:r>
          </w:p>
        </w:tc>
      </w:tr>
      <w:tr>
        <w:trPr>
          <w:trHeight w:val="534" w:hRule="atLeast"/>
        </w:trPr>
        <w:tc>
          <w:tcPr>
            <w:tcW w:w="1949" w:type="dxa"/>
            <w:tcBorders>
              <w:right w:val="nil"/>
            </w:tcBorders>
          </w:tcPr>
          <w:p>
            <w:pPr>
              <w:pStyle w:val="TableParagraph"/>
              <w:spacing w:line="206" w:lineRule="exact" w:before="102"/>
              <w:ind w:right="296"/>
              <w:rPr>
                <w:b/>
                <w:sz w:val="18"/>
              </w:rPr>
            </w:pPr>
            <w:r>
              <w:rPr>
                <w:b/>
                <w:sz w:val="18"/>
              </w:rPr>
              <w:t>4.3.4.2 Pedestrian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access</w:t>
            </w:r>
          </w:p>
        </w:tc>
        <w:tc>
          <w:tcPr>
            <w:tcW w:w="6546" w:type="dxa"/>
            <w:tcBorders>
              <w:left w:val="nil"/>
            </w:tcBorders>
          </w:tcPr>
          <w:p>
            <w:pPr>
              <w:pStyle w:val="TableParagraph"/>
              <w:spacing w:before="121"/>
              <w:ind w:left="285"/>
              <w:rPr>
                <w:sz w:val="18"/>
              </w:rPr>
            </w:pPr>
            <w:r>
              <w:rPr>
                <w:sz w:val="18"/>
              </w:rPr>
              <w:t>Updated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reflect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re-orientation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 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ticket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gates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header="936" w:footer="365" w:top="1900" w:bottom="560" w:left="94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tbl>
      <w:tblPr>
        <w:tblW w:w="0" w:type="auto"/>
        <w:jc w:val="left"/>
        <w:tblInd w:w="491" w:type="dxa"/>
        <w:tblBorders>
          <w:top w:val="single" w:sz="4" w:space="0" w:color="00BBE9"/>
          <w:left w:val="single" w:sz="4" w:space="0" w:color="00BBE9"/>
          <w:bottom w:val="single" w:sz="4" w:space="0" w:color="00BBE9"/>
          <w:right w:val="single" w:sz="4" w:space="0" w:color="00BBE9"/>
          <w:insideH w:val="single" w:sz="4" w:space="0" w:color="00BBE9"/>
          <w:insideV w:val="single" w:sz="4" w:space="0" w:color="00BB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0"/>
        <w:gridCol w:w="6386"/>
      </w:tblGrid>
      <w:tr>
        <w:trPr>
          <w:trHeight w:val="340" w:hRule="atLeast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line="192" w:lineRule="exact" w:before="128"/>
              <w:ind w:left="11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Section</w:t>
            </w:r>
          </w:p>
        </w:tc>
        <w:tc>
          <w:tcPr>
            <w:tcW w:w="6386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line="192" w:lineRule="exact" w:before="128"/>
              <w:ind w:left="12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Amendment</w:t>
            </w:r>
          </w:p>
        </w:tc>
      </w:tr>
      <w:tr>
        <w:trPr>
          <w:trHeight w:val="1804" w:hRule="atLeast"/>
        </w:trPr>
        <w:tc>
          <w:tcPr>
            <w:tcW w:w="2110" w:type="dxa"/>
            <w:tcBorders>
              <w:right w:val="nil"/>
            </w:tcBorders>
          </w:tcPr>
          <w:p>
            <w:pPr>
              <w:pStyle w:val="TableParagraph"/>
              <w:spacing w:before="116"/>
              <w:rPr>
                <w:b/>
                <w:sz w:val="18"/>
              </w:rPr>
            </w:pPr>
            <w:r>
              <w:rPr>
                <w:b/>
                <w:sz w:val="18"/>
              </w:rPr>
              <w:t>4.3.4.3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Bicycle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access</w:t>
            </w:r>
          </w:p>
        </w:tc>
        <w:tc>
          <w:tcPr>
            <w:tcW w:w="6386" w:type="dxa"/>
            <w:tcBorders>
              <w:left w:val="nil"/>
            </w:tcBorders>
          </w:tcPr>
          <w:p>
            <w:pPr>
              <w:pStyle w:val="TableParagraph"/>
              <w:spacing w:before="116"/>
              <w:ind w:left="124" w:right="303"/>
              <w:rPr>
                <w:sz w:val="18"/>
              </w:rPr>
            </w:pPr>
            <w:r>
              <w:rPr>
                <w:sz w:val="18"/>
              </w:rPr>
              <w:t>Updated to reflect the incorporation of a new separated raised bicycle path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on the west side of Laurens Street and removal of the undercover bike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storage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south-west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 the station building</w:t>
            </w:r>
          </w:p>
          <w:p>
            <w:pPr>
              <w:pStyle w:val="TableParagraph"/>
              <w:ind w:left="124" w:right="114"/>
              <w:rPr>
                <w:sz w:val="18"/>
              </w:rPr>
            </w:pPr>
            <w:r>
              <w:rPr>
                <w:sz w:val="18"/>
              </w:rPr>
              <w:t>Details added regarding the consistency of the design with the proposed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Strategic Cycling Corridor network identified in the draft Arden Structure Plan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(2020).</w:t>
            </w:r>
          </w:p>
          <w:p>
            <w:pPr>
              <w:pStyle w:val="TableParagraph"/>
              <w:spacing w:line="187" w:lineRule="exact" w:before="120"/>
              <w:ind w:left="124"/>
              <w:rPr>
                <w:sz w:val="18"/>
              </w:rPr>
            </w:pPr>
            <w:r>
              <w:rPr>
                <w:sz w:val="18"/>
              </w:rPr>
              <w:t>Changes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found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Appendix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D: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Public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Realm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Plans.</w:t>
            </w:r>
          </w:p>
        </w:tc>
      </w:tr>
      <w:tr>
        <w:trPr>
          <w:trHeight w:val="535" w:hRule="atLeast"/>
        </w:trPr>
        <w:tc>
          <w:tcPr>
            <w:tcW w:w="2110" w:type="dxa"/>
            <w:tcBorders>
              <w:right w:val="nil"/>
            </w:tcBorders>
          </w:tcPr>
          <w:p>
            <w:pPr>
              <w:pStyle w:val="TableParagraph"/>
              <w:spacing w:line="200" w:lineRule="atLeast" w:before="101"/>
              <w:ind w:right="537"/>
              <w:rPr>
                <w:b/>
                <w:sz w:val="18"/>
              </w:rPr>
            </w:pPr>
            <w:r>
              <w:rPr>
                <w:b/>
                <w:sz w:val="18"/>
              </w:rPr>
              <w:t>4.3.4.4 Transport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integration</w:t>
            </w:r>
          </w:p>
        </w:tc>
        <w:tc>
          <w:tcPr>
            <w:tcW w:w="6386" w:type="dxa"/>
            <w:tcBorders>
              <w:left w:val="nil"/>
            </w:tcBorders>
          </w:tcPr>
          <w:p>
            <w:pPr>
              <w:pStyle w:val="TableParagraph"/>
              <w:spacing w:line="200" w:lineRule="atLeast" w:before="101"/>
              <w:ind w:left="124" w:right="114"/>
              <w:rPr>
                <w:sz w:val="18"/>
              </w:rPr>
            </w:pPr>
            <w:r>
              <w:rPr>
                <w:sz w:val="18"/>
              </w:rPr>
              <w:t>Updated to reflect that the design allows for the future development of 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wider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transport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network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outlined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draft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Arden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Structure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Plan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(2020).</w:t>
            </w:r>
          </w:p>
        </w:tc>
      </w:tr>
      <w:tr>
        <w:trPr>
          <w:trHeight w:val="325" w:hRule="atLeast"/>
        </w:trPr>
        <w:tc>
          <w:tcPr>
            <w:tcW w:w="2110" w:type="dxa"/>
            <w:tcBorders>
              <w:right w:val="nil"/>
            </w:tcBorders>
          </w:tcPr>
          <w:p>
            <w:pPr>
              <w:pStyle w:val="TableParagraph"/>
              <w:spacing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Figure 8</w:t>
            </w:r>
          </w:p>
        </w:tc>
        <w:tc>
          <w:tcPr>
            <w:tcW w:w="6386" w:type="dxa"/>
            <w:tcBorders>
              <w:left w:val="nil"/>
            </w:tcBorders>
          </w:tcPr>
          <w:p>
            <w:pPr>
              <w:pStyle w:val="TableParagraph"/>
              <w:spacing w:line="187" w:lineRule="exact"/>
              <w:ind w:left="124"/>
              <w:rPr>
                <w:sz w:val="18"/>
              </w:rPr>
            </w:pPr>
            <w:r>
              <w:rPr>
                <w:sz w:val="18"/>
              </w:rPr>
              <w:t>Figure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amended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reflect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revised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design</w:t>
            </w:r>
          </w:p>
        </w:tc>
      </w:tr>
      <w:tr>
        <w:trPr>
          <w:trHeight w:val="328" w:hRule="atLeast"/>
        </w:trPr>
        <w:tc>
          <w:tcPr>
            <w:tcW w:w="2110" w:type="dxa"/>
            <w:tcBorders>
              <w:right w:val="nil"/>
            </w:tcBorders>
          </w:tcPr>
          <w:p>
            <w:pPr>
              <w:pStyle w:val="TableParagraph"/>
              <w:spacing w:line="187" w:lineRule="exact" w:before="121"/>
              <w:rPr>
                <w:b/>
                <w:sz w:val="18"/>
              </w:rPr>
            </w:pPr>
            <w:r>
              <w:rPr>
                <w:b/>
                <w:sz w:val="18"/>
              </w:rPr>
              <w:t>Figure 9</w:t>
            </w:r>
          </w:p>
        </w:tc>
        <w:tc>
          <w:tcPr>
            <w:tcW w:w="6386" w:type="dxa"/>
            <w:tcBorders>
              <w:left w:val="nil"/>
            </w:tcBorders>
          </w:tcPr>
          <w:p>
            <w:pPr>
              <w:pStyle w:val="TableParagraph"/>
              <w:spacing w:line="187" w:lineRule="exact" w:before="121"/>
              <w:ind w:left="124"/>
              <w:rPr>
                <w:sz w:val="18"/>
              </w:rPr>
            </w:pPr>
            <w:r>
              <w:rPr>
                <w:sz w:val="18"/>
              </w:rPr>
              <w:t>Figure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amended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reflect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revised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design</w:t>
            </w:r>
          </w:p>
        </w:tc>
      </w:tr>
      <w:tr>
        <w:trPr>
          <w:trHeight w:val="326" w:hRule="atLeast"/>
        </w:trPr>
        <w:tc>
          <w:tcPr>
            <w:tcW w:w="2110" w:type="dxa"/>
            <w:tcBorders>
              <w:right w:val="nil"/>
            </w:tcBorders>
          </w:tcPr>
          <w:p>
            <w:pPr>
              <w:pStyle w:val="TableParagraph"/>
              <w:spacing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Figure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10</w:t>
            </w:r>
          </w:p>
        </w:tc>
        <w:tc>
          <w:tcPr>
            <w:tcW w:w="6386" w:type="dxa"/>
            <w:tcBorders>
              <w:left w:val="nil"/>
            </w:tcBorders>
          </w:tcPr>
          <w:p>
            <w:pPr>
              <w:pStyle w:val="TableParagraph"/>
              <w:spacing w:line="187" w:lineRule="exact"/>
              <w:ind w:left="124"/>
              <w:rPr>
                <w:sz w:val="18"/>
              </w:rPr>
            </w:pPr>
            <w:r>
              <w:rPr>
                <w:sz w:val="18"/>
              </w:rPr>
              <w:t>Figure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amended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reflect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revised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design</w:t>
            </w:r>
          </w:p>
        </w:tc>
      </w:tr>
      <w:tr>
        <w:trPr>
          <w:trHeight w:val="328" w:hRule="atLeast"/>
        </w:trPr>
        <w:tc>
          <w:tcPr>
            <w:tcW w:w="2110" w:type="dxa"/>
            <w:tcBorders>
              <w:right w:val="nil"/>
            </w:tcBorders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Figure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11</w:t>
            </w:r>
          </w:p>
        </w:tc>
        <w:tc>
          <w:tcPr>
            <w:tcW w:w="6386" w:type="dxa"/>
            <w:tcBorders>
              <w:left w:val="nil"/>
            </w:tcBorders>
          </w:tcPr>
          <w:p>
            <w:pPr>
              <w:pStyle w:val="TableParagraph"/>
              <w:spacing w:line="189" w:lineRule="exact"/>
              <w:ind w:left="124"/>
              <w:rPr>
                <w:sz w:val="18"/>
              </w:rPr>
            </w:pPr>
            <w:r>
              <w:rPr>
                <w:sz w:val="18"/>
              </w:rPr>
              <w:t>New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figure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added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show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DDA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access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within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Station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precinct</w:t>
            </w:r>
          </w:p>
        </w:tc>
      </w:tr>
      <w:tr>
        <w:trPr>
          <w:trHeight w:val="532" w:hRule="atLeast"/>
        </w:trPr>
        <w:tc>
          <w:tcPr>
            <w:tcW w:w="2110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Figure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12</w:t>
            </w:r>
          </w:p>
        </w:tc>
        <w:tc>
          <w:tcPr>
            <w:tcW w:w="6386" w:type="dxa"/>
            <w:tcBorders>
              <w:left w:val="nil"/>
            </w:tcBorders>
          </w:tcPr>
          <w:p>
            <w:pPr>
              <w:pStyle w:val="TableParagraph"/>
              <w:spacing w:line="206" w:lineRule="exact" w:before="100"/>
              <w:ind w:left="124" w:right="213"/>
              <w:rPr>
                <w:sz w:val="18"/>
              </w:rPr>
            </w:pPr>
            <w:r>
              <w:rPr>
                <w:sz w:val="18"/>
              </w:rPr>
              <w:t>New figure added that shows the projected Arden transport network in 2051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outlined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 draft Arden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Structure Plan (2020)</w:t>
            </w:r>
          </w:p>
        </w:tc>
      </w:tr>
      <w:tr>
        <w:trPr>
          <w:trHeight w:val="534" w:hRule="atLeast"/>
        </w:trPr>
        <w:tc>
          <w:tcPr>
            <w:tcW w:w="2110" w:type="dxa"/>
            <w:tcBorders>
              <w:right w:val="nil"/>
            </w:tcBorders>
          </w:tcPr>
          <w:p>
            <w:pPr>
              <w:pStyle w:val="TableParagraph"/>
              <w:spacing w:line="210" w:lineRule="atLeast" w:before="96"/>
              <w:ind w:right="377"/>
              <w:rPr>
                <w:b/>
                <w:sz w:val="18"/>
              </w:rPr>
            </w:pPr>
            <w:r>
              <w:rPr>
                <w:b/>
                <w:sz w:val="18"/>
              </w:rPr>
              <w:t>4.3.8 Materials and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finishes</w:t>
            </w:r>
          </w:p>
        </w:tc>
        <w:tc>
          <w:tcPr>
            <w:tcW w:w="6386" w:type="dxa"/>
            <w:tcBorders>
              <w:left w:val="nil"/>
            </w:tcBorders>
          </w:tcPr>
          <w:p>
            <w:pPr>
              <w:pStyle w:val="TableParagraph"/>
              <w:spacing w:line="210" w:lineRule="atLeast" w:before="96"/>
              <w:ind w:left="124" w:right="123"/>
              <w:rPr>
                <w:sz w:val="18"/>
              </w:rPr>
            </w:pPr>
            <w:r>
              <w:rPr>
                <w:sz w:val="18"/>
              </w:rPr>
              <w:t>Updated to reflect the amendments to the materiality and finishes of Western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Building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skylights</w:t>
            </w:r>
          </w:p>
        </w:tc>
      </w:tr>
      <w:tr>
        <w:trPr>
          <w:trHeight w:val="1065" w:hRule="atLeast"/>
        </w:trPr>
        <w:tc>
          <w:tcPr>
            <w:tcW w:w="2110" w:type="dxa"/>
            <w:tcBorders>
              <w:bottom w:val="single" w:sz="6" w:space="0" w:color="00BBE9"/>
              <w:right w:val="nil"/>
            </w:tcBorders>
          </w:tcPr>
          <w:p>
            <w:pPr>
              <w:pStyle w:val="TableParagraph"/>
              <w:ind w:right="117"/>
              <w:rPr>
                <w:b/>
                <w:sz w:val="18"/>
              </w:rPr>
            </w:pPr>
            <w:r>
              <w:rPr>
                <w:b/>
                <w:sz w:val="18"/>
              </w:rPr>
              <w:t>4.3.9 Crime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prevention through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environmental design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(CPTED)</w:t>
            </w:r>
          </w:p>
        </w:tc>
        <w:tc>
          <w:tcPr>
            <w:tcW w:w="6386" w:type="dxa"/>
            <w:tcBorders>
              <w:left w:val="nil"/>
              <w:bottom w:val="single" w:sz="6" w:space="0" w:color="00BBE9"/>
            </w:tcBorders>
          </w:tcPr>
          <w:p>
            <w:pPr>
              <w:pStyle w:val="TableParagraph"/>
              <w:ind w:left="124" w:right="114"/>
              <w:rPr>
                <w:sz w:val="18"/>
              </w:rPr>
            </w:pPr>
            <w:r>
              <w:rPr>
                <w:sz w:val="18"/>
              </w:rPr>
              <w:t>Updated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reflect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CPTED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review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has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undertaken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station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design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since 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previous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Development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Plan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submission</w:t>
            </w:r>
          </w:p>
          <w:p>
            <w:pPr>
              <w:pStyle w:val="TableParagraph"/>
              <w:spacing w:line="206" w:lineRule="exact" w:before="100"/>
              <w:ind w:left="124" w:right="323"/>
              <w:rPr>
                <w:sz w:val="18"/>
              </w:rPr>
            </w:pPr>
            <w:r>
              <w:rPr>
                <w:sz w:val="18"/>
              </w:rPr>
              <w:t>Details added regarding the outcome of the CPTED review and the design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response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 the identified CPTED issues</w:t>
            </w:r>
          </w:p>
        </w:tc>
      </w:tr>
      <w:tr>
        <w:trPr>
          <w:trHeight w:val="945" w:hRule="atLeast"/>
        </w:trPr>
        <w:tc>
          <w:tcPr>
            <w:tcW w:w="2110" w:type="dxa"/>
            <w:tcBorders>
              <w:top w:val="single" w:sz="6" w:space="0" w:color="00BBE9"/>
              <w:right w:val="nil"/>
            </w:tcBorders>
          </w:tcPr>
          <w:p>
            <w:pPr>
              <w:pStyle w:val="TableParagraph"/>
              <w:spacing w:before="116"/>
              <w:ind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4.4.1 Aquatic ecology</w:t>
            </w:r>
            <w:r>
              <w:rPr>
                <w:b/>
                <w:spacing w:val="-47"/>
                <w:sz w:val="18"/>
              </w:rPr>
              <w:t> </w:t>
            </w:r>
            <w:r>
              <w:rPr>
                <w:b/>
                <w:sz w:val="18"/>
              </w:rPr>
              <w:t>and river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health</w:t>
            </w:r>
          </w:p>
        </w:tc>
        <w:tc>
          <w:tcPr>
            <w:tcW w:w="6386" w:type="dxa"/>
            <w:tcBorders>
              <w:top w:val="single" w:sz="6" w:space="0" w:color="00BBE9"/>
              <w:left w:val="nil"/>
            </w:tcBorders>
          </w:tcPr>
          <w:p>
            <w:pPr>
              <w:pStyle w:val="TableParagraph"/>
              <w:spacing w:before="116"/>
              <w:ind w:left="124" w:right="97"/>
              <w:rPr>
                <w:sz w:val="18"/>
              </w:rPr>
            </w:pPr>
            <w:r>
              <w:rPr>
                <w:sz w:val="18"/>
              </w:rPr>
              <w:t>Updated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reflect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flood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management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area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 the previous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submission of this Development Plan has been maintained as a grassed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area,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consistent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with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precinct-wide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flood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management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strategy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outlined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</w:t>
            </w:r>
          </w:p>
          <w:p>
            <w:pPr>
              <w:pStyle w:val="TableParagraph"/>
              <w:spacing w:line="187" w:lineRule="exact" w:before="1"/>
              <w:ind w:left="124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draft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Arden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Structure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(2020)</w:t>
            </w:r>
          </w:p>
        </w:tc>
      </w:tr>
      <w:tr>
        <w:trPr>
          <w:trHeight w:val="1833" w:hRule="atLeast"/>
        </w:trPr>
        <w:tc>
          <w:tcPr>
            <w:tcW w:w="2110" w:type="dxa"/>
            <w:tcBorders>
              <w:right w:val="nil"/>
            </w:tcBorders>
          </w:tcPr>
          <w:p>
            <w:pPr>
              <w:pStyle w:val="TableParagraph"/>
              <w:ind w:right="211"/>
              <w:rPr>
                <w:b/>
                <w:sz w:val="18"/>
              </w:rPr>
            </w:pPr>
            <w:r>
              <w:rPr>
                <w:b/>
                <w:sz w:val="18"/>
              </w:rPr>
              <w:t>4.4.2 Arboriculture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(EPRs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AR1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AR3)</w:t>
            </w:r>
          </w:p>
        </w:tc>
        <w:tc>
          <w:tcPr>
            <w:tcW w:w="6386" w:type="dxa"/>
            <w:tcBorders>
              <w:left w:val="nil"/>
            </w:tcBorders>
          </w:tcPr>
          <w:p>
            <w:pPr>
              <w:pStyle w:val="TableParagraph"/>
              <w:ind w:left="124" w:right="113"/>
              <w:rPr>
                <w:sz w:val="18"/>
              </w:rPr>
            </w:pPr>
            <w:r>
              <w:rPr>
                <w:sz w:val="18"/>
              </w:rPr>
              <w:t>Tree removals and planting numbers updated to reflect the revised design as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follows: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08" w:val="left" w:leader="none"/>
                <w:tab w:pos="409" w:val="left" w:leader="none"/>
              </w:tabs>
              <w:spacing w:line="240" w:lineRule="auto" w:before="121" w:after="0"/>
              <w:ind w:left="408" w:right="209" w:hanging="284"/>
              <w:jc w:val="left"/>
              <w:rPr>
                <w:sz w:val="18"/>
              </w:rPr>
            </w:pPr>
            <w:r>
              <w:rPr>
                <w:sz w:val="18"/>
              </w:rPr>
              <w:t>90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trees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proposed 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removal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(105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trees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were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proposed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removal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previous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submission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of this Development Plan)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408" w:val="left" w:leader="none"/>
                <w:tab w:pos="409" w:val="left" w:leader="none"/>
              </w:tabs>
              <w:spacing w:line="240" w:lineRule="auto" w:before="117" w:after="0"/>
              <w:ind w:left="408" w:right="0" w:hanging="284"/>
              <w:jc w:val="left"/>
              <w:rPr>
                <w:sz w:val="18"/>
              </w:rPr>
            </w:pPr>
            <w:r>
              <w:rPr>
                <w:sz w:val="18"/>
              </w:rPr>
              <w:t>103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new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trees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proposed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planting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(approximately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98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trees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were</w:t>
            </w:r>
          </w:p>
          <w:p>
            <w:pPr>
              <w:pStyle w:val="TableParagraph"/>
              <w:spacing w:line="206" w:lineRule="exact" w:before="0"/>
              <w:ind w:left="408" w:right="449"/>
              <w:rPr>
                <w:sz w:val="18"/>
              </w:rPr>
            </w:pPr>
            <w:r>
              <w:rPr>
                <w:sz w:val="18"/>
              </w:rPr>
              <w:t>proposed for planting in the previous submission of this Development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Plan).</w:t>
            </w:r>
          </w:p>
        </w:tc>
      </w:tr>
      <w:tr>
        <w:trPr>
          <w:trHeight w:val="1068" w:hRule="atLeast"/>
        </w:trPr>
        <w:tc>
          <w:tcPr>
            <w:tcW w:w="2110" w:type="dxa"/>
            <w:tcBorders>
              <w:right w:val="nil"/>
            </w:tcBorders>
          </w:tcPr>
          <w:p>
            <w:pPr>
              <w:pStyle w:val="TableParagraph"/>
              <w:ind w:right="151"/>
              <w:rPr>
                <w:b/>
                <w:sz w:val="18"/>
              </w:rPr>
            </w:pPr>
            <w:r>
              <w:rPr>
                <w:b/>
                <w:sz w:val="18"/>
              </w:rPr>
              <w:t>4.4.7 Surface water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(EPRs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SW1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and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SW2)</w:t>
            </w:r>
          </w:p>
        </w:tc>
        <w:tc>
          <w:tcPr>
            <w:tcW w:w="6386" w:type="dxa"/>
            <w:tcBorders>
              <w:left w:val="nil"/>
            </w:tcBorders>
          </w:tcPr>
          <w:p>
            <w:pPr>
              <w:pStyle w:val="TableParagraph"/>
              <w:ind w:left="124" w:right="303"/>
              <w:rPr>
                <w:sz w:val="18"/>
              </w:rPr>
            </w:pPr>
            <w:r>
              <w:rPr>
                <w:sz w:val="18"/>
              </w:rPr>
              <w:t>Details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added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explain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that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northern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retail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terrace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interfacing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retail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entrances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raised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provide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better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flood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protection</w:t>
            </w:r>
          </w:p>
          <w:p>
            <w:pPr>
              <w:pStyle w:val="TableParagraph"/>
              <w:spacing w:line="206" w:lineRule="exact" w:before="103"/>
              <w:ind w:left="124" w:right="193"/>
              <w:rPr>
                <w:sz w:val="18"/>
              </w:rPr>
            </w:pPr>
            <w:r>
              <w:rPr>
                <w:sz w:val="18"/>
              </w:rPr>
              <w:t>Updated to reflect that the proposed flood management area in the previous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submission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this Development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will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maintained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grassed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area</w:t>
            </w:r>
          </w:p>
        </w:tc>
      </w:tr>
      <w:tr>
        <w:trPr>
          <w:trHeight w:val="534" w:hRule="atLeast"/>
        </w:trPr>
        <w:tc>
          <w:tcPr>
            <w:tcW w:w="2110" w:type="dxa"/>
            <w:tcBorders>
              <w:right w:val="nil"/>
            </w:tcBorders>
          </w:tcPr>
          <w:p>
            <w:pPr>
              <w:pStyle w:val="TableParagraph"/>
              <w:spacing w:before="121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Conclusion</w:t>
            </w:r>
          </w:p>
        </w:tc>
        <w:tc>
          <w:tcPr>
            <w:tcW w:w="6386" w:type="dxa"/>
            <w:tcBorders>
              <w:left w:val="nil"/>
            </w:tcBorders>
          </w:tcPr>
          <w:p>
            <w:pPr>
              <w:pStyle w:val="TableParagraph"/>
              <w:spacing w:line="206" w:lineRule="exact" w:before="102"/>
              <w:ind w:left="124" w:right="1003"/>
              <w:rPr>
                <w:sz w:val="18"/>
              </w:rPr>
            </w:pPr>
            <w:r>
              <w:rPr>
                <w:sz w:val="18"/>
              </w:rPr>
              <w:t>Updated to reflect changes throughout this Arden Station Precinct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Development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Plan</w:t>
            </w:r>
          </w:p>
        </w:tc>
      </w:tr>
      <w:tr>
        <w:trPr>
          <w:trHeight w:val="326" w:hRule="atLeast"/>
        </w:trPr>
        <w:tc>
          <w:tcPr>
            <w:tcW w:w="2110" w:type="dxa"/>
            <w:tcBorders>
              <w:right w:val="nil"/>
            </w:tcBorders>
          </w:tcPr>
          <w:p>
            <w:pPr>
              <w:pStyle w:val="TableParagraph"/>
              <w:spacing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Appendix A</w:t>
            </w:r>
          </w:p>
        </w:tc>
        <w:tc>
          <w:tcPr>
            <w:tcW w:w="6386" w:type="dxa"/>
            <w:tcBorders>
              <w:left w:val="nil"/>
            </w:tcBorders>
          </w:tcPr>
          <w:p>
            <w:pPr>
              <w:pStyle w:val="TableParagraph"/>
              <w:spacing w:line="187" w:lineRule="exact"/>
              <w:ind w:left="124"/>
              <w:rPr>
                <w:sz w:val="18"/>
              </w:rPr>
            </w:pPr>
            <w:r>
              <w:rPr>
                <w:sz w:val="18"/>
              </w:rPr>
              <w:t>Drawings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updated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reflect 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revised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design</w:t>
            </w:r>
          </w:p>
        </w:tc>
      </w:tr>
      <w:tr>
        <w:trPr>
          <w:trHeight w:val="328" w:hRule="atLeast"/>
        </w:trPr>
        <w:tc>
          <w:tcPr>
            <w:tcW w:w="2110" w:type="dxa"/>
            <w:tcBorders>
              <w:right w:val="nil"/>
            </w:tcBorders>
          </w:tcPr>
          <w:p>
            <w:pPr>
              <w:pStyle w:val="TableParagraph"/>
              <w:spacing w:line="187" w:lineRule="exact" w:before="121"/>
              <w:rPr>
                <w:b/>
                <w:sz w:val="18"/>
              </w:rPr>
            </w:pPr>
            <w:r>
              <w:rPr>
                <w:b/>
                <w:sz w:val="18"/>
              </w:rPr>
              <w:t>Appendix B</w:t>
            </w:r>
          </w:p>
        </w:tc>
        <w:tc>
          <w:tcPr>
            <w:tcW w:w="6386" w:type="dxa"/>
            <w:tcBorders>
              <w:left w:val="nil"/>
            </w:tcBorders>
          </w:tcPr>
          <w:p>
            <w:pPr>
              <w:pStyle w:val="TableParagraph"/>
              <w:spacing w:line="187" w:lineRule="exact" w:before="121"/>
              <w:ind w:left="124"/>
              <w:rPr>
                <w:sz w:val="18"/>
              </w:rPr>
            </w:pPr>
            <w:r>
              <w:rPr>
                <w:sz w:val="18"/>
              </w:rPr>
              <w:t>Drawings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updated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reflect 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revised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design</w:t>
            </w:r>
          </w:p>
        </w:tc>
      </w:tr>
      <w:tr>
        <w:trPr>
          <w:trHeight w:val="325" w:hRule="atLeast"/>
        </w:trPr>
        <w:tc>
          <w:tcPr>
            <w:tcW w:w="2110" w:type="dxa"/>
            <w:tcBorders>
              <w:right w:val="nil"/>
            </w:tcBorders>
          </w:tcPr>
          <w:p>
            <w:pPr>
              <w:pStyle w:val="TableParagraph"/>
              <w:spacing w:line="187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Appendix C</w:t>
            </w:r>
          </w:p>
        </w:tc>
        <w:tc>
          <w:tcPr>
            <w:tcW w:w="6386" w:type="dxa"/>
            <w:tcBorders>
              <w:left w:val="nil"/>
            </w:tcBorders>
          </w:tcPr>
          <w:p>
            <w:pPr>
              <w:pStyle w:val="TableParagraph"/>
              <w:spacing w:line="187" w:lineRule="exact"/>
              <w:ind w:left="124"/>
              <w:rPr>
                <w:sz w:val="18"/>
              </w:rPr>
            </w:pPr>
            <w:r>
              <w:rPr>
                <w:sz w:val="18"/>
              </w:rPr>
              <w:t>Drawings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updated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reflect 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revised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design</w:t>
            </w:r>
          </w:p>
        </w:tc>
      </w:tr>
      <w:tr>
        <w:trPr>
          <w:trHeight w:val="328" w:hRule="atLeast"/>
        </w:trPr>
        <w:tc>
          <w:tcPr>
            <w:tcW w:w="2110" w:type="dxa"/>
            <w:tcBorders>
              <w:right w:val="nil"/>
            </w:tcBorders>
          </w:tcPr>
          <w:p>
            <w:pPr>
              <w:pStyle w:val="TableParagraph"/>
              <w:spacing w:line="189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Appendix D</w:t>
            </w:r>
          </w:p>
        </w:tc>
        <w:tc>
          <w:tcPr>
            <w:tcW w:w="6386" w:type="dxa"/>
            <w:tcBorders>
              <w:left w:val="nil"/>
            </w:tcBorders>
          </w:tcPr>
          <w:p>
            <w:pPr>
              <w:pStyle w:val="TableParagraph"/>
              <w:spacing w:line="189" w:lineRule="exact"/>
              <w:ind w:left="124"/>
              <w:rPr>
                <w:sz w:val="18"/>
              </w:rPr>
            </w:pPr>
            <w:r>
              <w:rPr>
                <w:sz w:val="18"/>
              </w:rPr>
              <w:t>Drawings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updated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reflect the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revised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design</w:t>
            </w:r>
          </w:p>
        </w:tc>
      </w:tr>
      <w:tr>
        <w:trPr>
          <w:trHeight w:val="532" w:hRule="atLeast"/>
        </w:trPr>
        <w:tc>
          <w:tcPr>
            <w:tcW w:w="2110" w:type="dxa"/>
            <w:tcBorders>
              <w:right w:val="nil"/>
            </w:tcBorders>
          </w:tcPr>
          <w:p>
            <w:pPr>
              <w:pStyle w:val="TableParagraph"/>
              <w:rPr>
                <w:b/>
                <w:sz w:val="18"/>
              </w:rPr>
            </w:pPr>
            <w:r>
              <w:rPr>
                <w:b/>
                <w:sz w:val="18"/>
              </w:rPr>
              <w:t>Appendix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E</w:t>
            </w:r>
          </w:p>
        </w:tc>
        <w:tc>
          <w:tcPr>
            <w:tcW w:w="6386" w:type="dxa"/>
            <w:tcBorders>
              <w:left w:val="nil"/>
            </w:tcBorders>
          </w:tcPr>
          <w:p>
            <w:pPr>
              <w:pStyle w:val="TableParagraph"/>
              <w:spacing w:line="206" w:lineRule="exact" w:before="100"/>
              <w:ind w:left="124" w:right="303"/>
              <w:rPr>
                <w:sz w:val="18"/>
              </w:rPr>
            </w:pPr>
            <w:r>
              <w:rPr>
                <w:sz w:val="18"/>
              </w:rPr>
              <w:t>Responses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Urban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Design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Strategy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updated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reflect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revised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design</w:t>
            </w:r>
          </w:p>
        </w:tc>
      </w:tr>
    </w:tbl>
    <w:p>
      <w:pPr>
        <w:spacing w:after="0" w:line="206" w:lineRule="exact"/>
        <w:rPr>
          <w:sz w:val="18"/>
        </w:rPr>
        <w:sectPr>
          <w:pgSz w:w="11910" w:h="16840"/>
          <w:pgMar w:header="936" w:footer="365" w:top="1900" w:bottom="560" w:left="94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tbl>
      <w:tblPr>
        <w:tblW w:w="0" w:type="auto"/>
        <w:jc w:val="left"/>
        <w:tblInd w:w="4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9"/>
        <w:gridCol w:w="6835"/>
      </w:tblGrid>
      <w:tr>
        <w:trPr>
          <w:trHeight w:val="345" w:hRule="atLeast"/>
        </w:trPr>
        <w:tc>
          <w:tcPr>
            <w:tcW w:w="1659" w:type="dxa"/>
            <w:shd w:val="clear" w:color="auto" w:fill="00BBE9"/>
          </w:tcPr>
          <w:p>
            <w:pPr>
              <w:pStyle w:val="TableParagraph"/>
              <w:spacing w:line="197" w:lineRule="exact" w:before="128"/>
              <w:ind w:left="112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Section</w:t>
            </w:r>
          </w:p>
        </w:tc>
        <w:tc>
          <w:tcPr>
            <w:tcW w:w="6835" w:type="dxa"/>
            <w:shd w:val="clear" w:color="auto" w:fill="00BBE9"/>
          </w:tcPr>
          <w:p>
            <w:pPr>
              <w:pStyle w:val="TableParagraph"/>
              <w:spacing w:line="197" w:lineRule="exact" w:before="128"/>
              <w:ind w:left="575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Amendment</w:t>
            </w:r>
          </w:p>
        </w:tc>
      </w:tr>
      <w:tr>
        <w:trPr>
          <w:trHeight w:val="534" w:hRule="atLeast"/>
        </w:trPr>
        <w:tc>
          <w:tcPr>
            <w:tcW w:w="1659" w:type="dxa"/>
            <w:tcBorders>
              <w:left w:val="single" w:sz="4" w:space="0" w:color="00BBE9"/>
              <w:bottom w:val="single" w:sz="4" w:space="0" w:color="00BBE9"/>
            </w:tcBorders>
          </w:tcPr>
          <w:p>
            <w:pPr>
              <w:pStyle w:val="TableParagraph"/>
              <w:spacing w:before="121"/>
              <w:rPr>
                <w:b/>
                <w:sz w:val="18"/>
              </w:rPr>
            </w:pPr>
            <w:r>
              <w:rPr>
                <w:b/>
                <w:sz w:val="18"/>
              </w:rPr>
              <w:t>Appendix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F</w:t>
            </w:r>
          </w:p>
        </w:tc>
        <w:tc>
          <w:tcPr>
            <w:tcW w:w="6835" w:type="dxa"/>
            <w:tcBorders>
              <w:bottom w:val="single" w:sz="4" w:space="0" w:color="00BBE9"/>
              <w:right w:val="single" w:sz="4" w:space="0" w:color="00BBE9"/>
            </w:tcBorders>
          </w:tcPr>
          <w:p>
            <w:pPr>
              <w:pStyle w:val="TableParagraph"/>
              <w:spacing w:line="206" w:lineRule="exact" w:before="103"/>
              <w:ind w:left="575" w:right="54"/>
              <w:rPr>
                <w:sz w:val="18"/>
              </w:rPr>
            </w:pPr>
            <w:r>
              <w:rPr>
                <w:sz w:val="18"/>
              </w:rPr>
              <w:t>Responses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Environmental Performance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Requirements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updated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to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reflect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the revised design</w:t>
            </w:r>
          </w:p>
        </w:tc>
      </w:tr>
    </w:tbl>
    <w:p>
      <w:pPr>
        <w:spacing w:after="0" w:line="206" w:lineRule="exact"/>
        <w:rPr>
          <w:sz w:val="18"/>
        </w:rPr>
        <w:sectPr>
          <w:pgSz w:w="11910" w:h="16840"/>
          <w:pgMar w:header="936" w:footer="365" w:top="1900" w:bottom="560" w:left="94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Heading1"/>
        <w:numPr>
          <w:ilvl w:val="0"/>
          <w:numId w:val="5"/>
        </w:numPr>
        <w:tabs>
          <w:tab w:pos="1046" w:val="left" w:leader="none"/>
        </w:tabs>
        <w:spacing w:line="240" w:lineRule="auto" w:before="88" w:after="0"/>
        <w:ind w:left="1045" w:right="0" w:hanging="568"/>
        <w:jc w:val="left"/>
      </w:pPr>
      <w:bookmarkStart w:name="_bookmark3" w:id="43"/>
      <w:bookmarkEnd w:id="43"/>
      <w:r>
        <w:rPr/>
      </w:r>
      <w:bookmarkStart w:name="_bookmark3" w:id="44"/>
      <w:bookmarkEnd w:id="44"/>
      <w:r>
        <w:rPr>
          <w:color w:val="00BBE9"/>
        </w:rPr>
        <w:t>INTR</w:t>
      </w:r>
      <w:r>
        <w:rPr>
          <w:color w:val="00BBE9"/>
        </w:rPr>
        <w:t>ODUCTION</w:t>
      </w:r>
    </w:p>
    <w:p>
      <w:pPr>
        <w:pStyle w:val="BodyText"/>
        <w:spacing w:before="197"/>
        <w:ind w:left="478" w:right="344"/>
      </w:pPr>
      <w:r>
        <w:rPr/>
        <w:t>Cross Yarra Partnership (CYP) has been contracted by Rail Projects Victoria (RPV) (a division of the</w:t>
      </w:r>
      <w:r>
        <w:rPr>
          <w:spacing w:val="-50"/>
        </w:rPr>
        <w:t> </w:t>
      </w:r>
      <w:r>
        <w:rPr/>
        <w:t>Major Transport Infrastructure Authority, an administrative office in relation to the Department of</w:t>
      </w:r>
      <w:r>
        <w:rPr>
          <w:spacing w:val="1"/>
        </w:rPr>
        <w:t> </w:t>
      </w:r>
      <w:r>
        <w:rPr/>
        <w:t>Transport) to design, build and maintain the stations and tunnels for the Metro Tunnel Project (the</w:t>
      </w:r>
      <w:r>
        <w:rPr>
          <w:spacing w:val="1"/>
        </w:rPr>
        <w:t> </w:t>
      </w:r>
      <w:r>
        <w:rPr/>
        <w:t>Project).</w:t>
      </w:r>
      <w:r>
        <w:rPr>
          <w:spacing w:val="-2"/>
        </w:rPr>
        <w:t> </w:t>
      </w:r>
      <w:r>
        <w:rPr/>
        <w:t>The Project</w:t>
      </w:r>
      <w:r>
        <w:rPr>
          <w:spacing w:val="-1"/>
        </w:rPr>
        <w:t> </w:t>
      </w:r>
      <w:r>
        <w:rPr/>
        <w:t>includes: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19" w:after="0"/>
        <w:ind w:left="762" w:right="971" w:hanging="284"/>
        <w:jc w:val="left"/>
        <w:rPr>
          <w:sz w:val="19"/>
        </w:rPr>
      </w:pPr>
      <w:r>
        <w:rPr>
          <w:sz w:val="19"/>
        </w:rPr>
        <w:t>Twin nine-kilometre rail tunnels from the west of the city to the south-east as part of a new</w:t>
      </w:r>
      <w:r>
        <w:rPr>
          <w:spacing w:val="-50"/>
          <w:sz w:val="19"/>
        </w:rPr>
        <w:t> </w:t>
      </w:r>
      <w:r>
        <w:rPr>
          <w:sz w:val="19"/>
        </w:rPr>
        <w:t>Sunbury</w:t>
      </w:r>
      <w:r>
        <w:rPr>
          <w:spacing w:val="-1"/>
          <w:sz w:val="19"/>
        </w:rPr>
        <w:t> </w:t>
      </w:r>
      <w:r>
        <w:rPr>
          <w:sz w:val="19"/>
        </w:rPr>
        <w:t>to</w:t>
      </w:r>
      <w:r>
        <w:rPr>
          <w:spacing w:val="-1"/>
          <w:sz w:val="19"/>
        </w:rPr>
        <w:t> </w:t>
      </w:r>
      <w:r>
        <w:rPr>
          <w:sz w:val="19"/>
        </w:rPr>
        <w:t>Cranbourne/Pakenham</w:t>
      </w:r>
      <w:r>
        <w:rPr>
          <w:spacing w:val="-1"/>
          <w:sz w:val="19"/>
        </w:rPr>
        <w:t> </w:t>
      </w:r>
      <w:r>
        <w:rPr>
          <w:sz w:val="19"/>
        </w:rPr>
        <w:t>line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20" w:after="0"/>
        <w:ind w:left="762" w:right="676" w:hanging="284"/>
        <w:jc w:val="left"/>
        <w:rPr>
          <w:sz w:val="19"/>
        </w:rPr>
      </w:pPr>
      <w:r>
        <w:rPr>
          <w:sz w:val="19"/>
        </w:rPr>
        <w:t>Five new underground stations: Arden Station, Parkville Station (under Grattan Street), State</w:t>
      </w:r>
      <w:r>
        <w:rPr>
          <w:spacing w:val="1"/>
          <w:sz w:val="19"/>
        </w:rPr>
        <w:t> </w:t>
      </w:r>
      <w:r>
        <w:rPr>
          <w:sz w:val="19"/>
        </w:rPr>
        <w:t>Library Station (at the northern extent of Swanston Street), Town Hall Station (at the southern</w:t>
      </w:r>
      <w:r>
        <w:rPr>
          <w:spacing w:val="-50"/>
          <w:sz w:val="19"/>
        </w:rPr>
        <w:t> </w:t>
      </w:r>
      <w:r>
        <w:rPr>
          <w:sz w:val="19"/>
        </w:rPr>
        <w:t>extent</w:t>
      </w:r>
      <w:r>
        <w:rPr>
          <w:spacing w:val="-1"/>
          <w:sz w:val="19"/>
        </w:rPr>
        <w:t> </w:t>
      </w:r>
      <w:r>
        <w:rPr>
          <w:sz w:val="19"/>
        </w:rPr>
        <w:t>of</w:t>
      </w:r>
      <w:r>
        <w:rPr>
          <w:spacing w:val="-2"/>
          <w:sz w:val="19"/>
        </w:rPr>
        <w:t> </w:t>
      </w:r>
      <w:r>
        <w:rPr>
          <w:sz w:val="19"/>
        </w:rPr>
        <w:t>Swanston</w:t>
      </w:r>
      <w:r>
        <w:rPr>
          <w:spacing w:val="-2"/>
          <w:sz w:val="19"/>
        </w:rPr>
        <w:t> </w:t>
      </w:r>
      <w:r>
        <w:rPr>
          <w:sz w:val="19"/>
        </w:rPr>
        <w:t>Street and</w:t>
      </w:r>
      <w:r>
        <w:rPr>
          <w:spacing w:val="-1"/>
          <w:sz w:val="19"/>
        </w:rPr>
        <w:t> </w:t>
      </w:r>
      <w:r>
        <w:rPr>
          <w:sz w:val="19"/>
        </w:rPr>
        <w:t>Anzac</w:t>
      </w:r>
      <w:r>
        <w:rPr>
          <w:spacing w:val="2"/>
          <w:sz w:val="19"/>
        </w:rPr>
        <w:t> </w:t>
      </w:r>
      <w:r>
        <w:rPr>
          <w:sz w:val="19"/>
        </w:rPr>
        <w:t>Station</w:t>
      </w:r>
      <w:r>
        <w:rPr>
          <w:spacing w:val="-1"/>
          <w:sz w:val="19"/>
        </w:rPr>
        <w:t> </w:t>
      </w:r>
      <w:r>
        <w:rPr>
          <w:sz w:val="19"/>
        </w:rPr>
        <w:t>(under</w:t>
      </w:r>
      <w:r>
        <w:rPr>
          <w:spacing w:val="-2"/>
          <w:sz w:val="19"/>
        </w:rPr>
        <w:t> </w:t>
      </w:r>
      <w:r>
        <w:rPr>
          <w:sz w:val="19"/>
        </w:rPr>
        <w:t>Domain</w:t>
      </w:r>
      <w:r>
        <w:rPr>
          <w:spacing w:val="-2"/>
          <w:sz w:val="19"/>
        </w:rPr>
        <w:t> </w:t>
      </w:r>
      <w:r>
        <w:rPr>
          <w:sz w:val="19"/>
        </w:rPr>
        <w:t>Interchange</w:t>
      </w:r>
      <w:r>
        <w:rPr>
          <w:spacing w:val="-2"/>
          <w:sz w:val="19"/>
        </w:rPr>
        <w:t> </w:t>
      </w:r>
      <w:r>
        <w:rPr>
          <w:sz w:val="19"/>
        </w:rPr>
        <w:t>on</w:t>
      </w:r>
      <w:r>
        <w:rPr>
          <w:spacing w:val="-1"/>
          <w:sz w:val="19"/>
        </w:rPr>
        <w:t> </w:t>
      </w:r>
      <w:r>
        <w:rPr>
          <w:sz w:val="19"/>
        </w:rPr>
        <w:t>St</w:t>
      </w:r>
      <w:r>
        <w:rPr>
          <w:spacing w:val="-1"/>
          <w:sz w:val="19"/>
        </w:rPr>
        <w:t> </w:t>
      </w:r>
      <w:r>
        <w:rPr>
          <w:sz w:val="19"/>
        </w:rPr>
        <w:t>Kilda</w:t>
      </w:r>
      <w:r>
        <w:rPr>
          <w:spacing w:val="-3"/>
          <w:sz w:val="19"/>
        </w:rPr>
        <w:t> </w:t>
      </w:r>
      <w:r>
        <w:rPr>
          <w:sz w:val="19"/>
        </w:rPr>
        <w:t>Road)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18" w:after="0"/>
        <w:ind w:left="762" w:right="446" w:hanging="284"/>
        <w:jc w:val="left"/>
        <w:rPr>
          <w:sz w:val="19"/>
        </w:rPr>
      </w:pPr>
      <w:r>
        <w:rPr>
          <w:sz w:val="19"/>
        </w:rPr>
        <w:t>A new Intake Substation at Arden and the two tunnel portals at South Yarra (Eastern Portal) and</w:t>
      </w:r>
      <w:r>
        <w:rPr>
          <w:spacing w:val="-51"/>
          <w:sz w:val="19"/>
        </w:rPr>
        <w:t> </w:t>
      </w:r>
      <w:r>
        <w:rPr>
          <w:sz w:val="19"/>
        </w:rPr>
        <w:t>South</w:t>
      </w:r>
      <w:r>
        <w:rPr>
          <w:spacing w:val="-1"/>
          <w:sz w:val="19"/>
        </w:rPr>
        <w:t> </w:t>
      </w:r>
      <w:r>
        <w:rPr>
          <w:sz w:val="19"/>
        </w:rPr>
        <w:t>Kensington</w:t>
      </w:r>
      <w:r>
        <w:rPr>
          <w:spacing w:val="-1"/>
          <w:sz w:val="19"/>
        </w:rPr>
        <w:t> </w:t>
      </w:r>
      <w:r>
        <w:rPr>
          <w:sz w:val="19"/>
        </w:rPr>
        <w:t>(Western</w:t>
      </w:r>
      <w:r>
        <w:rPr>
          <w:spacing w:val="-3"/>
          <w:sz w:val="19"/>
        </w:rPr>
        <w:t> </w:t>
      </w:r>
      <w:r>
        <w:rPr>
          <w:sz w:val="19"/>
        </w:rPr>
        <w:t>Portal).</w:t>
      </w:r>
    </w:p>
    <w:p>
      <w:pPr>
        <w:pStyle w:val="BodyText"/>
        <w:spacing w:before="119"/>
        <w:ind w:left="478" w:right="490"/>
      </w:pPr>
      <w:r>
        <w:rPr/>
        <w:t>The Project has already undergone an extensive and robust planning assessment process. As part</w:t>
      </w:r>
      <w:r>
        <w:rPr>
          <w:spacing w:val="-50"/>
        </w:rPr>
        <w:t> </w:t>
      </w:r>
      <w:r>
        <w:rPr/>
        <w:t>of</w:t>
      </w:r>
      <w:r>
        <w:rPr>
          <w:spacing w:val="-2"/>
        </w:rPr>
        <w:t> </w:t>
      </w:r>
      <w:r>
        <w:rPr/>
        <w:t>this, RPV</w:t>
      </w:r>
      <w:r>
        <w:rPr>
          <w:spacing w:val="1"/>
        </w:rPr>
        <w:t> </w:t>
      </w:r>
      <w:r>
        <w:rPr/>
        <w:t>published: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21" w:after="0"/>
        <w:ind w:left="762" w:right="406" w:hanging="284"/>
        <w:jc w:val="left"/>
        <w:rPr>
          <w:sz w:val="19"/>
        </w:rPr>
      </w:pPr>
      <w:r>
        <w:rPr>
          <w:sz w:val="19"/>
        </w:rPr>
        <w:t>An</w:t>
      </w:r>
      <w:r>
        <w:rPr>
          <w:spacing w:val="-3"/>
          <w:sz w:val="19"/>
        </w:rPr>
        <w:t> </w:t>
      </w:r>
      <w:r>
        <w:rPr>
          <w:sz w:val="19"/>
        </w:rPr>
        <w:t>Environment</w:t>
      </w:r>
      <w:r>
        <w:rPr>
          <w:spacing w:val="-3"/>
          <w:sz w:val="19"/>
        </w:rPr>
        <w:t> </w:t>
      </w:r>
      <w:r>
        <w:rPr>
          <w:sz w:val="19"/>
        </w:rPr>
        <w:t>Effects</w:t>
      </w:r>
      <w:r>
        <w:rPr>
          <w:spacing w:val="-2"/>
          <w:sz w:val="19"/>
        </w:rPr>
        <w:t> </w:t>
      </w:r>
      <w:r>
        <w:rPr>
          <w:sz w:val="19"/>
        </w:rPr>
        <w:t>Statement</w:t>
      </w:r>
      <w:r>
        <w:rPr>
          <w:spacing w:val="-3"/>
          <w:sz w:val="19"/>
        </w:rPr>
        <w:t> </w:t>
      </w:r>
      <w:r>
        <w:rPr>
          <w:sz w:val="19"/>
        </w:rPr>
        <w:t>(EES)</w:t>
      </w:r>
      <w:r>
        <w:rPr>
          <w:spacing w:val="-2"/>
          <w:sz w:val="19"/>
        </w:rPr>
        <w:t> </w:t>
      </w:r>
      <w:r>
        <w:rPr>
          <w:sz w:val="19"/>
        </w:rPr>
        <w:t>that</w:t>
      </w:r>
      <w:r>
        <w:rPr>
          <w:spacing w:val="-2"/>
          <w:sz w:val="19"/>
        </w:rPr>
        <w:t> </w:t>
      </w:r>
      <w:r>
        <w:rPr>
          <w:sz w:val="19"/>
        </w:rPr>
        <w:t>included</w:t>
      </w:r>
      <w:r>
        <w:rPr>
          <w:spacing w:val="-2"/>
          <w:sz w:val="19"/>
        </w:rPr>
        <w:t> </w:t>
      </w:r>
      <w:r>
        <w:rPr>
          <w:sz w:val="19"/>
        </w:rPr>
        <w:t>an</w:t>
      </w:r>
      <w:r>
        <w:rPr>
          <w:spacing w:val="-3"/>
          <w:sz w:val="19"/>
        </w:rPr>
        <w:t> </w:t>
      </w:r>
      <w:r>
        <w:rPr>
          <w:sz w:val="19"/>
        </w:rPr>
        <w:t>integrated</w:t>
      </w:r>
      <w:r>
        <w:rPr>
          <w:spacing w:val="-2"/>
          <w:sz w:val="19"/>
        </w:rPr>
        <w:t> </w:t>
      </w:r>
      <w:r>
        <w:rPr>
          <w:sz w:val="19"/>
        </w:rPr>
        <w:t>assessment</w:t>
      </w:r>
      <w:r>
        <w:rPr>
          <w:spacing w:val="-2"/>
          <w:sz w:val="19"/>
        </w:rPr>
        <w:t> </w:t>
      </w:r>
      <w:r>
        <w:rPr>
          <w:sz w:val="19"/>
        </w:rPr>
        <w:t>of</w:t>
      </w:r>
      <w:r>
        <w:rPr>
          <w:spacing w:val="-2"/>
          <w:sz w:val="19"/>
        </w:rPr>
        <w:t> </w:t>
      </w:r>
      <w:r>
        <w:rPr>
          <w:sz w:val="19"/>
        </w:rPr>
        <w:t>the</w:t>
      </w:r>
      <w:r>
        <w:rPr>
          <w:spacing w:val="-3"/>
          <w:sz w:val="19"/>
        </w:rPr>
        <w:t> </w:t>
      </w:r>
      <w:r>
        <w:rPr>
          <w:sz w:val="19"/>
        </w:rPr>
        <w:t>potential</w:t>
      </w:r>
      <w:r>
        <w:rPr>
          <w:spacing w:val="-50"/>
          <w:sz w:val="19"/>
        </w:rPr>
        <w:t> </w:t>
      </w:r>
      <w:r>
        <w:rPr>
          <w:sz w:val="19"/>
        </w:rPr>
        <w:t>environmental, social, economic and planning impacts of the Project, and the approach to</w:t>
      </w:r>
      <w:r>
        <w:rPr>
          <w:spacing w:val="1"/>
          <w:sz w:val="19"/>
        </w:rPr>
        <w:t> </w:t>
      </w:r>
      <w:r>
        <w:rPr>
          <w:sz w:val="19"/>
        </w:rPr>
        <w:t>managing</w:t>
      </w:r>
      <w:r>
        <w:rPr>
          <w:spacing w:val="-2"/>
          <w:sz w:val="19"/>
        </w:rPr>
        <w:t> </w:t>
      </w:r>
      <w:r>
        <w:rPr>
          <w:sz w:val="19"/>
        </w:rPr>
        <w:t>these</w:t>
      </w:r>
      <w:r>
        <w:rPr>
          <w:spacing w:val="-1"/>
          <w:sz w:val="19"/>
        </w:rPr>
        <w:t> </w:t>
      </w:r>
      <w:r>
        <w:rPr>
          <w:sz w:val="19"/>
        </w:rPr>
        <w:t>impacts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18" w:after="0"/>
        <w:ind w:left="762" w:right="340" w:hanging="284"/>
        <w:jc w:val="left"/>
        <w:rPr>
          <w:sz w:val="19"/>
        </w:rPr>
      </w:pPr>
      <w:r>
        <w:rPr>
          <w:sz w:val="19"/>
        </w:rPr>
        <w:t>A Draft Planning Scheme Amendment (PSA) that detailed changes to the Planning Scheme that</w:t>
      </w:r>
      <w:r>
        <w:rPr>
          <w:spacing w:val="1"/>
          <w:sz w:val="19"/>
        </w:rPr>
        <w:t> </w:t>
      </w:r>
      <w:r>
        <w:rPr>
          <w:sz w:val="19"/>
        </w:rPr>
        <w:t>were recommended to protect the tunnels, stations and associated infrastructure and guide future</w:t>
      </w:r>
      <w:r>
        <w:rPr>
          <w:spacing w:val="-51"/>
          <w:sz w:val="19"/>
        </w:rPr>
        <w:t> </w:t>
      </w:r>
      <w:r>
        <w:rPr>
          <w:sz w:val="19"/>
        </w:rPr>
        <w:t>development</w:t>
      </w:r>
      <w:r>
        <w:rPr>
          <w:spacing w:val="-2"/>
          <w:sz w:val="19"/>
        </w:rPr>
        <w:t> </w:t>
      </w:r>
      <w:r>
        <w:rPr>
          <w:sz w:val="19"/>
        </w:rPr>
        <w:t>in</w:t>
      </w:r>
      <w:r>
        <w:rPr>
          <w:spacing w:val="-1"/>
          <w:sz w:val="19"/>
        </w:rPr>
        <w:t> </w:t>
      </w:r>
      <w:r>
        <w:rPr>
          <w:sz w:val="19"/>
        </w:rPr>
        <w:t>their</w:t>
      </w:r>
      <w:r>
        <w:rPr>
          <w:spacing w:val="-1"/>
          <w:sz w:val="19"/>
        </w:rPr>
        <w:t> </w:t>
      </w:r>
      <w:r>
        <w:rPr>
          <w:sz w:val="19"/>
        </w:rPr>
        <w:t>vicinity.</w:t>
      </w:r>
    </w:p>
    <w:p>
      <w:pPr>
        <w:pStyle w:val="BodyText"/>
        <w:spacing w:before="118"/>
        <w:ind w:left="478" w:right="807"/>
      </w:pPr>
      <w:r>
        <w:rPr/>
        <w:t>In developing these, RPV undertook a comprehensive engagement program to seek input from</w:t>
      </w:r>
      <w:r>
        <w:rPr>
          <w:spacing w:val="-50"/>
        </w:rPr>
        <w:t> </w:t>
      </w:r>
      <w:r>
        <w:rPr/>
        <w:t>stakeholders and the community. This included stakeholders and the community having the</w:t>
      </w:r>
      <w:r>
        <w:rPr>
          <w:spacing w:val="1"/>
        </w:rPr>
        <w:t> </w:t>
      </w:r>
      <w:r>
        <w:rPr/>
        <w:t>opportunity to provide formal submissions during a public exhibition period, which were then</w:t>
      </w:r>
      <w:r>
        <w:rPr>
          <w:spacing w:val="1"/>
        </w:rPr>
        <w:t> </w:t>
      </w:r>
      <w:r>
        <w:rPr/>
        <w:t>presented to an Inquiry and Advisory Committee. This committee then considered the EES and</w:t>
      </w:r>
      <w:r>
        <w:rPr>
          <w:spacing w:val="-50"/>
        </w:rPr>
        <w:t> </w:t>
      </w:r>
      <w:r>
        <w:rPr/>
        <w:t>submissions,</w:t>
      </w:r>
      <w:r>
        <w:rPr>
          <w:spacing w:val="-2"/>
        </w:rPr>
        <w:t> </w:t>
      </w:r>
      <w:r>
        <w:rPr/>
        <w:t>and prepared</w:t>
      </w:r>
      <w:r>
        <w:rPr>
          <w:spacing w:val="-1"/>
        </w:rPr>
        <w:t> </w:t>
      </w:r>
      <w:r>
        <w:rPr/>
        <w:t>a report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Minister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Planning.</w:t>
      </w:r>
    </w:p>
    <w:p>
      <w:pPr>
        <w:pStyle w:val="BodyText"/>
        <w:spacing w:before="122"/>
        <w:ind w:left="478" w:right="311"/>
      </w:pPr>
      <w:r>
        <w:rPr/>
        <w:t>In December 2016, the Minister for Planning released his Assessment of the environmental effects of</w:t>
      </w:r>
      <w:r>
        <w:rPr>
          <w:spacing w:val="-50"/>
        </w:rPr>
        <w:t> </w:t>
      </w:r>
      <w:r>
        <w:rPr/>
        <w:t>the Project. The Minister subsequently approved a Planning Scheme Amendment for the Project,</w:t>
      </w:r>
      <w:r>
        <w:rPr>
          <w:spacing w:val="1"/>
        </w:rPr>
        <w:t> </w:t>
      </w:r>
      <w:r>
        <w:rPr/>
        <w:t>which inserted the </w:t>
      </w:r>
      <w:r>
        <w:rPr>
          <w:i/>
        </w:rPr>
        <w:t>Melbourne Metro Rail Project Incorporated Document </w:t>
      </w:r>
      <w:r>
        <w:rPr/>
        <w:t>(the Incorporated</w:t>
      </w:r>
      <w:r>
        <w:rPr>
          <w:spacing w:val="1"/>
        </w:rPr>
        <w:t> </w:t>
      </w:r>
      <w:r>
        <w:rPr/>
        <w:t>Document)</w:t>
      </w:r>
      <w:r>
        <w:rPr>
          <w:spacing w:val="-1"/>
        </w:rPr>
        <w:t> </w:t>
      </w:r>
      <w:r>
        <w:rPr/>
        <w:t>into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Melbourne,</w:t>
      </w:r>
      <w:r>
        <w:rPr>
          <w:spacing w:val="-2"/>
        </w:rPr>
        <w:t> </w:t>
      </w:r>
      <w:r>
        <w:rPr/>
        <w:t>Port</w:t>
      </w:r>
      <w:r>
        <w:rPr>
          <w:spacing w:val="-2"/>
        </w:rPr>
        <w:t> </w:t>
      </w:r>
      <w:r>
        <w:rPr/>
        <w:t>Phillip,</w:t>
      </w:r>
      <w:r>
        <w:rPr>
          <w:spacing w:val="-1"/>
        </w:rPr>
        <w:t> </w:t>
      </w:r>
      <w:r>
        <w:rPr/>
        <w:t>Stonnington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Maribyrnong</w:t>
      </w:r>
      <w:r>
        <w:rPr>
          <w:spacing w:val="-1"/>
        </w:rPr>
        <w:t> </w:t>
      </w:r>
      <w:r>
        <w:rPr/>
        <w:t>Planning</w:t>
      </w:r>
      <w:r>
        <w:rPr>
          <w:spacing w:val="-2"/>
        </w:rPr>
        <w:t> </w:t>
      </w:r>
      <w:r>
        <w:rPr/>
        <w:t>Schemes.</w:t>
      </w:r>
    </w:p>
    <w:p>
      <w:pPr>
        <w:pStyle w:val="BodyText"/>
        <w:spacing w:before="120"/>
        <w:ind w:left="478" w:right="352"/>
        <w:jc w:val="both"/>
      </w:pPr>
      <w:r>
        <w:rPr/>
        <w:t>As a condition of the Incorporated Document, a Development Plan must be approved by the Minister</w:t>
      </w:r>
      <w:r>
        <w:rPr>
          <w:spacing w:val="-50"/>
        </w:rPr>
        <w:t> </w:t>
      </w:r>
      <w:r>
        <w:rPr/>
        <w:t>for Planning for each of the five stations, two portals, rail turnback at West Footscray Station and any</w:t>
      </w:r>
      <w:r>
        <w:rPr>
          <w:spacing w:val="-51"/>
        </w:rPr>
        <w:t> </w:t>
      </w:r>
      <w:r>
        <w:rPr/>
        <w:t>other</w:t>
      </w:r>
      <w:r>
        <w:rPr>
          <w:spacing w:val="-2"/>
        </w:rPr>
        <w:t> </w:t>
      </w:r>
      <w:r>
        <w:rPr/>
        <w:t>above</w:t>
      </w:r>
      <w:r>
        <w:rPr>
          <w:spacing w:val="-1"/>
        </w:rPr>
        <w:t> </w:t>
      </w:r>
      <w:r>
        <w:rPr/>
        <w:t>ground</w:t>
      </w:r>
      <w:r>
        <w:rPr>
          <w:spacing w:val="-1"/>
        </w:rPr>
        <w:t> </w:t>
      </w:r>
      <w:r>
        <w:rPr/>
        <w:t>works or</w:t>
      </w:r>
      <w:r>
        <w:rPr>
          <w:spacing w:val="1"/>
        </w:rPr>
        <w:t> </w:t>
      </w:r>
      <w:r>
        <w:rPr/>
        <w:t>structures that are</w:t>
      </w:r>
      <w:r>
        <w:rPr>
          <w:spacing w:val="-1"/>
        </w:rPr>
        <w:t> </w:t>
      </w:r>
      <w:r>
        <w:rPr/>
        <w:t>part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Project.</w:t>
      </w:r>
    </w:p>
    <w:p>
      <w:pPr>
        <w:pStyle w:val="BodyText"/>
        <w:spacing w:before="120"/>
        <w:ind w:left="478" w:right="332"/>
      </w:pPr>
      <w:r>
        <w:rPr/>
        <w:t>The Arden Station Precinct Development Plan was approved by the Minister for Planning on</w:t>
      </w:r>
      <w:r>
        <w:rPr>
          <w:spacing w:val="1"/>
        </w:rPr>
        <w:t> </w:t>
      </w:r>
      <w:r>
        <w:rPr/>
        <w:t>Thursday 8 March 2018. Under the Project’s Incorporated Document, and in accordance with Clause</w:t>
      </w:r>
      <w:r>
        <w:rPr>
          <w:spacing w:val="-50"/>
        </w:rPr>
        <w:t> </w:t>
      </w:r>
      <w:r>
        <w:rPr/>
        <w:t>4.7.8,</w:t>
      </w:r>
      <w:r>
        <w:rPr>
          <w:spacing w:val="-1"/>
        </w:rPr>
        <w:t> </w:t>
      </w:r>
      <w:r>
        <w:rPr/>
        <w:t>CYP are</w:t>
      </w:r>
      <w:r>
        <w:rPr>
          <w:spacing w:val="-1"/>
        </w:rPr>
        <w:t> </w:t>
      </w:r>
      <w:r>
        <w:rPr/>
        <w:t>seeking an</w:t>
      </w:r>
      <w:r>
        <w:rPr>
          <w:spacing w:val="-1"/>
        </w:rPr>
        <w:t> </w:t>
      </w:r>
      <w:r>
        <w:rPr/>
        <w:t>amendment</w:t>
      </w:r>
      <w:r>
        <w:rPr>
          <w:spacing w:val="-1"/>
        </w:rPr>
        <w:t> </w:t>
      </w:r>
      <w:r>
        <w:rPr/>
        <w:t>to this</w:t>
      </w:r>
      <w:r>
        <w:rPr>
          <w:spacing w:val="1"/>
        </w:rPr>
        <w:t> </w:t>
      </w:r>
      <w:r>
        <w:rPr/>
        <w:t>Arden</w:t>
      </w:r>
      <w:r>
        <w:rPr>
          <w:spacing w:val="-1"/>
        </w:rPr>
        <w:t> </w:t>
      </w:r>
      <w:r>
        <w:rPr/>
        <w:t>Station</w:t>
      </w:r>
      <w:r>
        <w:rPr>
          <w:spacing w:val="-1"/>
        </w:rPr>
        <w:t> </w:t>
      </w:r>
      <w:r>
        <w:rPr/>
        <w:t>Precinct</w:t>
      </w:r>
      <w:r>
        <w:rPr>
          <w:spacing w:val="-2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Plan.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1"/>
          <w:numId w:val="5"/>
        </w:numPr>
        <w:tabs>
          <w:tab w:pos="1187" w:val="left" w:leader="none"/>
        </w:tabs>
        <w:spacing w:line="240" w:lineRule="auto" w:before="0" w:after="0"/>
        <w:ind w:left="1186" w:right="0" w:hanging="709"/>
        <w:jc w:val="left"/>
      </w:pPr>
      <w:bookmarkStart w:name="_bookmark4" w:id="45"/>
      <w:bookmarkEnd w:id="45"/>
      <w:r>
        <w:rPr/>
      </w:r>
      <w:bookmarkStart w:name="_bookmark4" w:id="46"/>
      <w:bookmarkEnd w:id="46"/>
      <w:r>
        <w:rPr>
          <w:color w:val="00BBE9"/>
        </w:rPr>
        <w:t>PURP</w:t>
      </w:r>
      <w:r>
        <w:rPr>
          <w:color w:val="00BBE9"/>
        </w:rPr>
        <w:t>OSE</w:t>
      </w:r>
      <w:r>
        <w:rPr>
          <w:color w:val="00BBE9"/>
          <w:spacing w:val="-1"/>
        </w:rPr>
        <w:t> </w:t>
      </w:r>
      <w:r>
        <w:rPr>
          <w:color w:val="00BBE9"/>
        </w:rPr>
        <w:t>OF</w:t>
      </w:r>
      <w:r>
        <w:rPr>
          <w:color w:val="00BBE9"/>
          <w:spacing w:val="-2"/>
        </w:rPr>
        <w:t> </w:t>
      </w:r>
      <w:r>
        <w:rPr>
          <w:color w:val="00BBE9"/>
        </w:rPr>
        <w:t>THIS</w:t>
      </w:r>
      <w:r>
        <w:rPr>
          <w:color w:val="00BBE9"/>
          <w:spacing w:val="-4"/>
        </w:rPr>
        <w:t> </w:t>
      </w:r>
      <w:r>
        <w:rPr>
          <w:color w:val="00BBE9"/>
        </w:rPr>
        <w:t>DEVELOPMENT</w:t>
      </w:r>
      <w:r>
        <w:rPr>
          <w:color w:val="00BBE9"/>
          <w:spacing w:val="-3"/>
        </w:rPr>
        <w:t> </w:t>
      </w:r>
      <w:r>
        <w:rPr>
          <w:color w:val="00BBE9"/>
        </w:rPr>
        <w:t>PLAN</w:t>
      </w:r>
    </w:p>
    <w:p>
      <w:pPr>
        <w:pStyle w:val="BodyText"/>
        <w:spacing w:before="119"/>
        <w:ind w:left="478" w:right="310"/>
      </w:pPr>
      <w:r>
        <w:rPr/>
        <w:t>This Arden Station Precinct Development Plan presents the scope and extent of the built form of</w:t>
      </w:r>
      <w:r>
        <w:rPr>
          <w:spacing w:val="1"/>
        </w:rPr>
        <w:t> </w:t>
      </w:r>
      <w:r>
        <w:rPr/>
        <w:t>CYP’s</w:t>
      </w:r>
      <w:r>
        <w:rPr>
          <w:spacing w:val="-2"/>
        </w:rPr>
        <w:t> </w:t>
      </w:r>
      <w:r>
        <w:rPr/>
        <w:t>works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Arden Station</w:t>
      </w:r>
      <w:r>
        <w:rPr>
          <w:spacing w:val="-1"/>
        </w:rPr>
        <w:t> </w:t>
      </w:r>
      <w:r>
        <w:rPr/>
        <w:t>precinct,</w:t>
      </w:r>
      <w:r>
        <w:rPr>
          <w:spacing w:val="-4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new</w:t>
      </w:r>
      <w:r>
        <w:rPr>
          <w:spacing w:val="-3"/>
        </w:rPr>
        <w:t> </w:t>
      </w:r>
      <w:r>
        <w:rPr/>
        <w:t>Arden</w:t>
      </w:r>
      <w:r>
        <w:rPr>
          <w:spacing w:val="-1"/>
        </w:rPr>
        <w:t> </w:t>
      </w:r>
      <w:r>
        <w:rPr/>
        <w:t>Station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entrance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50"/>
        </w:rPr>
        <w:t> </w:t>
      </w:r>
      <w:r>
        <w:rPr/>
        <w:t>ticket gate for Day 1 operation. In accordance with Clause 4.7.3 of the Incorporated Document, this</w:t>
      </w:r>
      <w:r>
        <w:rPr>
          <w:spacing w:val="1"/>
        </w:rPr>
        <w:t> </w:t>
      </w:r>
      <w:r>
        <w:rPr/>
        <w:t>plan</w:t>
      </w:r>
      <w:r>
        <w:rPr>
          <w:spacing w:val="-1"/>
        </w:rPr>
        <w:t> </w:t>
      </w:r>
      <w:r>
        <w:rPr/>
        <w:t>includes: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21" w:after="0"/>
        <w:ind w:left="762" w:right="0" w:hanging="285"/>
        <w:jc w:val="left"/>
        <w:rPr>
          <w:sz w:val="19"/>
        </w:rPr>
      </w:pPr>
      <w:r>
        <w:rPr>
          <w:sz w:val="19"/>
        </w:rPr>
        <w:t>Site</w:t>
      </w:r>
      <w:r>
        <w:rPr>
          <w:spacing w:val="-2"/>
          <w:sz w:val="19"/>
        </w:rPr>
        <w:t> </w:t>
      </w:r>
      <w:r>
        <w:rPr>
          <w:sz w:val="19"/>
        </w:rPr>
        <w:t>layout</w:t>
      </w:r>
      <w:r>
        <w:rPr>
          <w:spacing w:val="-2"/>
          <w:sz w:val="19"/>
        </w:rPr>
        <w:t> </w:t>
      </w:r>
      <w:r>
        <w:rPr>
          <w:sz w:val="19"/>
        </w:rPr>
        <w:t>plans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20" w:after="0"/>
        <w:ind w:left="762" w:right="0" w:hanging="285"/>
        <w:jc w:val="left"/>
        <w:rPr>
          <w:sz w:val="19"/>
        </w:rPr>
      </w:pPr>
      <w:r>
        <w:rPr>
          <w:sz w:val="19"/>
        </w:rPr>
        <w:t>Architectural,</w:t>
      </w:r>
      <w:r>
        <w:rPr>
          <w:spacing w:val="-4"/>
          <w:sz w:val="19"/>
        </w:rPr>
        <w:t> </w:t>
      </w:r>
      <w:r>
        <w:rPr>
          <w:sz w:val="19"/>
        </w:rPr>
        <w:t>landscape</w:t>
      </w:r>
      <w:r>
        <w:rPr>
          <w:spacing w:val="-2"/>
          <w:sz w:val="19"/>
        </w:rPr>
        <w:t> </w:t>
      </w:r>
      <w:r>
        <w:rPr>
          <w:sz w:val="19"/>
        </w:rPr>
        <w:t>and</w:t>
      </w:r>
      <w:r>
        <w:rPr>
          <w:spacing w:val="-4"/>
          <w:sz w:val="19"/>
        </w:rPr>
        <w:t> </w:t>
      </w:r>
      <w:r>
        <w:rPr>
          <w:sz w:val="19"/>
        </w:rPr>
        <w:t>public</w:t>
      </w:r>
      <w:r>
        <w:rPr>
          <w:spacing w:val="-2"/>
          <w:sz w:val="19"/>
        </w:rPr>
        <w:t> </w:t>
      </w:r>
      <w:r>
        <w:rPr>
          <w:sz w:val="19"/>
        </w:rPr>
        <w:t>realm</w:t>
      </w:r>
      <w:r>
        <w:rPr>
          <w:spacing w:val="-3"/>
          <w:sz w:val="19"/>
        </w:rPr>
        <w:t> </w:t>
      </w:r>
      <w:r>
        <w:rPr>
          <w:sz w:val="19"/>
        </w:rPr>
        <w:t>plans</w:t>
      </w:r>
      <w:r>
        <w:rPr>
          <w:spacing w:val="-1"/>
          <w:sz w:val="19"/>
        </w:rPr>
        <w:t> </w:t>
      </w:r>
      <w:r>
        <w:rPr>
          <w:sz w:val="19"/>
        </w:rPr>
        <w:t>and</w:t>
      </w:r>
      <w:r>
        <w:rPr>
          <w:spacing w:val="-2"/>
          <w:sz w:val="19"/>
        </w:rPr>
        <w:t> </w:t>
      </w:r>
      <w:r>
        <w:rPr>
          <w:sz w:val="19"/>
        </w:rPr>
        <w:t>elevations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15" w:after="0"/>
        <w:ind w:left="762" w:right="681" w:hanging="284"/>
        <w:jc w:val="left"/>
        <w:rPr>
          <w:sz w:val="19"/>
        </w:rPr>
      </w:pPr>
      <w:r>
        <w:rPr>
          <w:sz w:val="19"/>
        </w:rPr>
        <w:t>An explanation demonstrating how this Development Plan is in accordance with the relevant</w:t>
      </w:r>
      <w:r>
        <w:rPr>
          <w:spacing w:val="1"/>
          <w:sz w:val="19"/>
        </w:rPr>
        <w:t> </w:t>
      </w:r>
      <w:r>
        <w:rPr>
          <w:sz w:val="19"/>
        </w:rPr>
        <w:t>sections</w:t>
      </w:r>
      <w:r>
        <w:rPr>
          <w:spacing w:val="-3"/>
          <w:sz w:val="19"/>
        </w:rPr>
        <w:t> </w:t>
      </w:r>
      <w:r>
        <w:rPr>
          <w:sz w:val="19"/>
        </w:rPr>
        <w:t>of</w:t>
      </w:r>
      <w:r>
        <w:rPr>
          <w:spacing w:val="-3"/>
          <w:sz w:val="19"/>
        </w:rPr>
        <w:t> </w:t>
      </w:r>
      <w:r>
        <w:rPr>
          <w:sz w:val="19"/>
        </w:rPr>
        <w:t>the</w:t>
      </w:r>
      <w:r>
        <w:rPr>
          <w:spacing w:val="-3"/>
          <w:sz w:val="19"/>
        </w:rPr>
        <w:t> </w:t>
      </w:r>
      <w:r>
        <w:rPr>
          <w:sz w:val="19"/>
        </w:rPr>
        <w:t>approved</w:t>
      </w:r>
      <w:r>
        <w:rPr>
          <w:spacing w:val="-3"/>
          <w:sz w:val="19"/>
        </w:rPr>
        <w:t> </w:t>
      </w:r>
      <w:r>
        <w:rPr>
          <w:sz w:val="19"/>
        </w:rPr>
        <w:t>Urban</w:t>
      </w:r>
      <w:r>
        <w:rPr>
          <w:spacing w:val="-3"/>
          <w:sz w:val="19"/>
        </w:rPr>
        <w:t> </w:t>
      </w:r>
      <w:r>
        <w:rPr>
          <w:sz w:val="19"/>
        </w:rPr>
        <w:t>Design</w:t>
      </w:r>
      <w:r>
        <w:rPr>
          <w:spacing w:val="-3"/>
          <w:sz w:val="19"/>
        </w:rPr>
        <w:t> </w:t>
      </w:r>
      <w:r>
        <w:rPr>
          <w:sz w:val="19"/>
        </w:rPr>
        <w:t>Strategy</w:t>
      </w:r>
      <w:r>
        <w:rPr>
          <w:spacing w:val="-2"/>
          <w:sz w:val="19"/>
        </w:rPr>
        <w:t> </w:t>
      </w:r>
      <w:r>
        <w:rPr>
          <w:sz w:val="19"/>
        </w:rPr>
        <w:t>and</w:t>
      </w:r>
      <w:r>
        <w:rPr>
          <w:spacing w:val="-2"/>
          <w:sz w:val="19"/>
        </w:rPr>
        <w:t> </w:t>
      </w:r>
      <w:r>
        <w:rPr>
          <w:sz w:val="19"/>
        </w:rPr>
        <w:t>Environmental</w:t>
      </w:r>
      <w:r>
        <w:rPr>
          <w:spacing w:val="-2"/>
          <w:sz w:val="19"/>
        </w:rPr>
        <w:t> </w:t>
      </w:r>
      <w:r>
        <w:rPr>
          <w:sz w:val="19"/>
        </w:rPr>
        <w:t>Management</w:t>
      </w:r>
      <w:r>
        <w:rPr>
          <w:spacing w:val="-3"/>
          <w:sz w:val="19"/>
        </w:rPr>
        <w:t> </w:t>
      </w:r>
      <w:r>
        <w:rPr>
          <w:sz w:val="19"/>
        </w:rPr>
        <w:t>Framework</w:t>
      </w:r>
      <w:r>
        <w:rPr>
          <w:spacing w:val="-50"/>
          <w:sz w:val="19"/>
        </w:rPr>
        <w:t> </w:t>
      </w:r>
      <w:r>
        <w:rPr>
          <w:sz w:val="19"/>
        </w:rPr>
        <w:t>particularly the Environmental</w:t>
      </w:r>
      <w:r>
        <w:rPr>
          <w:spacing w:val="1"/>
          <w:sz w:val="19"/>
        </w:rPr>
        <w:t> </w:t>
      </w:r>
      <w:r>
        <w:rPr>
          <w:sz w:val="19"/>
        </w:rPr>
        <w:t>Performance</w:t>
      </w:r>
      <w:r>
        <w:rPr>
          <w:spacing w:val="-2"/>
          <w:sz w:val="19"/>
        </w:rPr>
        <w:t> </w:t>
      </w:r>
      <w:r>
        <w:rPr>
          <w:sz w:val="19"/>
        </w:rPr>
        <w:t>Requirements.</w:t>
      </w:r>
    </w:p>
    <w:p>
      <w:pPr>
        <w:spacing w:after="0" w:line="240" w:lineRule="auto"/>
        <w:jc w:val="left"/>
        <w:rPr>
          <w:sz w:val="19"/>
        </w:rPr>
        <w:sectPr>
          <w:pgSz w:w="11910" w:h="16840"/>
          <w:pgMar w:header="936" w:footer="365" w:top="1900" w:bottom="560" w:left="94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spacing w:before="93"/>
        <w:ind w:left="478" w:right="353"/>
      </w:pPr>
      <w:r>
        <w:rPr/>
        <w:t>This Development Plan does not cover the built form of the broader Arden Urban Renewal Precinct</w:t>
      </w:r>
      <w:r>
        <w:rPr>
          <w:spacing w:val="1"/>
        </w:rPr>
        <w:t> </w:t>
      </w:r>
      <w:r>
        <w:rPr/>
        <w:t>referred to under the draft Arden Structure Plan (2020), which will be delivered by others subject to a</w:t>
      </w:r>
      <w:r>
        <w:rPr>
          <w:spacing w:val="-50"/>
        </w:rPr>
        <w:t> </w:t>
      </w:r>
      <w:r>
        <w:rPr/>
        <w:t>separate</w:t>
      </w:r>
      <w:r>
        <w:rPr>
          <w:spacing w:val="-2"/>
        </w:rPr>
        <w:t> </w:t>
      </w:r>
      <w:r>
        <w:rPr/>
        <w:t>planning</w:t>
      </w:r>
      <w:r>
        <w:rPr>
          <w:spacing w:val="-1"/>
        </w:rPr>
        <w:t> </w:t>
      </w:r>
      <w:r>
        <w:rPr/>
        <w:t>process.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1"/>
          <w:numId w:val="5"/>
        </w:numPr>
        <w:tabs>
          <w:tab w:pos="1187" w:val="left" w:leader="none"/>
        </w:tabs>
        <w:spacing w:line="240" w:lineRule="auto" w:before="0" w:after="0"/>
        <w:ind w:left="1186" w:right="0" w:hanging="709"/>
        <w:jc w:val="left"/>
      </w:pPr>
      <w:bookmarkStart w:name="_bookmark5" w:id="47"/>
      <w:bookmarkEnd w:id="47"/>
      <w:r>
        <w:rPr/>
      </w:r>
      <w:bookmarkStart w:name="_bookmark5" w:id="48"/>
      <w:bookmarkEnd w:id="48"/>
      <w:r>
        <w:rPr>
          <w:color w:val="00BBE9"/>
        </w:rPr>
        <w:t>INCORP</w:t>
      </w:r>
      <w:r>
        <w:rPr>
          <w:color w:val="00BBE9"/>
        </w:rPr>
        <w:t>ORATED</w:t>
      </w:r>
      <w:r>
        <w:rPr>
          <w:color w:val="00BBE9"/>
          <w:spacing w:val="-9"/>
        </w:rPr>
        <w:t> </w:t>
      </w:r>
      <w:r>
        <w:rPr>
          <w:color w:val="00BBE9"/>
        </w:rPr>
        <w:t>DOCUMENT</w:t>
      </w:r>
      <w:r>
        <w:rPr>
          <w:color w:val="00BBE9"/>
          <w:spacing w:val="-6"/>
        </w:rPr>
        <w:t> </w:t>
      </w:r>
      <w:r>
        <w:rPr>
          <w:color w:val="00BBE9"/>
        </w:rPr>
        <w:t>CONDITIONS</w:t>
      </w:r>
    </w:p>
    <w:p>
      <w:pPr>
        <w:pStyle w:val="BodyText"/>
        <w:spacing w:before="121"/>
        <w:ind w:left="478" w:right="723"/>
      </w:pPr>
      <w:r>
        <w:rPr/>
        <w:t>The use and development permitted by the Incorporated Document must be undertaken in</w:t>
      </w:r>
      <w:r>
        <w:rPr>
          <w:spacing w:val="1"/>
        </w:rPr>
        <w:t> </w:t>
      </w:r>
      <w:r>
        <w:rPr/>
        <w:t>accordance with the stated conditions, including Clause 4.7 that requires Development Plans be</w:t>
      </w:r>
      <w:r>
        <w:rPr>
          <w:spacing w:val="-50"/>
        </w:rPr>
        <w:t> </w:t>
      </w:r>
      <w:r>
        <w:rPr/>
        <w:t>prepared prior to the commencement of any relevant development. Table 2 provides a response</w:t>
      </w:r>
      <w:r>
        <w:rPr>
          <w:spacing w:val="-50"/>
        </w:rPr>
        <w:t> </w:t>
      </w:r>
      <w:r>
        <w:rPr/>
        <w:t>against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</w:t>
      </w:r>
      <w:r>
        <w:rPr/>
        <w:t>requirement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Clause</w:t>
      </w:r>
      <w:r>
        <w:rPr>
          <w:spacing w:val="-1"/>
        </w:rPr>
        <w:t> </w:t>
      </w:r>
      <w:r>
        <w:rPr/>
        <w:t>4.7 for</w:t>
      </w:r>
      <w:r>
        <w:rPr>
          <w:spacing w:val="-1"/>
        </w:rPr>
        <w:t> </w:t>
      </w:r>
      <w:r>
        <w:rPr/>
        <w:t>this Development</w:t>
      </w:r>
      <w:r>
        <w:rPr>
          <w:spacing w:val="-1"/>
        </w:rPr>
        <w:t> </w:t>
      </w:r>
      <w:r>
        <w:rPr/>
        <w:t>Plan.</w:t>
      </w:r>
    </w:p>
    <w:p>
      <w:pPr>
        <w:spacing w:before="120"/>
        <w:ind w:left="478" w:right="0" w:firstLine="0"/>
        <w:jc w:val="left"/>
        <w:rPr>
          <w:sz w:val="18"/>
        </w:rPr>
      </w:pPr>
      <w:bookmarkStart w:name="_bookmark6" w:id="49"/>
      <w:bookmarkEnd w:id="49"/>
      <w:r>
        <w:rPr/>
      </w:r>
      <w:r>
        <w:rPr>
          <w:sz w:val="18"/>
        </w:rPr>
        <w:t>Table</w:t>
      </w:r>
      <w:r>
        <w:rPr>
          <w:spacing w:val="-4"/>
          <w:sz w:val="18"/>
        </w:rPr>
        <w:t> </w:t>
      </w:r>
      <w:r>
        <w:rPr>
          <w:sz w:val="18"/>
        </w:rPr>
        <w:t>2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Response</w:t>
      </w:r>
      <w:r>
        <w:rPr>
          <w:spacing w:val="-2"/>
          <w:sz w:val="18"/>
        </w:rPr>
        <w:t> </w:t>
      </w:r>
      <w:r>
        <w:rPr>
          <w:sz w:val="18"/>
        </w:rPr>
        <w:t>to</w:t>
      </w:r>
      <w:r>
        <w:rPr>
          <w:spacing w:val="-5"/>
          <w:sz w:val="18"/>
        </w:rPr>
        <w:t> </w:t>
      </w:r>
      <w:r>
        <w:rPr>
          <w:sz w:val="18"/>
        </w:rPr>
        <w:t>conditions</w:t>
      </w:r>
      <w:r>
        <w:rPr>
          <w:spacing w:val="-3"/>
          <w:sz w:val="18"/>
        </w:rPr>
        <w:t> </w:t>
      </w:r>
      <w:r>
        <w:rPr>
          <w:sz w:val="18"/>
        </w:rPr>
        <w:t>of</w:t>
      </w:r>
      <w:r>
        <w:rPr>
          <w:spacing w:val="-2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Incorporated</w:t>
      </w:r>
      <w:r>
        <w:rPr>
          <w:spacing w:val="-2"/>
          <w:sz w:val="18"/>
        </w:rPr>
        <w:t> </w:t>
      </w:r>
      <w:r>
        <w:rPr>
          <w:sz w:val="18"/>
        </w:rPr>
        <w:t>Document</w:t>
      </w:r>
    </w:p>
    <w:p>
      <w:pPr>
        <w:pStyle w:val="BodyText"/>
        <w:spacing w:before="5" w:after="1"/>
        <w:rPr>
          <w:sz w:val="10"/>
        </w:rPr>
      </w:pPr>
    </w:p>
    <w:tbl>
      <w:tblPr>
        <w:tblW w:w="0" w:type="auto"/>
        <w:jc w:val="left"/>
        <w:tblInd w:w="491" w:type="dxa"/>
        <w:tblBorders>
          <w:top w:val="single" w:sz="4" w:space="0" w:color="57DEFF"/>
          <w:left w:val="single" w:sz="4" w:space="0" w:color="57DEFF"/>
          <w:bottom w:val="single" w:sz="4" w:space="0" w:color="57DEFF"/>
          <w:right w:val="single" w:sz="4" w:space="0" w:color="57DEFF"/>
          <w:insideH w:val="single" w:sz="4" w:space="0" w:color="57DEFF"/>
          <w:insideV w:val="single" w:sz="4" w:space="0" w:color="57DE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4674"/>
        <w:gridCol w:w="2833"/>
      </w:tblGrid>
      <w:tr>
        <w:trPr>
          <w:trHeight w:val="357" w:hRule="atLeast"/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69"/>
              <w:ind w:left="11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Clause</w:t>
            </w:r>
          </w:p>
        </w:tc>
        <w:tc>
          <w:tcPr>
            <w:tcW w:w="4674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69"/>
              <w:ind w:left="11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Conditions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69"/>
              <w:ind w:left="11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Response</w:t>
            </w:r>
          </w:p>
        </w:tc>
      </w:tr>
      <w:tr>
        <w:trPr>
          <w:trHeight w:val="3998" w:hRule="atLeast"/>
        </w:trPr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before="59"/>
              <w:rPr>
                <w:sz w:val="19"/>
              </w:rPr>
            </w:pPr>
            <w:r>
              <w:rPr>
                <w:sz w:val="19"/>
              </w:rPr>
              <w:t>4.7.1</w:t>
            </w:r>
          </w:p>
        </w:tc>
        <w:tc>
          <w:tcPr>
            <w:tcW w:w="4674" w:type="dxa"/>
            <w:tcBorders>
              <w:top w:val="nil"/>
            </w:tcBorders>
          </w:tcPr>
          <w:p>
            <w:pPr>
              <w:pStyle w:val="TableParagraph"/>
              <w:spacing w:before="59"/>
              <w:ind w:right="79"/>
              <w:rPr>
                <w:sz w:val="19"/>
              </w:rPr>
            </w:pPr>
            <w:r>
              <w:rPr>
                <w:sz w:val="19"/>
              </w:rPr>
              <w:t>Subject to Clause 4.13, a Development Plan must be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approved by the Minister for Planning for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development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that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relates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each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following: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77" w:val="left" w:leader="none"/>
              </w:tabs>
              <w:spacing w:line="240" w:lineRule="auto" w:before="60" w:after="0"/>
              <w:ind w:left="676" w:right="0" w:hanging="287"/>
              <w:jc w:val="left"/>
              <w:rPr>
                <w:sz w:val="19"/>
              </w:rPr>
            </w:pPr>
            <w:r>
              <w:rPr>
                <w:sz w:val="19"/>
              </w:rPr>
              <w:t>Western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tunnel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portal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77" w:val="left" w:leader="none"/>
              </w:tabs>
              <w:spacing w:line="240" w:lineRule="auto" w:before="60" w:after="0"/>
              <w:ind w:left="676" w:right="0" w:hanging="287"/>
              <w:jc w:val="left"/>
              <w:rPr>
                <w:sz w:val="19"/>
              </w:rPr>
            </w:pPr>
            <w:r>
              <w:rPr>
                <w:sz w:val="19"/>
              </w:rPr>
              <w:t>Eastern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tunnel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portal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77" w:val="left" w:leader="none"/>
              </w:tabs>
              <w:spacing w:line="240" w:lineRule="auto" w:before="60" w:after="0"/>
              <w:ind w:left="676" w:right="0" w:hanging="287"/>
              <w:jc w:val="left"/>
              <w:rPr>
                <w:sz w:val="19"/>
              </w:rPr>
            </w:pPr>
            <w:r>
              <w:rPr>
                <w:sz w:val="19"/>
              </w:rPr>
              <w:t>Arden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(North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Melbourne)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Station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77" w:val="left" w:leader="none"/>
              </w:tabs>
              <w:spacing w:line="240" w:lineRule="auto" w:before="60" w:after="0"/>
              <w:ind w:left="676" w:right="0" w:hanging="287"/>
              <w:jc w:val="left"/>
              <w:rPr>
                <w:sz w:val="19"/>
              </w:rPr>
            </w:pPr>
            <w:r>
              <w:rPr>
                <w:sz w:val="19"/>
              </w:rPr>
              <w:t>Parkville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Station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77" w:val="left" w:leader="none"/>
              </w:tabs>
              <w:spacing w:line="240" w:lineRule="auto" w:before="60" w:after="0"/>
              <w:ind w:left="676" w:right="0" w:hanging="287"/>
              <w:jc w:val="left"/>
              <w:rPr>
                <w:sz w:val="19"/>
              </w:rPr>
            </w:pPr>
            <w:r>
              <w:rPr>
                <w:sz w:val="19"/>
              </w:rPr>
              <w:t>CBD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North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(State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Library)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Station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77" w:val="left" w:leader="none"/>
              </w:tabs>
              <w:spacing w:line="240" w:lineRule="auto" w:before="62" w:after="0"/>
              <w:ind w:left="676" w:right="0" w:hanging="287"/>
              <w:jc w:val="left"/>
              <w:rPr>
                <w:sz w:val="19"/>
              </w:rPr>
            </w:pPr>
            <w:r>
              <w:rPr>
                <w:sz w:val="19"/>
              </w:rPr>
              <w:t>CBD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South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(Town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Hall)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Station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77" w:val="left" w:leader="none"/>
              </w:tabs>
              <w:spacing w:line="240" w:lineRule="auto" w:before="60" w:after="0"/>
              <w:ind w:left="676" w:right="0" w:hanging="287"/>
              <w:jc w:val="left"/>
              <w:rPr>
                <w:sz w:val="19"/>
              </w:rPr>
            </w:pPr>
            <w:r>
              <w:rPr>
                <w:sz w:val="19"/>
              </w:rPr>
              <w:t>Domain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(Anzac)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Station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77" w:val="left" w:leader="none"/>
              </w:tabs>
              <w:spacing w:line="240" w:lineRule="auto" w:before="60" w:after="0"/>
              <w:ind w:left="676" w:right="0" w:hanging="287"/>
              <w:jc w:val="left"/>
              <w:rPr>
                <w:sz w:val="19"/>
              </w:rPr>
            </w:pPr>
            <w:r>
              <w:rPr>
                <w:sz w:val="19"/>
              </w:rPr>
              <w:t>Rail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turnback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at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West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Footscray Station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77" w:val="left" w:leader="none"/>
              </w:tabs>
              <w:spacing w:line="240" w:lineRule="auto" w:before="60" w:after="0"/>
              <w:ind w:left="390" w:right="300" w:firstLine="0"/>
              <w:jc w:val="left"/>
              <w:rPr>
                <w:sz w:val="19"/>
              </w:rPr>
            </w:pPr>
            <w:r>
              <w:rPr>
                <w:sz w:val="19"/>
              </w:rPr>
              <w:t>Any other above ground works or structures</w:t>
            </w:r>
            <w:r>
              <w:rPr>
                <w:spacing w:val="-51"/>
                <w:sz w:val="19"/>
              </w:rPr>
              <w:t> </w:t>
            </w:r>
            <w:r>
              <w:rPr>
                <w:sz w:val="19"/>
              </w:rPr>
              <w:t>that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are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part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Project.</w:t>
            </w:r>
          </w:p>
          <w:p>
            <w:pPr>
              <w:pStyle w:val="TableParagraph"/>
              <w:spacing w:before="60"/>
              <w:ind w:right="343"/>
              <w:rPr>
                <w:sz w:val="19"/>
              </w:rPr>
            </w:pPr>
            <w:r>
              <w:rPr>
                <w:sz w:val="19"/>
              </w:rPr>
              <w:t>*Clause 4.13 relates to Project preparatory works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are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subject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separate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approval requirement.</w:t>
            </w:r>
          </w:p>
        </w:tc>
        <w:tc>
          <w:tcPr>
            <w:tcW w:w="2833" w:type="dxa"/>
            <w:tcBorders>
              <w:top w:val="nil"/>
            </w:tcBorders>
          </w:tcPr>
          <w:p>
            <w:pPr>
              <w:pStyle w:val="TableParagraph"/>
              <w:spacing w:before="59"/>
              <w:ind w:right="150"/>
              <w:rPr>
                <w:sz w:val="19"/>
              </w:rPr>
            </w:pPr>
            <w:r>
              <w:rPr>
                <w:sz w:val="19"/>
              </w:rPr>
              <w:t>This Arden Station Precinct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Development Plan presents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the scope and extent of the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built form of CYP’s works in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the Arden Station precinct,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including new Arden Station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from the entrance to the to the</w:t>
            </w:r>
            <w:r>
              <w:rPr>
                <w:spacing w:val="-51"/>
                <w:sz w:val="19"/>
              </w:rPr>
              <w:t> </w:t>
            </w:r>
            <w:r>
              <w:rPr>
                <w:sz w:val="19"/>
              </w:rPr>
              <w:t>ticket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gate.</w:t>
            </w:r>
          </w:p>
        </w:tc>
      </w:tr>
      <w:tr>
        <w:trPr>
          <w:trHeight w:val="2740" w:hRule="atLeast"/>
        </w:trPr>
        <w:tc>
          <w:tcPr>
            <w:tcW w:w="989" w:type="dxa"/>
          </w:tcPr>
          <w:p>
            <w:pPr>
              <w:pStyle w:val="TableParagraph"/>
              <w:spacing w:before="59"/>
              <w:rPr>
                <w:sz w:val="19"/>
              </w:rPr>
            </w:pPr>
            <w:r>
              <w:rPr>
                <w:sz w:val="19"/>
              </w:rPr>
              <w:t>4.7.2</w:t>
            </w:r>
          </w:p>
        </w:tc>
        <w:tc>
          <w:tcPr>
            <w:tcW w:w="4674" w:type="dxa"/>
          </w:tcPr>
          <w:p>
            <w:pPr>
              <w:pStyle w:val="TableParagraph"/>
              <w:spacing w:before="59"/>
              <w:ind w:right="380"/>
              <w:rPr>
                <w:sz w:val="19"/>
              </w:rPr>
            </w:pPr>
            <w:r>
              <w:rPr>
                <w:sz w:val="19"/>
              </w:rPr>
              <w:t>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Development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Plan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must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address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works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that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are</w:t>
            </w:r>
            <w:r>
              <w:rPr>
                <w:spacing w:val="-49"/>
                <w:sz w:val="19"/>
              </w:rPr>
              <w:t> </w:t>
            </w:r>
            <w:r>
              <w:rPr>
                <w:sz w:val="19"/>
              </w:rPr>
              <w:t>associated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with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each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items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listed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in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Clause</w:t>
            </w:r>
          </w:p>
          <w:p>
            <w:pPr>
              <w:pStyle w:val="TableParagraph"/>
              <w:spacing w:before="0"/>
              <w:ind w:right="766"/>
              <w:rPr>
                <w:sz w:val="19"/>
              </w:rPr>
            </w:pPr>
            <w:r>
              <w:rPr>
                <w:sz w:val="19"/>
              </w:rPr>
              <w:t>4.7.1. A Development Plan for a station must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address underground areas from the station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entrance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to the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ticket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gate.</w:t>
            </w:r>
          </w:p>
        </w:tc>
        <w:tc>
          <w:tcPr>
            <w:tcW w:w="2833" w:type="dxa"/>
          </w:tcPr>
          <w:p>
            <w:pPr>
              <w:pStyle w:val="TableParagraph"/>
              <w:spacing w:before="59"/>
              <w:ind w:right="126"/>
              <w:rPr>
                <w:sz w:val="19"/>
              </w:rPr>
            </w:pPr>
            <w:r>
              <w:rPr>
                <w:sz w:val="19"/>
              </w:rPr>
              <w:t>CYP’s works to the ticket gate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are described in Section </w:t>
            </w:r>
            <w:hyperlink w:history="true" w:anchor="_bookmark17">
              <w:r>
                <w:rPr>
                  <w:sz w:val="19"/>
                </w:rPr>
                <w:t>3 </w:t>
              </w:r>
            </w:hyperlink>
            <w:r>
              <w:rPr>
                <w:sz w:val="19"/>
              </w:rPr>
              <w:t>and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the drawings in </w:t>
            </w:r>
            <w:hyperlink w:history="true" w:anchor="_bookmark0">
              <w:r>
                <w:rPr>
                  <w:sz w:val="19"/>
                </w:rPr>
                <w:t>Appendix A:</w:t>
              </w:r>
            </w:hyperlink>
            <w:r>
              <w:rPr>
                <w:spacing w:val="1"/>
                <w:sz w:val="19"/>
              </w:rPr>
              <w:t> </w:t>
            </w:r>
            <w:hyperlink w:history="true" w:anchor="_bookmark0">
              <w:r>
                <w:rPr>
                  <w:sz w:val="19"/>
                </w:rPr>
                <w:t>Arden Station Precinct Site</w:t>
              </w:r>
            </w:hyperlink>
            <w:r>
              <w:rPr>
                <w:spacing w:val="1"/>
                <w:sz w:val="19"/>
              </w:rPr>
              <w:t> </w:t>
            </w:r>
            <w:hyperlink w:history="true" w:anchor="_bookmark0">
              <w:r>
                <w:rPr>
                  <w:sz w:val="19"/>
                </w:rPr>
                <w:t>Layout Plan, </w:t>
              </w:r>
            </w:hyperlink>
            <w:r>
              <w:rPr>
                <w:sz w:val="19"/>
              </w:rPr>
              <w:t>Appendix B: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Arden Station Precinct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Architectural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Plans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Elevations,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Appendix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C: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Arden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Station Precinct Landscape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Plans and Elevations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Appendix D: Arden Station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Precinct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Public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Realm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Plans.</w:t>
            </w:r>
          </w:p>
        </w:tc>
      </w:tr>
      <w:tr>
        <w:trPr>
          <w:trHeight w:val="340" w:hRule="atLeast"/>
        </w:trPr>
        <w:tc>
          <w:tcPr>
            <w:tcW w:w="989" w:type="dxa"/>
          </w:tcPr>
          <w:p>
            <w:pPr>
              <w:pStyle w:val="TableParagraph"/>
              <w:spacing w:before="59"/>
              <w:rPr>
                <w:sz w:val="19"/>
              </w:rPr>
            </w:pPr>
            <w:r>
              <w:rPr>
                <w:sz w:val="19"/>
              </w:rPr>
              <w:t>4.7.3</w:t>
            </w:r>
          </w:p>
        </w:tc>
        <w:tc>
          <w:tcPr>
            <w:tcW w:w="4674" w:type="dxa"/>
          </w:tcPr>
          <w:p>
            <w:pPr>
              <w:pStyle w:val="TableParagraph"/>
              <w:spacing w:before="59"/>
              <w:rPr>
                <w:sz w:val="19"/>
              </w:rPr>
            </w:pPr>
            <w:r>
              <w:rPr>
                <w:sz w:val="19"/>
              </w:rPr>
              <w:t>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Development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Plan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must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include:</w:t>
            </w:r>
          </w:p>
        </w:tc>
        <w:tc>
          <w:tcPr>
            <w:tcW w:w="2833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774" w:hRule="atLeast"/>
        </w:trPr>
        <w:tc>
          <w:tcPr>
            <w:tcW w:w="98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674" w:type="dxa"/>
          </w:tcPr>
          <w:p>
            <w:pPr>
              <w:pStyle w:val="TableParagraph"/>
              <w:spacing w:before="59"/>
              <w:ind w:left="467"/>
              <w:rPr>
                <w:sz w:val="19"/>
              </w:rPr>
            </w:pPr>
            <w:r>
              <w:rPr>
                <w:sz w:val="19"/>
              </w:rPr>
              <w:t>a)</w:t>
            </w:r>
            <w:r>
              <w:rPr>
                <w:spacing w:val="84"/>
                <w:sz w:val="19"/>
              </w:rPr>
              <w:t> </w:t>
            </w:r>
            <w:r>
              <w:rPr>
                <w:sz w:val="19"/>
              </w:rPr>
              <w:t>A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site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layout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plan/s</w:t>
            </w:r>
          </w:p>
        </w:tc>
        <w:tc>
          <w:tcPr>
            <w:tcW w:w="2833" w:type="dxa"/>
          </w:tcPr>
          <w:p>
            <w:pPr>
              <w:pStyle w:val="TableParagraph"/>
              <w:spacing w:before="59"/>
              <w:ind w:right="193"/>
              <w:rPr>
                <w:sz w:val="19"/>
              </w:rPr>
            </w:pPr>
            <w:r>
              <w:rPr>
                <w:sz w:val="19"/>
              </w:rPr>
              <w:t>Site layout plans in </w:t>
            </w:r>
            <w:hyperlink w:history="true" w:anchor="_bookmark0">
              <w:r>
                <w:rPr>
                  <w:sz w:val="19"/>
                </w:rPr>
                <w:t>Appendix</w:t>
              </w:r>
            </w:hyperlink>
            <w:r>
              <w:rPr>
                <w:spacing w:val="1"/>
                <w:sz w:val="19"/>
              </w:rPr>
              <w:t> </w:t>
            </w:r>
            <w:hyperlink w:history="true" w:anchor="_bookmark0">
              <w:r>
                <w:rPr>
                  <w:sz w:val="19"/>
                </w:rPr>
                <w:t>A: Arden Station Precinct Site</w:t>
              </w:r>
            </w:hyperlink>
            <w:r>
              <w:rPr>
                <w:spacing w:val="-51"/>
                <w:sz w:val="19"/>
              </w:rPr>
              <w:t> </w:t>
            </w:r>
            <w:hyperlink w:history="true" w:anchor="_bookmark0">
              <w:r>
                <w:rPr>
                  <w:sz w:val="19"/>
                </w:rPr>
                <w:t>Layout</w:t>
              </w:r>
              <w:r>
                <w:rPr>
                  <w:spacing w:val="-1"/>
                  <w:sz w:val="19"/>
                </w:rPr>
                <w:t> </w:t>
              </w:r>
              <w:r>
                <w:rPr>
                  <w:sz w:val="19"/>
                </w:rPr>
                <w:t>Plan.</w:t>
              </w:r>
            </w:hyperlink>
          </w:p>
        </w:tc>
      </w:tr>
      <w:tr>
        <w:trPr>
          <w:trHeight w:val="1429" w:hRule="atLeast"/>
        </w:trPr>
        <w:tc>
          <w:tcPr>
            <w:tcW w:w="98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674" w:type="dxa"/>
          </w:tcPr>
          <w:p>
            <w:pPr>
              <w:pStyle w:val="TableParagraph"/>
              <w:spacing w:before="59"/>
              <w:ind w:left="827" w:right="203" w:hanging="360"/>
              <w:rPr>
                <w:sz w:val="19"/>
              </w:rPr>
            </w:pPr>
            <w:r>
              <w:rPr>
                <w:sz w:val="19"/>
              </w:rPr>
              <w:t>b)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Architectural, landscape and public realm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plans and elevations including lighting,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signage,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pedestrian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access,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bicycle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access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other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ancillary facilities</w:t>
            </w:r>
          </w:p>
        </w:tc>
        <w:tc>
          <w:tcPr>
            <w:tcW w:w="2833" w:type="dxa"/>
          </w:tcPr>
          <w:p>
            <w:pPr>
              <w:pStyle w:val="TableParagraph"/>
              <w:spacing w:before="59"/>
              <w:ind w:right="87"/>
              <w:rPr>
                <w:sz w:val="19"/>
              </w:rPr>
            </w:pPr>
            <w:r>
              <w:rPr>
                <w:sz w:val="19"/>
              </w:rPr>
              <w:t>Architectural plans in Appendix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B: Arden Station Precinct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Architectural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Plans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Elevations.</w:t>
            </w:r>
          </w:p>
          <w:p>
            <w:pPr>
              <w:pStyle w:val="TableParagraph"/>
              <w:spacing w:line="220" w:lineRule="atLeast" w:before="38"/>
              <w:ind w:right="213"/>
              <w:rPr>
                <w:sz w:val="19"/>
              </w:rPr>
            </w:pPr>
            <w:r>
              <w:rPr>
                <w:sz w:val="19"/>
              </w:rPr>
              <w:t>Landscape plans in Appendix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C: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Arden Station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Precinct</w:t>
            </w:r>
          </w:p>
        </w:tc>
      </w:tr>
    </w:tbl>
    <w:p>
      <w:pPr>
        <w:spacing w:after="0" w:line="220" w:lineRule="atLeast"/>
        <w:rPr>
          <w:sz w:val="19"/>
        </w:rPr>
        <w:sectPr>
          <w:pgSz w:w="11910" w:h="16840"/>
          <w:pgMar w:header="936" w:footer="365" w:top="1900" w:bottom="640" w:left="94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tbl>
      <w:tblPr>
        <w:tblW w:w="0" w:type="auto"/>
        <w:jc w:val="left"/>
        <w:tblInd w:w="491" w:type="dxa"/>
        <w:tblBorders>
          <w:top w:val="single" w:sz="4" w:space="0" w:color="57DEFF"/>
          <w:left w:val="single" w:sz="4" w:space="0" w:color="57DEFF"/>
          <w:bottom w:val="single" w:sz="4" w:space="0" w:color="57DEFF"/>
          <w:right w:val="single" w:sz="4" w:space="0" w:color="57DEFF"/>
          <w:insideH w:val="single" w:sz="4" w:space="0" w:color="57DEFF"/>
          <w:insideV w:val="single" w:sz="4" w:space="0" w:color="57DE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4674"/>
        <w:gridCol w:w="2833"/>
      </w:tblGrid>
      <w:tr>
        <w:trPr>
          <w:trHeight w:val="357" w:hRule="atLeast"/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69"/>
              <w:ind w:left="11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Clause</w:t>
            </w:r>
          </w:p>
        </w:tc>
        <w:tc>
          <w:tcPr>
            <w:tcW w:w="4674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69"/>
              <w:ind w:left="11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Conditions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69"/>
              <w:ind w:left="11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Response</w:t>
            </w:r>
          </w:p>
        </w:tc>
      </w:tr>
      <w:tr>
        <w:trPr>
          <w:trHeight w:val="1214" w:hRule="atLeast"/>
        </w:trPr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674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833" w:type="dxa"/>
            <w:tcBorders>
              <w:top w:val="nil"/>
            </w:tcBorders>
          </w:tcPr>
          <w:p>
            <w:pPr>
              <w:pStyle w:val="TableParagraph"/>
              <w:spacing w:before="0"/>
              <w:ind w:right="884"/>
              <w:rPr>
                <w:sz w:val="19"/>
              </w:rPr>
            </w:pPr>
            <w:r>
              <w:rPr>
                <w:sz w:val="19"/>
              </w:rPr>
              <w:t>Landscape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Plans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Elevations.</w:t>
            </w:r>
          </w:p>
          <w:p>
            <w:pPr>
              <w:pStyle w:val="TableParagraph"/>
              <w:spacing w:before="61"/>
              <w:ind w:right="97"/>
              <w:rPr>
                <w:sz w:val="19"/>
              </w:rPr>
            </w:pPr>
            <w:r>
              <w:rPr>
                <w:sz w:val="19"/>
              </w:rPr>
              <w:t>Public realm plans in Appendix</w:t>
            </w:r>
            <w:r>
              <w:rPr>
                <w:spacing w:val="-51"/>
                <w:sz w:val="19"/>
              </w:rPr>
              <w:t> </w:t>
            </w:r>
            <w:r>
              <w:rPr>
                <w:sz w:val="19"/>
              </w:rPr>
              <w:t>D: Arden Station Precinct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Public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Realm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Plans.</w:t>
            </w:r>
          </w:p>
        </w:tc>
      </w:tr>
      <w:tr>
        <w:trPr>
          <w:trHeight w:val="3019" w:hRule="atLeast"/>
        </w:trPr>
        <w:tc>
          <w:tcPr>
            <w:tcW w:w="989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674" w:type="dxa"/>
          </w:tcPr>
          <w:p>
            <w:pPr>
              <w:pStyle w:val="TableParagraph"/>
              <w:tabs>
                <w:tab w:pos="827" w:val="left" w:leader="none"/>
              </w:tabs>
              <w:spacing w:before="59"/>
              <w:ind w:left="827" w:right="222" w:hanging="360"/>
              <w:rPr>
                <w:sz w:val="19"/>
              </w:rPr>
            </w:pPr>
            <w:r>
              <w:rPr>
                <w:sz w:val="19"/>
              </w:rPr>
              <w:t>c)</w:t>
              <w:tab/>
              <w:t>An explanation demonstrating how the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Development Plan (including materials and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external finishes) is in accordance with the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approved Environmental Performance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Requirements included within the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Environmental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Management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Framework.</w:t>
            </w:r>
          </w:p>
        </w:tc>
        <w:tc>
          <w:tcPr>
            <w:tcW w:w="2833" w:type="dxa"/>
          </w:tcPr>
          <w:p>
            <w:pPr>
              <w:pStyle w:val="TableParagraph"/>
              <w:spacing w:before="59"/>
              <w:ind w:right="114"/>
              <w:rPr>
                <w:sz w:val="19"/>
              </w:rPr>
            </w:pPr>
            <w:r>
              <w:rPr>
                <w:sz w:val="19"/>
              </w:rPr>
              <w:t>Consistency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with</w:t>
            </w:r>
            <w:r>
              <w:rPr>
                <w:spacing w:val="7"/>
                <w:sz w:val="19"/>
              </w:rPr>
              <w:t> </w:t>
            </w:r>
            <w:r>
              <w:rPr>
                <w:sz w:val="19"/>
              </w:rPr>
              <w:t>Urban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Design Strategy in Section </w:t>
            </w:r>
            <w:hyperlink w:history="true" w:anchor="_bookmark25">
              <w:r>
                <w:rPr>
                  <w:sz w:val="19"/>
                </w:rPr>
                <w:t>4.3</w:t>
              </w:r>
            </w:hyperlink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and Appendix E: Arden Station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Precinct Urban Design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Strategy guidelines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assessment.</w:t>
            </w:r>
          </w:p>
          <w:p>
            <w:pPr>
              <w:pStyle w:val="TableParagraph"/>
              <w:spacing w:before="60"/>
              <w:ind w:right="172"/>
              <w:rPr>
                <w:sz w:val="19"/>
              </w:rPr>
            </w:pPr>
            <w:r>
              <w:rPr>
                <w:sz w:val="19"/>
              </w:rPr>
              <w:t>Consistency with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Environmental Management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Framework in Section </w:t>
            </w:r>
            <w:hyperlink w:history="true" w:anchor="_bookmark45">
              <w:r>
                <w:rPr>
                  <w:sz w:val="19"/>
                </w:rPr>
                <w:t>4.4 </w:t>
              </w:r>
            </w:hyperlink>
            <w:r>
              <w:rPr>
                <w:sz w:val="19"/>
              </w:rPr>
              <w:t>and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Appendix F: Arden Station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Precinct Environmental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Performance Requirements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assessment.</w:t>
            </w:r>
          </w:p>
        </w:tc>
      </w:tr>
      <w:tr>
        <w:trPr>
          <w:trHeight w:val="6538" w:hRule="atLeast"/>
        </w:trPr>
        <w:tc>
          <w:tcPr>
            <w:tcW w:w="989" w:type="dxa"/>
          </w:tcPr>
          <w:p>
            <w:pPr>
              <w:pStyle w:val="TableParagraph"/>
              <w:spacing w:before="59"/>
              <w:rPr>
                <w:sz w:val="19"/>
              </w:rPr>
            </w:pPr>
            <w:r>
              <w:rPr>
                <w:sz w:val="19"/>
              </w:rPr>
              <w:t>4.7.4</w:t>
            </w:r>
          </w:p>
        </w:tc>
        <w:tc>
          <w:tcPr>
            <w:tcW w:w="4674" w:type="dxa"/>
          </w:tcPr>
          <w:p>
            <w:pPr>
              <w:pStyle w:val="TableParagraph"/>
              <w:spacing w:before="59"/>
              <w:ind w:right="418"/>
              <w:rPr>
                <w:sz w:val="19"/>
              </w:rPr>
            </w:pPr>
            <w:r>
              <w:rPr>
                <w:sz w:val="19"/>
              </w:rPr>
              <w:t>Prior to submission of a Development Plan to the</w:t>
            </w:r>
            <w:r>
              <w:rPr>
                <w:spacing w:val="-51"/>
                <w:sz w:val="19"/>
              </w:rPr>
              <w:t> </w:t>
            </w:r>
            <w:r>
              <w:rPr>
                <w:sz w:val="19"/>
              </w:rPr>
              <w:t>Minister for Planning for approval under Clause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4.7.1,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a Development Plan must be: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28" w:val="left" w:leader="none"/>
              </w:tabs>
              <w:spacing w:line="242" w:lineRule="auto" w:before="60" w:after="0"/>
              <w:ind w:left="827" w:right="108" w:hanging="360"/>
              <w:jc w:val="left"/>
              <w:rPr>
                <w:sz w:val="19"/>
              </w:rPr>
            </w:pPr>
            <w:r>
              <w:rPr>
                <w:sz w:val="19"/>
              </w:rPr>
              <w:t>Provided to the Office of the Victorian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Government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Architect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relevant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council/s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for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consultation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28" w:val="left" w:leader="none"/>
              </w:tabs>
              <w:spacing w:line="240" w:lineRule="auto" w:before="56" w:after="0"/>
              <w:ind w:left="827" w:right="181" w:hanging="360"/>
              <w:jc w:val="left"/>
              <w:rPr>
                <w:sz w:val="19"/>
              </w:rPr>
            </w:pPr>
            <w:r>
              <w:rPr>
                <w:sz w:val="19"/>
              </w:rPr>
              <w:t>Where relevant, provided to the Roads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Corporation, Public Transport Development</w:t>
            </w:r>
            <w:r>
              <w:rPr>
                <w:spacing w:val="-51"/>
                <w:sz w:val="19"/>
              </w:rPr>
              <w:t> </w:t>
            </w:r>
            <w:r>
              <w:rPr>
                <w:sz w:val="19"/>
              </w:rPr>
              <w:t>Authority, Melbourne Water and Heritage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Victoria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for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consultation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827" w:val="left" w:leader="none"/>
                <w:tab w:pos="828" w:val="left" w:leader="none"/>
              </w:tabs>
              <w:spacing w:line="240" w:lineRule="auto" w:before="59" w:after="0"/>
              <w:ind w:left="827" w:right="161" w:hanging="360"/>
              <w:jc w:val="left"/>
              <w:rPr>
                <w:sz w:val="19"/>
              </w:rPr>
            </w:pPr>
            <w:r>
              <w:rPr>
                <w:sz w:val="19"/>
              </w:rPr>
              <w:t>Made available for public inspection and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comment on a clearly identifiable Project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website for 15 business days. The website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must set out details about the entity and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contact details to which written comments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can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be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directed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during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that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time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specify</w:t>
            </w:r>
            <w:r>
              <w:rPr>
                <w:spacing w:val="-49"/>
                <w:sz w:val="19"/>
              </w:rPr>
              <w:t> </w:t>
            </w:r>
            <w:r>
              <w:rPr>
                <w:sz w:val="19"/>
              </w:rPr>
              <w:t>the time and manner for the making of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written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comments.</w:t>
            </w:r>
          </w:p>
          <w:p>
            <w:pPr>
              <w:pStyle w:val="TableParagraph"/>
              <w:spacing w:before="60"/>
              <w:ind w:right="414"/>
              <w:rPr>
                <w:sz w:val="19"/>
              </w:rPr>
            </w:pPr>
            <w:r>
              <w:rPr>
                <w:sz w:val="19"/>
              </w:rPr>
              <w:t>For the avoidance of doubt, consultation in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accordance with (a) and (b) can occur prior to or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after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public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inspection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comment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period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in</w:t>
            </w:r>
            <w:r>
              <w:rPr>
                <w:spacing w:val="-49"/>
                <w:sz w:val="19"/>
              </w:rPr>
              <w:t> </w:t>
            </w:r>
            <w:r>
              <w:rPr>
                <w:sz w:val="19"/>
              </w:rPr>
              <w:t>(c).</w:t>
            </w:r>
          </w:p>
          <w:p>
            <w:pPr>
              <w:pStyle w:val="TableParagraph"/>
              <w:spacing w:before="60"/>
              <w:ind w:right="202"/>
              <w:rPr>
                <w:sz w:val="19"/>
              </w:rPr>
            </w:pPr>
            <w:r>
              <w:rPr>
                <w:sz w:val="19"/>
              </w:rPr>
              <w:t>Before, or on the same day as a Development Plan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is made available in accordance with Clause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4.7.4(c),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notice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must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be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published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in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newspaper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generally circulating in the area to which a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Development Plan applies informing the community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the matters set out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in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Clause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4.7.4(c).</w:t>
            </w:r>
          </w:p>
        </w:tc>
        <w:tc>
          <w:tcPr>
            <w:tcW w:w="2833" w:type="dxa"/>
          </w:tcPr>
          <w:p>
            <w:pPr>
              <w:pStyle w:val="TableParagraph"/>
              <w:spacing w:before="59"/>
              <w:ind w:right="356"/>
              <w:rPr>
                <w:sz w:val="19"/>
              </w:rPr>
            </w:pPr>
            <w:r>
              <w:rPr>
                <w:sz w:val="19"/>
              </w:rPr>
              <w:t>Stakeholder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community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consultation is outlined in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Section </w:t>
            </w:r>
            <w:hyperlink w:history="true" w:anchor="_bookmark7">
              <w:r>
                <w:rPr>
                  <w:sz w:val="19"/>
                </w:rPr>
                <w:t>1.3</w:t>
              </w:r>
              <w:r>
                <w:rPr>
                  <w:spacing w:val="-1"/>
                  <w:sz w:val="19"/>
                </w:rPr>
                <w:t> </w:t>
              </w:r>
            </w:hyperlink>
            <w:r>
              <w:rPr>
                <w:sz w:val="19"/>
              </w:rPr>
              <w:t>and </w:t>
            </w:r>
            <w:hyperlink w:history="true" w:anchor="_bookmark10">
              <w:r>
                <w:rPr>
                  <w:sz w:val="19"/>
                </w:rPr>
                <w:t>Figure</w:t>
              </w:r>
              <w:r>
                <w:rPr>
                  <w:spacing w:val="-1"/>
                  <w:sz w:val="19"/>
                </w:rPr>
                <w:t> </w:t>
              </w:r>
              <w:r>
                <w:rPr>
                  <w:sz w:val="19"/>
                </w:rPr>
                <w:t>1.</w:t>
              </w:r>
            </w:hyperlink>
          </w:p>
        </w:tc>
      </w:tr>
      <w:tr>
        <w:trPr>
          <w:trHeight w:val="1432" w:hRule="atLeast"/>
        </w:trPr>
        <w:tc>
          <w:tcPr>
            <w:tcW w:w="989" w:type="dxa"/>
          </w:tcPr>
          <w:p>
            <w:pPr>
              <w:pStyle w:val="TableParagraph"/>
              <w:spacing w:before="61"/>
              <w:rPr>
                <w:sz w:val="19"/>
              </w:rPr>
            </w:pPr>
            <w:r>
              <w:rPr>
                <w:sz w:val="19"/>
              </w:rPr>
              <w:t>4.7.5</w:t>
            </w:r>
          </w:p>
        </w:tc>
        <w:tc>
          <w:tcPr>
            <w:tcW w:w="4674" w:type="dxa"/>
          </w:tcPr>
          <w:p>
            <w:pPr>
              <w:pStyle w:val="TableParagraph"/>
              <w:spacing w:before="61"/>
              <w:ind w:right="291"/>
              <w:rPr>
                <w:sz w:val="19"/>
              </w:rPr>
            </w:pPr>
            <w:r>
              <w:rPr>
                <w:sz w:val="19"/>
              </w:rPr>
              <w:t>A Development Plan submitted to the Minister for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Planning for approval under Clause 4.7.1 must be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accompanied by all written comments received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under Clause 4.7.4 and a summary of consultation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and response to issues raised during the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consultation.</w:t>
            </w:r>
          </w:p>
        </w:tc>
        <w:tc>
          <w:tcPr>
            <w:tcW w:w="2833" w:type="dxa"/>
          </w:tcPr>
          <w:p>
            <w:pPr>
              <w:pStyle w:val="TableParagraph"/>
              <w:spacing w:before="61"/>
              <w:ind w:right="199"/>
              <w:rPr>
                <w:sz w:val="19"/>
              </w:rPr>
            </w:pPr>
            <w:r>
              <w:rPr>
                <w:sz w:val="19"/>
              </w:rPr>
              <w:t>CYP provided the Minister for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Planning with a comment /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response register containing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all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written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comments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made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by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stakeholders and the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community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in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relation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this</w:t>
            </w:r>
          </w:p>
        </w:tc>
      </w:tr>
    </w:tbl>
    <w:p>
      <w:pPr>
        <w:spacing w:after="0"/>
        <w:rPr>
          <w:sz w:val="19"/>
        </w:rPr>
        <w:sectPr>
          <w:pgSz w:w="11910" w:h="16840"/>
          <w:pgMar w:header="936" w:footer="365" w:top="1900" w:bottom="560" w:left="94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tbl>
      <w:tblPr>
        <w:tblW w:w="0" w:type="auto"/>
        <w:jc w:val="left"/>
        <w:tblInd w:w="491" w:type="dxa"/>
        <w:tblBorders>
          <w:top w:val="single" w:sz="4" w:space="0" w:color="57DEFF"/>
          <w:left w:val="single" w:sz="4" w:space="0" w:color="57DEFF"/>
          <w:bottom w:val="single" w:sz="4" w:space="0" w:color="57DEFF"/>
          <w:right w:val="single" w:sz="4" w:space="0" w:color="57DEFF"/>
          <w:insideH w:val="single" w:sz="4" w:space="0" w:color="57DEFF"/>
          <w:insideV w:val="single" w:sz="4" w:space="0" w:color="57DE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4674"/>
        <w:gridCol w:w="2833"/>
      </w:tblGrid>
      <w:tr>
        <w:trPr>
          <w:trHeight w:val="357" w:hRule="atLeast"/>
        </w:trPr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69"/>
              <w:ind w:left="11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Clause</w:t>
            </w:r>
          </w:p>
        </w:tc>
        <w:tc>
          <w:tcPr>
            <w:tcW w:w="4674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69"/>
              <w:ind w:left="11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Conditions</w:t>
            </w:r>
          </w:p>
        </w:tc>
        <w:tc>
          <w:tcPr>
            <w:tcW w:w="2833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69"/>
              <w:ind w:left="11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Response</w:t>
            </w:r>
          </w:p>
        </w:tc>
      </w:tr>
      <w:tr>
        <w:trPr>
          <w:trHeight w:val="2087" w:hRule="atLeast"/>
        </w:trPr>
        <w:tc>
          <w:tcPr>
            <w:tcW w:w="989" w:type="dxa"/>
            <w:tcBorders>
              <w:top w:val="nil"/>
            </w:tcBorders>
          </w:tcPr>
          <w:p>
            <w:pPr>
              <w:pStyle w:val="TableParagraph"/>
              <w:spacing w:before="59"/>
              <w:rPr>
                <w:sz w:val="19"/>
              </w:rPr>
            </w:pPr>
            <w:r>
              <w:rPr>
                <w:sz w:val="19"/>
              </w:rPr>
              <w:t>4.7.6</w:t>
            </w:r>
          </w:p>
        </w:tc>
        <w:tc>
          <w:tcPr>
            <w:tcW w:w="4674" w:type="dxa"/>
            <w:tcBorders>
              <w:top w:val="nil"/>
            </w:tcBorders>
          </w:tcPr>
          <w:p>
            <w:pPr>
              <w:pStyle w:val="TableParagraph"/>
              <w:spacing w:before="59"/>
              <w:ind w:right="218"/>
              <w:rPr>
                <w:sz w:val="19"/>
              </w:rPr>
            </w:pPr>
            <w:r>
              <w:rPr>
                <w:sz w:val="19"/>
              </w:rPr>
              <w:t>Before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deciding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whether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approve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Development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Plan under Clause 4.7.1, the Minister for Planning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must consider all written comments received under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Clause 4.7.4 and the consultation and response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summary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provided under Clause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4.7.5.</w:t>
            </w:r>
          </w:p>
        </w:tc>
        <w:tc>
          <w:tcPr>
            <w:tcW w:w="2833" w:type="dxa"/>
            <w:tcBorders>
              <w:top w:val="nil"/>
            </w:tcBorders>
          </w:tcPr>
          <w:p>
            <w:pPr>
              <w:pStyle w:val="TableParagraph"/>
              <w:spacing w:before="0"/>
              <w:ind w:right="805"/>
              <w:rPr>
                <w:sz w:val="19"/>
              </w:rPr>
            </w:pPr>
            <w:r>
              <w:rPr>
                <w:sz w:val="19"/>
              </w:rPr>
              <w:t>Arden Station Precinct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Development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Plan.</w:t>
            </w:r>
          </w:p>
          <w:p>
            <w:pPr>
              <w:pStyle w:val="TableParagraph"/>
              <w:spacing w:before="61"/>
              <w:ind w:right="97"/>
              <w:rPr>
                <w:sz w:val="19"/>
              </w:rPr>
            </w:pPr>
            <w:r>
              <w:rPr>
                <w:sz w:val="19"/>
              </w:rPr>
              <w:t>As part of the amendment to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this Arden Station Precinct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Development Plan, CYP will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provide the Minister for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Planning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with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additional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written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comments made by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stakeholders.</w:t>
            </w:r>
          </w:p>
        </w:tc>
      </w:tr>
      <w:tr>
        <w:trPr>
          <w:trHeight w:val="3019" w:hRule="atLeast"/>
        </w:trPr>
        <w:tc>
          <w:tcPr>
            <w:tcW w:w="989" w:type="dxa"/>
          </w:tcPr>
          <w:p>
            <w:pPr>
              <w:pStyle w:val="TableParagraph"/>
              <w:spacing w:before="59"/>
              <w:rPr>
                <w:sz w:val="19"/>
              </w:rPr>
            </w:pPr>
            <w:r>
              <w:rPr>
                <w:sz w:val="19"/>
              </w:rPr>
              <w:t>4.7.7</w:t>
            </w:r>
          </w:p>
        </w:tc>
        <w:tc>
          <w:tcPr>
            <w:tcW w:w="4674" w:type="dxa"/>
          </w:tcPr>
          <w:p>
            <w:pPr>
              <w:pStyle w:val="TableParagraph"/>
              <w:spacing w:before="59"/>
              <w:ind w:right="153"/>
              <w:rPr>
                <w:sz w:val="19"/>
              </w:rPr>
            </w:pPr>
            <w:r>
              <w:rPr>
                <w:sz w:val="19"/>
              </w:rPr>
              <w:t>A Development Plan must be approved by the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Minister for Planning prior to the commencement of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any development relating to an item in Clause 4.6.1,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except for Early Works that are carried out in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accordance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with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Clause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4.9.</w:t>
            </w:r>
          </w:p>
        </w:tc>
        <w:tc>
          <w:tcPr>
            <w:tcW w:w="2833" w:type="dxa"/>
          </w:tcPr>
          <w:p>
            <w:pPr>
              <w:pStyle w:val="TableParagraph"/>
              <w:spacing w:before="59"/>
              <w:ind w:right="351"/>
              <w:rPr>
                <w:sz w:val="19"/>
              </w:rPr>
            </w:pPr>
            <w:r>
              <w:rPr>
                <w:sz w:val="19"/>
              </w:rPr>
              <w:t>The Arden Station Precinct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Development Plan was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approved by the Minister on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Thursday 8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March 2018.</w:t>
            </w:r>
          </w:p>
          <w:p>
            <w:pPr>
              <w:pStyle w:val="TableParagraph"/>
              <w:spacing w:before="0"/>
              <w:ind w:right="266"/>
              <w:rPr>
                <w:sz w:val="19"/>
              </w:rPr>
            </w:pPr>
            <w:r>
              <w:rPr>
                <w:sz w:val="19"/>
              </w:rPr>
              <w:t>Following the approval of the</w:t>
            </w:r>
            <w:r>
              <w:rPr>
                <w:spacing w:val="-51"/>
                <w:sz w:val="19"/>
              </w:rPr>
              <w:t> </w:t>
            </w:r>
            <w:r>
              <w:rPr>
                <w:sz w:val="19"/>
              </w:rPr>
              <w:t>Development Plan, CYP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commenced works on the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Arden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Station.</w:t>
            </w:r>
          </w:p>
          <w:p>
            <w:pPr>
              <w:pStyle w:val="TableParagraph"/>
              <w:spacing w:before="60"/>
              <w:ind w:right="277"/>
              <w:rPr>
                <w:sz w:val="19"/>
              </w:rPr>
            </w:pPr>
            <w:r>
              <w:rPr>
                <w:sz w:val="19"/>
              </w:rPr>
              <w:t>Early Works was undertaken</w:t>
            </w:r>
            <w:r>
              <w:rPr>
                <w:spacing w:val="-51"/>
                <w:sz w:val="19"/>
              </w:rPr>
              <w:t> </w:t>
            </w:r>
            <w:r>
              <w:rPr>
                <w:sz w:val="19"/>
              </w:rPr>
              <w:t>in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accordance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with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Clause</w:t>
            </w:r>
          </w:p>
          <w:p>
            <w:pPr>
              <w:pStyle w:val="TableParagraph"/>
              <w:spacing w:before="0"/>
              <w:ind w:right="135"/>
              <w:rPr>
                <w:sz w:val="19"/>
              </w:rPr>
            </w:pPr>
            <w:r>
              <w:rPr>
                <w:sz w:val="19"/>
              </w:rPr>
              <w:t>4.10 and preparatory works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was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undertaken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in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accordance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with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Clause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4.13.</w:t>
            </w:r>
          </w:p>
        </w:tc>
      </w:tr>
      <w:tr>
        <w:trPr>
          <w:trHeight w:val="4291" w:hRule="atLeast"/>
        </w:trPr>
        <w:tc>
          <w:tcPr>
            <w:tcW w:w="989" w:type="dxa"/>
            <w:tcBorders>
              <w:bottom w:val="single" w:sz="6" w:space="0" w:color="57DEFF"/>
            </w:tcBorders>
          </w:tcPr>
          <w:p>
            <w:pPr>
              <w:pStyle w:val="TableParagraph"/>
              <w:spacing w:before="61"/>
              <w:rPr>
                <w:sz w:val="19"/>
              </w:rPr>
            </w:pPr>
            <w:r>
              <w:rPr>
                <w:sz w:val="19"/>
              </w:rPr>
              <w:t>4.7.8</w:t>
            </w:r>
          </w:p>
        </w:tc>
        <w:tc>
          <w:tcPr>
            <w:tcW w:w="4674" w:type="dxa"/>
            <w:tcBorders>
              <w:bottom w:val="single" w:sz="6" w:space="0" w:color="57DEFF"/>
            </w:tcBorders>
          </w:tcPr>
          <w:p>
            <w:pPr>
              <w:pStyle w:val="TableParagraph"/>
              <w:spacing w:before="61"/>
              <w:ind w:right="100"/>
              <w:jc w:val="both"/>
              <w:rPr>
                <w:sz w:val="19"/>
              </w:rPr>
            </w:pPr>
            <w:r>
              <w:rPr>
                <w:sz w:val="19"/>
              </w:rPr>
              <w:t>A Development Plan may be prepared and approved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in stages or parts, and may be amended from time to</w:t>
            </w:r>
            <w:r>
              <w:rPr>
                <w:spacing w:val="-51"/>
                <w:sz w:val="19"/>
              </w:rPr>
              <w:t> </w:t>
            </w:r>
            <w:r>
              <w:rPr>
                <w:sz w:val="19"/>
              </w:rPr>
              <w:t>time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with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approval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Minister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for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Planning.</w:t>
            </w:r>
          </w:p>
          <w:p>
            <w:pPr>
              <w:pStyle w:val="TableParagraph"/>
              <w:spacing w:before="0"/>
              <w:ind w:right="101"/>
              <w:rPr>
                <w:sz w:val="19"/>
              </w:rPr>
            </w:pPr>
            <w:r>
              <w:rPr>
                <w:sz w:val="19"/>
              </w:rPr>
              <w:t>The Minister must require an application for approval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of an amendment to a Development Plan to comply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with the requirements of Clauses 4.7.3, 4.7.4, 4.7.5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4.7.6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unless,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in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opinion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the Minister: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677" w:val="left" w:leader="none"/>
              </w:tabs>
              <w:spacing w:line="240" w:lineRule="auto" w:before="60" w:after="0"/>
              <w:ind w:left="676" w:right="0" w:hanging="287"/>
              <w:jc w:val="left"/>
              <w:rPr>
                <w:sz w:val="19"/>
              </w:rPr>
            </w:pPr>
            <w:r>
              <w:rPr>
                <w:sz w:val="19"/>
              </w:rPr>
              <w:t>the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proposed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amendment:</w:t>
            </w:r>
          </w:p>
          <w:p>
            <w:pPr>
              <w:pStyle w:val="TableParagraph"/>
              <w:numPr>
                <w:ilvl w:val="1"/>
                <w:numId w:val="8"/>
              </w:numPr>
              <w:tabs>
                <w:tab w:pos="960" w:val="left" w:leader="none"/>
              </w:tabs>
              <w:spacing w:line="240" w:lineRule="auto" w:before="60" w:after="0"/>
              <w:ind w:left="676" w:right="314" w:firstLine="0"/>
              <w:jc w:val="left"/>
              <w:rPr>
                <w:sz w:val="19"/>
              </w:rPr>
            </w:pPr>
            <w:r>
              <w:rPr>
                <w:sz w:val="19"/>
              </w:rPr>
              <w:t>does not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result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in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a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material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detriment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any person;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or</w:t>
            </w:r>
          </w:p>
          <w:p>
            <w:pPr>
              <w:pStyle w:val="TableParagraph"/>
              <w:numPr>
                <w:ilvl w:val="1"/>
                <w:numId w:val="8"/>
              </w:numPr>
              <w:tabs>
                <w:tab w:pos="960" w:val="left" w:leader="none"/>
              </w:tabs>
              <w:spacing w:line="240" w:lineRule="auto" w:before="60" w:after="0"/>
              <w:ind w:left="676" w:right="101" w:firstLine="0"/>
              <w:jc w:val="left"/>
              <w:rPr>
                <w:sz w:val="19"/>
              </w:rPr>
            </w:pPr>
            <w:r>
              <w:rPr>
                <w:sz w:val="19"/>
              </w:rPr>
              <w:t>a person who may suffer a material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detriment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as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a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result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Minister’s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approval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of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the amendment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has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already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been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sufficiently consulted in respect of the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amendment;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and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677" w:val="left" w:leader="none"/>
              </w:tabs>
              <w:spacing w:line="240" w:lineRule="auto" w:before="59" w:after="0"/>
              <w:ind w:left="390" w:right="162" w:firstLine="0"/>
              <w:jc w:val="left"/>
              <w:rPr>
                <w:sz w:val="19"/>
              </w:rPr>
            </w:pPr>
            <w:r>
              <w:rPr>
                <w:sz w:val="19"/>
              </w:rPr>
              <w:t>any amendment does not involve any change</w:t>
            </w:r>
            <w:r>
              <w:rPr>
                <w:spacing w:val="-51"/>
                <w:sz w:val="19"/>
              </w:rPr>
              <w:t> </w:t>
            </w:r>
            <w:r>
              <w:rPr>
                <w:sz w:val="19"/>
              </w:rPr>
              <w:t>to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an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approved Environmental</w:t>
            </w:r>
            <w:r>
              <w:rPr>
                <w:spacing w:val="2"/>
                <w:sz w:val="19"/>
              </w:rPr>
              <w:t> </w:t>
            </w:r>
            <w:r>
              <w:rPr>
                <w:sz w:val="19"/>
              </w:rPr>
              <w:t>Performance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Requirement.</w:t>
            </w:r>
          </w:p>
        </w:tc>
        <w:tc>
          <w:tcPr>
            <w:tcW w:w="2833" w:type="dxa"/>
            <w:tcBorders>
              <w:bottom w:val="single" w:sz="6" w:space="0" w:color="57DEFF"/>
            </w:tcBorders>
          </w:tcPr>
          <w:p>
            <w:pPr>
              <w:pStyle w:val="TableParagraph"/>
              <w:spacing w:before="61"/>
              <w:ind w:right="556"/>
              <w:rPr>
                <w:sz w:val="19"/>
              </w:rPr>
            </w:pPr>
            <w:r>
              <w:rPr>
                <w:sz w:val="19"/>
              </w:rPr>
              <w:t>This Development Plan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presents the built form of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CYP’s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works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in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the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Arden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Station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precinct.</w:t>
            </w:r>
          </w:p>
          <w:p>
            <w:pPr>
              <w:pStyle w:val="TableParagraph"/>
              <w:spacing w:before="60"/>
              <w:ind w:right="119"/>
              <w:rPr>
                <w:sz w:val="19"/>
              </w:rPr>
            </w:pPr>
            <w:r>
              <w:rPr>
                <w:sz w:val="19"/>
              </w:rPr>
              <w:t>CYP are seeking an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amendment to this Arden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Station Precinct Development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Plan, in accordance with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Clause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4.7.8,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and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approval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will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be sought from the Minister for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Planning.</w:t>
            </w:r>
          </w:p>
        </w:tc>
      </w:tr>
      <w:tr>
        <w:trPr>
          <w:trHeight w:val="774" w:hRule="atLeast"/>
        </w:trPr>
        <w:tc>
          <w:tcPr>
            <w:tcW w:w="989" w:type="dxa"/>
            <w:tcBorders>
              <w:top w:val="single" w:sz="6" w:space="0" w:color="57DEFF"/>
            </w:tcBorders>
          </w:tcPr>
          <w:p>
            <w:pPr>
              <w:pStyle w:val="TableParagraph"/>
              <w:spacing w:before="57"/>
              <w:rPr>
                <w:sz w:val="19"/>
              </w:rPr>
            </w:pPr>
            <w:r>
              <w:rPr>
                <w:sz w:val="19"/>
              </w:rPr>
              <w:t>4.7.9</w:t>
            </w:r>
          </w:p>
        </w:tc>
        <w:tc>
          <w:tcPr>
            <w:tcW w:w="4674" w:type="dxa"/>
            <w:tcBorders>
              <w:top w:val="single" w:sz="6" w:space="0" w:color="57DEFF"/>
            </w:tcBorders>
          </w:tcPr>
          <w:p>
            <w:pPr>
              <w:pStyle w:val="TableParagraph"/>
              <w:spacing w:before="57"/>
              <w:ind w:right="143"/>
              <w:rPr>
                <w:sz w:val="19"/>
              </w:rPr>
            </w:pPr>
            <w:r>
              <w:rPr>
                <w:sz w:val="19"/>
              </w:rPr>
              <w:t>For land to which a Development Plan applies,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development must be carried out in accordance with</w:t>
            </w:r>
            <w:r>
              <w:rPr>
                <w:spacing w:val="-51"/>
                <w:sz w:val="19"/>
              </w:rPr>
              <w:t> </w:t>
            </w:r>
            <w:r>
              <w:rPr>
                <w:sz w:val="19"/>
              </w:rPr>
              <w:t>an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approved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Development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Plan.</w:t>
            </w:r>
          </w:p>
        </w:tc>
        <w:tc>
          <w:tcPr>
            <w:tcW w:w="2833" w:type="dxa"/>
            <w:tcBorders>
              <w:top w:val="single" w:sz="6" w:space="0" w:color="57DEFF"/>
            </w:tcBorders>
          </w:tcPr>
          <w:p>
            <w:pPr>
              <w:pStyle w:val="TableParagraph"/>
              <w:spacing w:before="57"/>
              <w:ind w:right="150"/>
              <w:rPr>
                <w:sz w:val="19"/>
              </w:rPr>
            </w:pPr>
            <w:r>
              <w:rPr>
                <w:sz w:val="19"/>
              </w:rPr>
              <w:t>CYP will develop the Arden</w:t>
            </w:r>
            <w:r>
              <w:rPr>
                <w:spacing w:val="1"/>
                <w:sz w:val="19"/>
              </w:rPr>
              <w:t> </w:t>
            </w:r>
            <w:r>
              <w:rPr>
                <w:sz w:val="19"/>
              </w:rPr>
              <w:t>Station precinct in accordance</w:t>
            </w:r>
            <w:r>
              <w:rPr>
                <w:spacing w:val="-50"/>
                <w:sz w:val="19"/>
              </w:rPr>
              <w:t> </w:t>
            </w:r>
            <w:r>
              <w:rPr>
                <w:sz w:val="19"/>
              </w:rPr>
              <w:t>with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this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Development</w:t>
            </w:r>
            <w:r>
              <w:rPr>
                <w:spacing w:val="-2"/>
                <w:sz w:val="19"/>
              </w:rPr>
              <w:t> </w:t>
            </w:r>
            <w:r>
              <w:rPr>
                <w:sz w:val="19"/>
              </w:rPr>
              <w:t>Plan.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5"/>
        </w:numPr>
        <w:tabs>
          <w:tab w:pos="1187" w:val="left" w:leader="none"/>
        </w:tabs>
        <w:spacing w:line="240" w:lineRule="auto" w:before="253" w:after="0"/>
        <w:ind w:left="1186" w:right="0" w:hanging="709"/>
        <w:jc w:val="left"/>
      </w:pPr>
      <w:bookmarkStart w:name="_bookmark7" w:id="50"/>
      <w:bookmarkEnd w:id="50"/>
      <w:r>
        <w:rPr/>
      </w:r>
      <w:bookmarkStart w:name="_bookmark7" w:id="51"/>
      <w:bookmarkEnd w:id="51"/>
      <w:r>
        <w:rPr>
          <w:color w:val="00BBE9"/>
        </w:rPr>
        <w:t>C</w:t>
      </w:r>
      <w:r>
        <w:rPr>
          <w:color w:val="00BBE9"/>
        </w:rPr>
        <w:t>OMMUNITY</w:t>
      </w:r>
      <w:r>
        <w:rPr>
          <w:color w:val="00BBE9"/>
          <w:spacing w:val="-6"/>
        </w:rPr>
        <w:t> </w:t>
      </w:r>
      <w:r>
        <w:rPr>
          <w:color w:val="00BBE9"/>
        </w:rPr>
        <w:t>AND</w:t>
      </w:r>
      <w:r>
        <w:rPr>
          <w:color w:val="00BBE9"/>
          <w:spacing w:val="-6"/>
        </w:rPr>
        <w:t> </w:t>
      </w:r>
      <w:r>
        <w:rPr>
          <w:color w:val="00BBE9"/>
        </w:rPr>
        <w:t>STAKEHOLDER</w:t>
      </w:r>
      <w:r>
        <w:rPr>
          <w:color w:val="00BBE9"/>
          <w:spacing w:val="-6"/>
        </w:rPr>
        <w:t> </w:t>
      </w:r>
      <w:r>
        <w:rPr>
          <w:color w:val="00BBE9"/>
        </w:rPr>
        <w:t>ENGAGEMENT</w:t>
      </w:r>
    </w:p>
    <w:p>
      <w:pPr>
        <w:pStyle w:val="BodyText"/>
        <w:spacing w:before="118"/>
        <w:ind w:left="478" w:right="385"/>
      </w:pPr>
      <w:r>
        <w:rPr/>
        <w:t>The Metro Tunnel is a city-shaping project, and as such it is vital to draw on the ideas, expertise and</w:t>
      </w:r>
      <w:r>
        <w:rPr>
          <w:spacing w:val="-50"/>
        </w:rPr>
        <w:t> </w:t>
      </w:r>
      <w:r>
        <w:rPr/>
        <w:t>aspirations of the community and stakeholders to inform the planning, construction and future</w:t>
      </w:r>
      <w:r>
        <w:rPr>
          <w:spacing w:val="1"/>
        </w:rPr>
        <w:t> </w:t>
      </w:r>
      <w:r>
        <w:rPr/>
        <w:t>operation of the Project. There have been two distinct periods of community and stakeholder</w:t>
      </w:r>
      <w:r>
        <w:rPr>
          <w:spacing w:val="1"/>
        </w:rPr>
        <w:t> </w:t>
      </w:r>
      <w:r>
        <w:rPr/>
        <w:t>engagement:</w:t>
      </w:r>
    </w:p>
    <w:p>
      <w:pPr>
        <w:spacing w:after="0"/>
        <w:sectPr>
          <w:pgSz w:w="11910" w:h="16840"/>
          <w:pgMar w:header="936" w:footer="365" w:top="1900" w:bottom="560" w:left="94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00" w:after="0"/>
        <w:ind w:left="762" w:right="585" w:hanging="284"/>
        <w:jc w:val="both"/>
        <w:rPr>
          <w:sz w:val="19"/>
        </w:rPr>
      </w:pPr>
      <w:r>
        <w:rPr>
          <w:sz w:val="19"/>
        </w:rPr>
        <w:t>The Early Engagement Period sought to gain targeted feedback from key stakeholders to help</w:t>
      </w:r>
      <w:r>
        <w:rPr>
          <w:spacing w:val="-50"/>
          <w:sz w:val="19"/>
        </w:rPr>
        <w:t> </w:t>
      </w:r>
      <w:r>
        <w:rPr>
          <w:sz w:val="19"/>
        </w:rPr>
        <w:t>inform drafts of the Development Plan, whilst the Public Display Period sought to obtain further</w:t>
      </w:r>
      <w:r>
        <w:rPr>
          <w:spacing w:val="-51"/>
          <w:sz w:val="19"/>
        </w:rPr>
        <w:t> </w:t>
      </w:r>
      <w:r>
        <w:rPr>
          <w:sz w:val="19"/>
        </w:rPr>
        <w:t>feedback</w:t>
      </w:r>
      <w:r>
        <w:rPr>
          <w:spacing w:val="-1"/>
          <w:sz w:val="19"/>
        </w:rPr>
        <w:t> </w:t>
      </w:r>
      <w:r>
        <w:rPr>
          <w:sz w:val="19"/>
        </w:rPr>
        <w:t>from</w:t>
      </w:r>
      <w:r>
        <w:rPr>
          <w:spacing w:val="-1"/>
          <w:sz w:val="19"/>
        </w:rPr>
        <w:t> </w:t>
      </w:r>
      <w:r>
        <w:rPr>
          <w:sz w:val="19"/>
        </w:rPr>
        <w:t>the broader</w:t>
      </w:r>
      <w:r>
        <w:rPr>
          <w:spacing w:val="-1"/>
          <w:sz w:val="19"/>
        </w:rPr>
        <w:t> </w:t>
      </w:r>
      <w:r>
        <w:rPr>
          <w:sz w:val="19"/>
        </w:rPr>
        <w:t>community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20" w:after="0"/>
        <w:ind w:left="762" w:right="483" w:hanging="284"/>
        <w:jc w:val="left"/>
        <w:rPr>
          <w:sz w:val="19"/>
        </w:rPr>
      </w:pPr>
      <w:r>
        <w:rPr>
          <w:sz w:val="19"/>
        </w:rPr>
        <w:t>Following approval of the Arden Station Precinct Development Plan on Thursday 8 March 2018,</w:t>
      </w:r>
      <w:r>
        <w:rPr>
          <w:spacing w:val="-50"/>
          <w:sz w:val="19"/>
        </w:rPr>
        <w:t> </w:t>
      </w:r>
      <w:r>
        <w:rPr>
          <w:sz w:val="19"/>
        </w:rPr>
        <w:t>further stakeholder engagement and another Public Display Period has been undertaken during</w:t>
      </w:r>
      <w:r>
        <w:rPr>
          <w:spacing w:val="-50"/>
          <w:sz w:val="19"/>
        </w:rPr>
        <w:t> </w:t>
      </w:r>
      <w:r>
        <w:rPr>
          <w:sz w:val="19"/>
        </w:rPr>
        <w:t>detailed design. This sought to refine any outstanding design issues with key stakeholders and</w:t>
      </w:r>
      <w:r>
        <w:rPr>
          <w:spacing w:val="1"/>
          <w:sz w:val="19"/>
        </w:rPr>
        <w:t> </w:t>
      </w:r>
      <w:r>
        <w:rPr>
          <w:sz w:val="19"/>
        </w:rPr>
        <w:t>feedback</w:t>
      </w:r>
      <w:r>
        <w:rPr>
          <w:spacing w:val="-1"/>
          <w:sz w:val="19"/>
        </w:rPr>
        <w:t> </w:t>
      </w:r>
      <w:r>
        <w:rPr>
          <w:sz w:val="19"/>
        </w:rPr>
        <w:t>sought</w:t>
      </w:r>
      <w:r>
        <w:rPr>
          <w:spacing w:val="-1"/>
          <w:sz w:val="19"/>
        </w:rPr>
        <w:t> </w:t>
      </w:r>
      <w:r>
        <w:rPr>
          <w:sz w:val="19"/>
        </w:rPr>
        <w:t>from</w:t>
      </w:r>
      <w:r>
        <w:rPr>
          <w:spacing w:val="-1"/>
          <w:sz w:val="19"/>
        </w:rPr>
        <w:t> </w:t>
      </w:r>
      <w:r>
        <w:rPr>
          <w:sz w:val="19"/>
        </w:rPr>
        <w:t>the broader</w:t>
      </w:r>
      <w:r>
        <w:rPr>
          <w:spacing w:val="-1"/>
          <w:sz w:val="19"/>
        </w:rPr>
        <w:t> </w:t>
      </w:r>
      <w:r>
        <w:rPr>
          <w:sz w:val="19"/>
        </w:rPr>
        <w:t>community.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pStyle w:val="Heading3"/>
        <w:numPr>
          <w:ilvl w:val="2"/>
          <w:numId w:val="5"/>
        </w:numPr>
        <w:tabs>
          <w:tab w:pos="1331" w:val="left" w:leader="none"/>
        </w:tabs>
        <w:spacing w:line="240" w:lineRule="auto" w:before="0" w:after="0"/>
        <w:ind w:left="1330" w:right="0" w:hanging="853"/>
        <w:jc w:val="left"/>
      </w:pPr>
      <w:bookmarkStart w:name="_bookmark8" w:id="52"/>
      <w:bookmarkEnd w:id="52"/>
      <w:r>
        <w:rPr/>
      </w:r>
      <w:bookmarkStart w:name="_bookmark8" w:id="53"/>
      <w:bookmarkEnd w:id="53"/>
      <w:r>
        <w:rPr>
          <w:color w:val="808080"/>
        </w:rPr>
        <w:t>EARLY</w:t>
      </w:r>
      <w:r>
        <w:rPr>
          <w:color w:val="808080"/>
          <w:spacing w:val="-4"/>
        </w:rPr>
        <w:t> </w:t>
      </w:r>
      <w:r>
        <w:rPr>
          <w:color w:val="808080"/>
        </w:rPr>
        <w:t>ENGAGEMENT</w:t>
      </w:r>
      <w:r>
        <w:rPr>
          <w:color w:val="808080"/>
          <w:spacing w:val="-1"/>
        </w:rPr>
        <w:t> </w:t>
      </w:r>
      <w:r>
        <w:rPr>
          <w:color w:val="808080"/>
        </w:rPr>
        <w:t>AND</w:t>
      </w:r>
      <w:r>
        <w:rPr>
          <w:color w:val="808080"/>
          <w:spacing w:val="-3"/>
        </w:rPr>
        <w:t> </w:t>
      </w:r>
      <w:r>
        <w:rPr>
          <w:color w:val="808080"/>
        </w:rPr>
        <w:t>PUBLIC</w:t>
      </w:r>
      <w:r>
        <w:rPr>
          <w:color w:val="808080"/>
          <w:spacing w:val="-4"/>
        </w:rPr>
        <w:t> </w:t>
      </w:r>
      <w:r>
        <w:rPr>
          <w:color w:val="808080"/>
        </w:rPr>
        <w:t>DISPLAY</w:t>
      </w:r>
      <w:r>
        <w:rPr>
          <w:color w:val="808080"/>
          <w:spacing w:val="-4"/>
        </w:rPr>
        <w:t> </w:t>
      </w:r>
      <w:r>
        <w:rPr>
          <w:color w:val="808080"/>
        </w:rPr>
        <w:t>PERIOD</w:t>
      </w:r>
    </w:p>
    <w:p>
      <w:pPr>
        <w:pStyle w:val="BodyText"/>
        <w:spacing w:before="121"/>
        <w:ind w:left="478" w:right="289"/>
      </w:pPr>
      <w:r>
        <w:rPr/>
        <w:t>The consultation requirements of the Incorporated Document are shown in </w:t>
      </w:r>
      <w:hyperlink w:history="true" w:anchor="_bookmark10">
        <w:r>
          <w:rPr>
            <w:sz w:val="18"/>
          </w:rPr>
          <w:t>Figure 1</w:t>
        </w:r>
        <w:r>
          <w:rPr/>
          <w:t>. </w:t>
        </w:r>
      </w:hyperlink>
      <w:r>
        <w:rPr/>
        <w:t>In addressing</w:t>
      </w:r>
      <w:r>
        <w:rPr>
          <w:spacing w:val="1"/>
        </w:rPr>
        <w:t> </w:t>
      </w:r>
      <w:r>
        <w:rPr/>
        <w:t>these it is important to note that RPV has already undertaken a comprehensive engagement program</w:t>
      </w:r>
      <w:r>
        <w:rPr>
          <w:spacing w:val="-50"/>
        </w:rPr>
        <w:t> </w:t>
      </w:r>
      <w:r>
        <w:rPr/>
        <w:t>to seek input from stakeholders and the community. As part of preparing the EES, stakeholders and</w:t>
      </w:r>
      <w:r>
        <w:rPr>
          <w:spacing w:val="1"/>
        </w:rPr>
        <w:t> </w:t>
      </w:r>
      <w:r>
        <w:rPr/>
        <w:t>the community had the opportunity to provide formal submissions during a public exhibition period,</w:t>
      </w:r>
      <w:r>
        <w:rPr>
          <w:spacing w:val="1"/>
        </w:rPr>
        <w:t> </w:t>
      </w:r>
      <w:r>
        <w:rPr/>
        <w:t>and these were then presented to an Inquiry and Advisory Committee. This committee then</w:t>
      </w:r>
      <w:r>
        <w:rPr>
          <w:spacing w:val="1"/>
        </w:rPr>
        <w:t> </w:t>
      </w:r>
      <w:r>
        <w:rPr/>
        <w:t>considered</w:t>
      </w:r>
      <w:r>
        <w:rPr>
          <w:spacing w:val="-2"/>
        </w:rPr>
        <w:t> </w:t>
      </w:r>
      <w:r>
        <w:rPr/>
        <w:t>the EES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submissions,</w:t>
      </w:r>
      <w:r>
        <w:rPr>
          <w:spacing w:val="-2"/>
        </w:rPr>
        <w:t> </w:t>
      </w:r>
      <w:r>
        <w:rPr/>
        <w:t>and prepared</w:t>
      </w:r>
      <w:r>
        <w:rPr>
          <w:spacing w:val="-2"/>
        </w:rPr>
        <w:t> </w:t>
      </w:r>
      <w:r>
        <w:rPr/>
        <w:t>a report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Minister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Planning.</w:t>
      </w:r>
    </w:p>
    <w:p>
      <w:pPr>
        <w:pStyle w:val="BodyText"/>
        <w:spacing w:before="122"/>
        <w:ind w:left="478" w:right="364"/>
      </w:pPr>
      <w:r>
        <w:rPr/>
        <w:t>This Arden Station Precinct Development Plan builds on that previous consultation, with CYP having</w:t>
      </w:r>
      <w:r>
        <w:rPr>
          <w:spacing w:val="-50"/>
        </w:rPr>
        <w:t> </w:t>
      </w:r>
      <w:r>
        <w:rPr/>
        <w:t>already consulted with each of the relevant stakeholders identified in the Incorporated Document,</w:t>
      </w:r>
      <w:r>
        <w:rPr>
          <w:spacing w:val="1"/>
        </w:rPr>
        <w:t> </w:t>
      </w:r>
      <w:r>
        <w:rPr/>
        <w:t>being: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21" w:after="0"/>
        <w:ind w:left="762" w:right="0" w:hanging="285"/>
        <w:jc w:val="left"/>
        <w:rPr>
          <w:sz w:val="19"/>
        </w:rPr>
      </w:pPr>
      <w:r>
        <w:rPr>
          <w:sz w:val="19"/>
        </w:rPr>
        <w:t>Office</w:t>
      </w:r>
      <w:r>
        <w:rPr>
          <w:spacing w:val="-4"/>
          <w:sz w:val="19"/>
        </w:rPr>
        <w:t> </w:t>
      </w:r>
      <w:r>
        <w:rPr>
          <w:sz w:val="19"/>
        </w:rPr>
        <w:t>of</w:t>
      </w:r>
      <w:r>
        <w:rPr>
          <w:spacing w:val="-2"/>
          <w:sz w:val="19"/>
        </w:rPr>
        <w:t> </w:t>
      </w:r>
      <w:r>
        <w:rPr>
          <w:sz w:val="19"/>
        </w:rPr>
        <w:t>the</w:t>
      </w:r>
      <w:r>
        <w:rPr>
          <w:spacing w:val="-2"/>
          <w:sz w:val="19"/>
        </w:rPr>
        <w:t> </w:t>
      </w:r>
      <w:r>
        <w:rPr>
          <w:sz w:val="19"/>
        </w:rPr>
        <w:t>Victorian</w:t>
      </w:r>
      <w:r>
        <w:rPr>
          <w:spacing w:val="-4"/>
          <w:sz w:val="19"/>
        </w:rPr>
        <w:t> </w:t>
      </w:r>
      <w:r>
        <w:rPr>
          <w:sz w:val="19"/>
        </w:rPr>
        <w:t>Government</w:t>
      </w:r>
      <w:r>
        <w:rPr>
          <w:spacing w:val="-3"/>
          <w:sz w:val="19"/>
        </w:rPr>
        <w:t> </w:t>
      </w:r>
      <w:r>
        <w:rPr>
          <w:sz w:val="19"/>
        </w:rPr>
        <w:t>Architect</w:t>
      </w:r>
      <w:r>
        <w:rPr>
          <w:spacing w:val="-1"/>
          <w:sz w:val="19"/>
        </w:rPr>
        <w:t> </w:t>
      </w:r>
      <w:r>
        <w:rPr>
          <w:sz w:val="19"/>
        </w:rPr>
        <w:t>(OVGA)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18" w:after="0"/>
        <w:ind w:left="762" w:right="0" w:hanging="285"/>
        <w:jc w:val="left"/>
        <w:rPr>
          <w:sz w:val="19"/>
        </w:rPr>
      </w:pPr>
      <w:r>
        <w:rPr>
          <w:sz w:val="19"/>
        </w:rPr>
        <w:t>City of</w:t>
      </w:r>
      <w:r>
        <w:rPr>
          <w:spacing w:val="-2"/>
          <w:sz w:val="19"/>
        </w:rPr>
        <w:t> </w:t>
      </w:r>
      <w:r>
        <w:rPr>
          <w:sz w:val="19"/>
        </w:rPr>
        <w:t>Melbourne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17" w:after="0"/>
        <w:ind w:left="762" w:right="351" w:hanging="284"/>
        <w:jc w:val="left"/>
        <w:rPr>
          <w:sz w:val="19"/>
        </w:rPr>
      </w:pPr>
      <w:r>
        <w:rPr>
          <w:sz w:val="19"/>
        </w:rPr>
        <w:t>Department of Transport (previously known as VicRoads, Public Transport Victoria and Transport</w:t>
      </w:r>
      <w:r>
        <w:rPr>
          <w:spacing w:val="-50"/>
          <w:sz w:val="19"/>
        </w:rPr>
        <w:t> </w:t>
      </w:r>
      <w:r>
        <w:rPr>
          <w:sz w:val="19"/>
        </w:rPr>
        <w:t>for</w:t>
      </w:r>
      <w:r>
        <w:rPr>
          <w:spacing w:val="-1"/>
          <w:sz w:val="19"/>
        </w:rPr>
        <w:t> </w:t>
      </w:r>
      <w:r>
        <w:rPr>
          <w:sz w:val="19"/>
        </w:rPr>
        <w:t>Victoria)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21" w:after="0"/>
        <w:ind w:left="762" w:right="0" w:hanging="285"/>
        <w:jc w:val="left"/>
        <w:rPr>
          <w:sz w:val="19"/>
        </w:rPr>
      </w:pPr>
      <w:r>
        <w:rPr>
          <w:sz w:val="19"/>
        </w:rPr>
        <w:t>Melbourne</w:t>
      </w:r>
      <w:r>
        <w:rPr>
          <w:spacing w:val="-4"/>
          <w:sz w:val="19"/>
        </w:rPr>
        <w:t> </w:t>
      </w:r>
      <w:r>
        <w:rPr>
          <w:sz w:val="19"/>
        </w:rPr>
        <w:t>Water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17" w:after="0"/>
        <w:ind w:left="762" w:right="0" w:hanging="285"/>
        <w:jc w:val="left"/>
        <w:rPr>
          <w:sz w:val="19"/>
        </w:rPr>
      </w:pPr>
      <w:r>
        <w:rPr>
          <w:sz w:val="19"/>
        </w:rPr>
        <w:t>Heritage</w:t>
      </w:r>
      <w:r>
        <w:rPr>
          <w:spacing w:val="-4"/>
          <w:sz w:val="19"/>
        </w:rPr>
        <w:t> </w:t>
      </w:r>
      <w:r>
        <w:rPr>
          <w:sz w:val="19"/>
        </w:rPr>
        <w:t>Victoria.</w:t>
      </w:r>
    </w:p>
    <w:p>
      <w:pPr>
        <w:pStyle w:val="BodyText"/>
        <w:spacing w:before="119"/>
        <w:ind w:left="478" w:right="395"/>
      </w:pPr>
      <w:r>
        <w:rPr/>
        <w:t>In accordance with the Incorporated Document requirements, the previous version of this Arden</w:t>
      </w:r>
      <w:r>
        <w:rPr>
          <w:spacing w:val="1"/>
        </w:rPr>
        <w:t> </w:t>
      </w:r>
      <w:r>
        <w:rPr/>
        <w:t>Station Precinct Development Plan was made available for public inspection for 15 business days</w:t>
      </w:r>
      <w:r>
        <w:rPr>
          <w:spacing w:val="1"/>
        </w:rPr>
        <w:t> </w:t>
      </w:r>
      <w:r>
        <w:rPr/>
        <w:t>from Monday 27 November 2017 until Friday 15 December 2017 on the Metro Tunnel website along</w:t>
      </w:r>
      <w:r>
        <w:rPr>
          <w:spacing w:val="-51"/>
        </w:rPr>
        <w:t> </w:t>
      </w:r>
      <w:r>
        <w:rPr/>
        <w:t>with an opportunity to provide written comments. As part of this process a notice was published 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Age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Herald</w:t>
      </w:r>
      <w:r>
        <w:rPr>
          <w:spacing w:val="-2"/>
        </w:rPr>
        <w:t> </w:t>
      </w:r>
      <w:r>
        <w:rPr/>
        <w:t>Sun</w:t>
      </w:r>
      <w:r>
        <w:rPr>
          <w:spacing w:val="-2"/>
        </w:rPr>
        <w:t> </w:t>
      </w:r>
      <w:r>
        <w:rPr/>
        <w:t>newspapers to</w:t>
      </w:r>
      <w:r>
        <w:rPr>
          <w:spacing w:val="-2"/>
        </w:rPr>
        <w:t> </w:t>
      </w:r>
      <w:r>
        <w:rPr/>
        <w:t>inform</w:t>
      </w:r>
      <w:r>
        <w:rPr>
          <w:spacing w:val="-2"/>
        </w:rPr>
        <w:t> </w:t>
      </w:r>
      <w:r>
        <w:rPr/>
        <w:t>the community on</w:t>
      </w:r>
      <w:r>
        <w:rPr>
          <w:spacing w:val="-1"/>
        </w:rPr>
        <w:t> </w:t>
      </w:r>
      <w:r>
        <w:rPr/>
        <w:t>Monday</w:t>
      </w:r>
      <w:r>
        <w:rPr>
          <w:spacing w:val="-1"/>
        </w:rPr>
        <w:t> </w:t>
      </w:r>
      <w:r>
        <w:rPr/>
        <w:t>27</w:t>
      </w:r>
      <w:r>
        <w:rPr>
          <w:spacing w:val="-2"/>
        </w:rPr>
        <w:t> </w:t>
      </w:r>
      <w:r>
        <w:rPr/>
        <w:t>November</w:t>
      </w:r>
      <w:r>
        <w:rPr>
          <w:spacing w:val="-1"/>
        </w:rPr>
        <w:t> </w:t>
      </w:r>
      <w:r>
        <w:rPr/>
        <w:t>2017.</w:t>
      </w:r>
    </w:p>
    <w:p>
      <w:pPr>
        <w:pStyle w:val="BodyText"/>
        <w:spacing w:before="119"/>
        <w:ind w:left="478" w:right="1071"/>
      </w:pPr>
      <w:r>
        <w:rPr/>
        <w:t>In addition to the requirements of the Incorporated Document, CYP consulted with other key</w:t>
      </w:r>
      <w:r>
        <w:rPr>
          <w:spacing w:val="-50"/>
        </w:rPr>
        <w:t> </w:t>
      </w:r>
      <w:r>
        <w:rPr/>
        <w:t>stakeholders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understand their</w:t>
      </w:r>
      <w:r>
        <w:rPr>
          <w:spacing w:val="-2"/>
        </w:rPr>
        <w:t> </w:t>
      </w:r>
      <w:r>
        <w:rPr/>
        <w:t>key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concerns</w:t>
      </w:r>
      <w:r>
        <w:rPr>
          <w:spacing w:val="-2"/>
        </w:rPr>
        <w:t> </w:t>
      </w:r>
      <w:r>
        <w:rPr/>
        <w:t>including: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22" w:after="0"/>
        <w:ind w:left="762" w:right="0" w:hanging="285"/>
        <w:jc w:val="left"/>
        <w:rPr>
          <w:sz w:val="19"/>
        </w:rPr>
      </w:pPr>
      <w:r>
        <w:rPr>
          <w:sz w:val="19"/>
        </w:rPr>
        <w:t>Victorian</w:t>
      </w:r>
      <w:r>
        <w:rPr>
          <w:spacing w:val="-4"/>
          <w:sz w:val="19"/>
        </w:rPr>
        <w:t> </w:t>
      </w:r>
      <w:r>
        <w:rPr>
          <w:sz w:val="19"/>
        </w:rPr>
        <w:t>Planning</w:t>
      </w:r>
      <w:r>
        <w:rPr>
          <w:spacing w:val="-3"/>
          <w:sz w:val="19"/>
        </w:rPr>
        <w:t> </w:t>
      </w:r>
      <w:r>
        <w:rPr>
          <w:sz w:val="19"/>
        </w:rPr>
        <w:t>Authority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17" w:after="0"/>
        <w:ind w:left="762" w:right="0" w:hanging="285"/>
        <w:jc w:val="left"/>
        <w:rPr>
          <w:sz w:val="19"/>
        </w:rPr>
      </w:pPr>
      <w:r>
        <w:rPr>
          <w:sz w:val="19"/>
        </w:rPr>
        <w:t>Lost</w:t>
      </w:r>
      <w:r>
        <w:rPr>
          <w:spacing w:val="-2"/>
          <w:sz w:val="19"/>
        </w:rPr>
        <w:t> </w:t>
      </w:r>
      <w:r>
        <w:rPr>
          <w:sz w:val="19"/>
        </w:rPr>
        <w:t>Dogs Home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20" w:after="0"/>
        <w:ind w:left="762" w:right="0" w:hanging="285"/>
        <w:jc w:val="left"/>
        <w:rPr>
          <w:sz w:val="19"/>
        </w:rPr>
      </w:pPr>
      <w:r>
        <w:rPr>
          <w:sz w:val="19"/>
        </w:rPr>
        <w:t>North</w:t>
      </w:r>
      <w:r>
        <w:rPr>
          <w:spacing w:val="-3"/>
          <w:sz w:val="19"/>
        </w:rPr>
        <w:t> </w:t>
      </w:r>
      <w:r>
        <w:rPr>
          <w:sz w:val="19"/>
        </w:rPr>
        <w:t>Melbourne</w:t>
      </w:r>
      <w:r>
        <w:rPr>
          <w:spacing w:val="-2"/>
          <w:sz w:val="19"/>
        </w:rPr>
        <w:t> </w:t>
      </w:r>
      <w:r>
        <w:rPr>
          <w:sz w:val="19"/>
        </w:rPr>
        <w:t>Football</w:t>
      </w:r>
      <w:r>
        <w:rPr>
          <w:spacing w:val="-1"/>
          <w:sz w:val="19"/>
        </w:rPr>
        <w:t> </w:t>
      </w:r>
      <w:r>
        <w:rPr>
          <w:sz w:val="19"/>
        </w:rPr>
        <w:t>Club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18" w:after="0"/>
        <w:ind w:left="762" w:right="0" w:hanging="285"/>
        <w:jc w:val="left"/>
        <w:rPr>
          <w:sz w:val="19"/>
        </w:rPr>
      </w:pPr>
      <w:r>
        <w:rPr>
          <w:sz w:val="19"/>
        </w:rPr>
        <w:t>CityWide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18" w:after="0"/>
        <w:ind w:left="762" w:right="0" w:hanging="285"/>
        <w:jc w:val="left"/>
        <w:rPr>
          <w:sz w:val="19"/>
        </w:rPr>
      </w:pPr>
      <w:r>
        <w:rPr>
          <w:sz w:val="19"/>
        </w:rPr>
        <w:t>Nick</w:t>
      </w:r>
      <w:r>
        <w:rPr>
          <w:spacing w:val="-3"/>
          <w:sz w:val="19"/>
        </w:rPr>
        <w:t> </w:t>
      </w:r>
      <w:r>
        <w:rPr>
          <w:sz w:val="19"/>
        </w:rPr>
        <w:t>Theodossi</w:t>
      </w:r>
      <w:r>
        <w:rPr>
          <w:spacing w:val="-2"/>
          <w:sz w:val="19"/>
        </w:rPr>
        <w:t> </w:t>
      </w:r>
      <w:r>
        <w:rPr>
          <w:sz w:val="19"/>
        </w:rPr>
        <w:t>Prestige</w:t>
      </w:r>
      <w:r>
        <w:rPr>
          <w:spacing w:val="-3"/>
          <w:sz w:val="19"/>
        </w:rPr>
        <w:t> </w:t>
      </w:r>
      <w:r>
        <w:rPr>
          <w:sz w:val="19"/>
        </w:rPr>
        <w:t>Cars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20" w:after="0"/>
        <w:ind w:left="762" w:right="0" w:hanging="285"/>
        <w:jc w:val="left"/>
        <w:rPr>
          <w:sz w:val="19"/>
        </w:rPr>
      </w:pPr>
      <w:r>
        <w:rPr>
          <w:sz w:val="19"/>
        </w:rPr>
        <w:t>George</w:t>
      </w:r>
      <w:r>
        <w:rPr>
          <w:spacing w:val="-3"/>
          <w:sz w:val="19"/>
        </w:rPr>
        <w:t> </w:t>
      </w:r>
      <w:r>
        <w:rPr>
          <w:sz w:val="19"/>
        </w:rPr>
        <w:t>Weston</w:t>
      </w:r>
      <w:r>
        <w:rPr>
          <w:spacing w:val="-2"/>
          <w:sz w:val="19"/>
        </w:rPr>
        <w:t> </w:t>
      </w:r>
      <w:r>
        <w:rPr>
          <w:sz w:val="19"/>
        </w:rPr>
        <w:t>Foods.</w:t>
      </w:r>
    </w:p>
    <w:p>
      <w:pPr>
        <w:pStyle w:val="BodyText"/>
        <w:spacing w:before="116"/>
        <w:ind w:left="478" w:right="850"/>
      </w:pPr>
      <w:r>
        <w:rPr/>
        <w:t>During the public inspection period CYP held nine community information sessions which were</w:t>
      </w:r>
      <w:r>
        <w:rPr>
          <w:spacing w:val="-50"/>
        </w:rPr>
        <w:t> </w:t>
      </w:r>
      <w:r>
        <w:rPr/>
        <w:t>located</w:t>
      </w:r>
      <w:r>
        <w:rPr>
          <w:spacing w:val="-1"/>
        </w:rPr>
        <w:t> </w:t>
      </w:r>
      <w:r>
        <w:rPr/>
        <w:t>along the</w:t>
      </w:r>
      <w:r>
        <w:rPr>
          <w:spacing w:val="-1"/>
        </w:rPr>
        <w:t> </w:t>
      </w:r>
      <w:r>
        <w:rPr/>
        <w:t>project</w:t>
      </w:r>
      <w:r>
        <w:rPr>
          <w:spacing w:val="-2"/>
        </w:rPr>
        <w:t> </w:t>
      </w:r>
      <w:r>
        <w:rPr/>
        <w:t>alignment. The</w:t>
      </w:r>
      <w:r>
        <w:rPr>
          <w:spacing w:val="-1"/>
        </w:rPr>
        <w:t> </w:t>
      </w:r>
      <w:r>
        <w:rPr/>
        <w:t>sessions were</w:t>
      </w:r>
      <w:r>
        <w:rPr>
          <w:spacing w:val="-2"/>
        </w:rPr>
        <w:t> </w:t>
      </w:r>
      <w:r>
        <w:rPr/>
        <w:t>as follows: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22" w:after="0"/>
        <w:ind w:left="762" w:right="0" w:hanging="285"/>
        <w:jc w:val="left"/>
        <w:rPr>
          <w:sz w:val="19"/>
        </w:rPr>
      </w:pPr>
      <w:r>
        <w:rPr>
          <w:sz w:val="19"/>
        </w:rPr>
        <w:t>Thursday</w:t>
      </w:r>
      <w:r>
        <w:rPr>
          <w:spacing w:val="-1"/>
          <w:sz w:val="19"/>
        </w:rPr>
        <w:t> </w:t>
      </w:r>
      <w:r>
        <w:rPr>
          <w:sz w:val="19"/>
        </w:rPr>
        <w:t>30</w:t>
      </w:r>
      <w:r>
        <w:rPr>
          <w:spacing w:val="-2"/>
          <w:sz w:val="19"/>
        </w:rPr>
        <w:t> </w:t>
      </w:r>
      <w:r>
        <w:rPr>
          <w:sz w:val="19"/>
        </w:rPr>
        <w:t>November</w:t>
      </w:r>
      <w:r>
        <w:rPr>
          <w:spacing w:val="-2"/>
          <w:sz w:val="19"/>
        </w:rPr>
        <w:t> </w:t>
      </w:r>
      <w:r>
        <w:rPr>
          <w:sz w:val="19"/>
        </w:rPr>
        <w:t>2017</w:t>
      </w:r>
      <w:r>
        <w:rPr>
          <w:spacing w:val="1"/>
          <w:sz w:val="19"/>
        </w:rPr>
        <w:t> </w:t>
      </w:r>
      <w:r>
        <w:rPr>
          <w:sz w:val="19"/>
        </w:rPr>
        <w:t>–</w:t>
      </w:r>
      <w:r>
        <w:rPr>
          <w:spacing w:val="-1"/>
          <w:sz w:val="19"/>
        </w:rPr>
        <w:t> </w:t>
      </w:r>
      <w:r>
        <w:rPr>
          <w:sz w:val="19"/>
        </w:rPr>
        <w:t>11am –</w:t>
      </w:r>
      <w:r>
        <w:rPr>
          <w:spacing w:val="-1"/>
          <w:sz w:val="19"/>
        </w:rPr>
        <w:t> </w:t>
      </w:r>
      <w:r>
        <w:rPr>
          <w:sz w:val="19"/>
        </w:rPr>
        <w:t>2pm</w:t>
      </w:r>
      <w:r>
        <w:rPr>
          <w:spacing w:val="-2"/>
          <w:sz w:val="19"/>
        </w:rPr>
        <w:t> </w:t>
      </w:r>
      <w:r>
        <w:rPr>
          <w:sz w:val="19"/>
        </w:rPr>
        <w:t>at</w:t>
      </w:r>
      <w:r>
        <w:rPr>
          <w:spacing w:val="-2"/>
          <w:sz w:val="19"/>
        </w:rPr>
        <w:t> </w:t>
      </w:r>
      <w:r>
        <w:rPr>
          <w:sz w:val="19"/>
        </w:rPr>
        <w:t>Seasons</w:t>
      </w:r>
      <w:r>
        <w:rPr>
          <w:spacing w:val="-3"/>
          <w:sz w:val="19"/>
        </w:rPr>
        <w:t> </w:t>
      </w:r>
      <w:r>
        <w:rPr>
          <w:sz w:val="19"/>
        </w:rPr>
        <w:t>Botanic</w:t>
      </w:r>
      <w:r>
        <w:rPr>
          <w:spacing w:val="-1"/>
          <w:sz w:val="19"/>
        </w:rPr>
        <w:t> </w:t>
      </w:r>
      <w:r>
        <w:rPr>
          <w:sz w:val="19"/>
        </w:rPr>
        <w:t>Gardens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20" w:after="0"/>
        <w:ind w:left="762" w:right="0" w:hanging="285"/>
        <w:jc w:val="left"/>
        <w:rPr>
          <w:sz w:val="19"/>
        </w:rPr>
      </w:pPr>
      <w:r>
        <w:rPr>
          <w:sz w:val="19"/>
        </w:rPr>
        <w:t>Thursday</w:t>
      </w:r>
      <w:r>
        <w:rPr>
          <w:spacing w:val="-1"/>
          <w:sz w:val="19"/>
        </w:rPr>
        <w:t> </w:t>
      </w:r>
      <w:r>
        <w:rPr>
          <w:sz w:val="19"/>
        </w:rPr>
        <w:t>30</w:t>
      </w:r>
      <w:r>
        <w:rPr>
          <w:spacing w:val="-2"/>
          <w:sz w:val="19"/>
        </w:rPr>
        <w:t> </w:t>
      </w:r>
      <w:r>
        <w:rPr>
          <w:sz w:val="19"/>
        </w:rPr>
        <w:t>November</w:t>
      </w:r>
      <w:r>
        <w:rPr>
          <w:spacing w:val="-3"/>
          <w:sz w:val="19"/>
        </w:rPr>
        <w:t> </w:t>
      </w:r>
      <w:r>
        <w:rPr>
          <w:sz w:val="19"/>
        </w:rPr>
        <w:t>2017</w:t>
      </w:r>
      <w:r>
        <w:rPr>
          <w:spacing w:val="1"/>
          <w:sz w:val="19"/>
        </w:rPr>
        <w:t> </w:t>
      </w:r>
      <w:r>
        <w:rPr>
          <w:sz w:val="19"/>
        </w:rPr>
        <w:t>–</w:t>
      </w:r>
      <w:r>
        <w:rPr>
          <w:spacing w:val="-1"/>
          <w:sz w:val="19"/>
        </w:rPr>
        <w:t> </w:t>
      </w:r>
      <w:r>
        <w:rPr>
          <w:sz w:val="19"/>
        </w:rPr>
        <w:t>5.30pm</w:t>
      </w:r>
      <w:r>
        <w:rPr>
          <w:spacing w:val="-2"/>
          <w:sz w:val="19"/>
        </w:rPr>
        <w:t> </w:t>
      </w:r>
      <w:r>
        <w:rPr>
          <w:sz w:val="19"/>
        </w:rPr>
        <w:t>–</w:t>
      </w:r>
      <w:r>
        <w:rPr>
          <w:spacing w:val="-1"/>
          <w:sz w:val="19"/>
        </w:rPr>
        <w:t> </w:t>
      </w:r>
      <w:r>
        <w:rPr>
          <w:sz w:val="19"/>
        </w:rPr>
        <w:t>8.30pm</w:t>
      </w:r>
      <w:r>
        <w:rPr>
          <w:spacing w:val="-1"/>
          <w:sz w:val="19"/>
        </w:rPr>
        <w:t> </w:t>
      </w:r>
      <w:r>
        <w:rPr>
          <w:sz w:val="19"/>
        </w:rPr>
        <w:t>at</w:t>
      </w:r>
      <w:r>
        <w:rPr>
          <w:spacing w:val="-3"/>
          <w:sz w:val="19"/>
        </w:rPr>
        <w:t> </w:t>
      </w:r>
      <w:r>
        <w:rPr>
          <w:sz w:val="19"/>
        </w:rPr>
        <w:t>Seasons Botanic</w:t>
      </w:r>
      <w:r>
        <w:rPr>
          <w:spacing w:val="-1"/>
          <w:sz w:val="19"/>
        </w:rPr>
        <w:t> </w:t>
      </w:r>
      <w:r>
        <w:rPr>
          <w:sz w:val="19"/>
        </w:rPr>
        <w:t>Gardens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17" w:after="0"/>
        <w:ind w:left="762" w:right="0" w:hanging="285"/>
        <w:jc w:val="left"/>
        <w:rPr>
          <w:sz w:val="19"/>
        </w:rPr>
      </w:pPr>
      <w:r>
        <w:rPr>
          <w:sz w:val="19"/>
        </w:rPr>
        <w:t>Monday 4</w:t>
      </w:r>
      <w:r>
        <w:rPr>
          <w:spacing w:val="-2"/>
          <w:sz w:val="19"/>
        </w:rPr>
        <w:t> </w:t>
      </w:r>
      <w:r>
        <w:rPr>
          <w:sz w:val="19"/>
        </w:rPr>
        <w:t>December</w:t>
      </w:r>
      <w:r>
        <w:rPr>
          <w:spacing w:val="-2"/>
          <w:sz w:val="19"/>
        </w:rPr>
        <w:t> </w:t>
      </w:r>
      <w:r>
        <w:rPr>
          <w:sz w:val="19"/>
        </w:rPr>
        <w:t>2017 –5.30pm</w:t>
      </w:r>
      <w:r>
        <w:rPr>
          <w:spacing w:val="-1"/>
          <w:sz w:val="19"/>
        </w:rPr>
        <w:t> </w:t>
      </w:r>
      <w:r>
        <w:rPr>
          <w:sz w:val="19"/>
        </w:rPr>
        <w:t>–</w:t>
      </w:r>
      <w:r>
        <w:rPr>
          <w:spacing w:val="-1"/>
          <w:sz w:val="19"/>
        </w:rPr>
        <w:t> </w:t>
      </w:r>
      <w:r>
        <w:rPr>
          <w:sz w:val="19"/>
        </w:rPr>
        <w:t>8.30pm</w:t>
      </w:r>
      <w:r>
        <w:rPr>
          <w:spacing w:val="-1"/>
          <w:sz w:val="19"/>
        </w:rPr>
        <w:t> </w:t>
      </w:r>
      <w:r>
        <w:rPr>
          <w:sz w:val="19"/>
        </w:rPr>
        <w:t>at</w:t>
      </w:r>
      <w:r>
        <w:rPr>
          <w:spacing w:val="-2"/>
          <w:sz w:val="19"/>
        </w:rPr>
        <w:t> </w:t>
      </w:r>
      <w:r>
        <w:rPr>
          <w:sz w:val="19"/>
        </w:rPr>
        <w:t>Meat</w:t>
      </w:r>
      <w:r>
        <w:rPr>
          <w:spacing w:val="-2"/>
          <w:sz w:val="19"/>
        </w:rPr>
        <w:t> </w:t>
      </w:r>
      <w:r>
        <w:rPr>
          <w:sz w:val="19"/>
        </w:rPr>
        <w:t>Market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18" w:after="0"/>
        <w:ind w:left="762" w:right="0" w:hanging="285"/>
        <w:jc w:val="left"/>
        <w:rPr>
          <w:sz w:val="19"/>
        </w:rPr>
      </w:pPr>
      <w:r>
        <w:rPr>
          <w:sz w:val="19"/>
        </w:rPr>
        <w:t>Tuesday 5</w:t>
      </w:r>
      <w:r>
        <w:rPr>
          <w:spacing w:val="-2"/>
          <w:sz w:val="19"/>
        </w:rPr>
        <w:t> </w:t>
      </w:r>
      <w:r>
        <w:rPr>
          <w:sz w:val="19"/>
        </w:rPr>
        <w:t>December</w:t>
      </w:r>
      <w:r>
        <w:rPr>
          <w:spacing w:val="-1"/>
          <w:sz w:val="19"/>
        </w:rPr>
        <w:t> </w:t>
      </w:r>
      <w:r>
        <w:rPr>
          <w:sz w:val="19"/>
        </w:rPr>
        <w:t>2017 –</w:t>
      </w:r>
      <w:r>
        <w:rPr>
          <w:spacing w:val="-1"/>
          <w:sz w:val="19"/>
        </w:rPr>
        <w:t> </w:t>
      </w:r>
      <w:r>
        <w:rPr>
          <w:sz w:val="19"/>
        </w:rPr>
        <w:t>11am</w:t>
      </w:r>
      <w:r>
        <w:rPr>
          <w:spacing w:val="1"/>
          <w:sz w:val="19"/>
        </w:rPr>
        <w:t> </w:t>
      </w:r>
      <w:r>
        <w:rPr>
          <w:sz w:val="19"/>
        </w:rPr>
        <w:t>–</w:t>
      </w:r>
      <w:r>
        <w:rPr>
          <w:spacing w:val="-1"/>
          <w:sz w:val="19"/>
        </w:rPr>
        <w:t> </w:t>
      </w:r>
      <w:r>
        <w:rPr>
          <w:sz w:val="19"/>
        </w:rPr>
        <w:t>2pm at</w:t>
      </w:r>
      <w:r>
        <w:rPr>
          <w:spacing w:val="-2"/>
          <w:sz w:val="19"/>
        </w:rPr>
        <w:t> </w:t>
      </w:r>
      <w:r>
        <w:rPr>
          <w:sz w:val="19"/>
        </w:rPr>
        <w:t>Melbourne</w:t>
      </w:r>
      <w:r>
        <w:rPr>
          <w:spacing w:val="-2"/>
          <w:sz w:val="19"/>
        </w:rPr>
        <w:t> </w:t>
      </w:r>
      <w:r>
        <w:rPr>
          <w:sz w:val="19"/>
        </w:rPr>
        <w:t>Town</w:t>
      </w:r>
      <w:r>
        <w:rPr>
          <w:spacing w:val="-1"/>
          <w:sz w:val="19"/>
        </w:rPr>
        <w:t> </w:t>
      </w:r>
      <w:r>
        <w:rPr>
          <w:sz w:val="19"/>
        </w:rPr>
        <w:t>Hall</w:t>
      </w:r>
    </w:p>
    <w:p>
      <w:pPr>
        <w:spacing w:after="0" w:line="240" w:lineRule="auto"/>
        <w:jc w:val="left"/>
        <w:rPr>
          <w:sz w:val="19"/>
        </w:rPr>
        <w:sectPr>
          <w:pgSz w:w="11910" w:h="16840"/>
          <w:pgMar w:header="936" w:footer="365" w:top="1900" w:bottom="640" w:left="94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00" w:after="0"/>
        <w:ind w:left="762" w:right="0" w:hanging="285"/>
        <w:jc w:val="left"/>
        <w:rPr>
          <w:sz w:val="19"/>
        </w:rPr>
      </w:pPr>
      <w:r>
        <w:rPr>
          <w:sz w:val="19"/>
        </w:rPr>
        <w:t>Tuesday</w:t>
      </w:r>
      <w:r>
        <w:rPr>
          <w:spacing w:val="-1"/>
          <w:sz w:val="19"/>
        </w:rPr>
        <w:t> </w:t>
      </w:r>
      <w:r>
        <w:rPr>
          <w:sz w:val="19"/>
        </w:rPr>
        <w:t>5</w:t>
      </w:r>
      <w:r>
        <w:rPr>
          <w:spacing w:val="-1"/>
          <w:sz w:val="19"/>
        </w:rPr>
        <w:t> </w:t>
      </w:r>
      <w:r>
        <w:rPr>
          <w:sz w:val="19"/>
        </w:rPr>
        <w:t>December</w:t>
      </w:r>
      <w:r>
        <w:rPr>
          <w:spacing w:val="-2"/>
          <w:sz w:val="19"/>
        </w:rPr>
        <w:t> </w:t>
      </w:r>
      <w:r>
        <w:rPr>
          <w:sz w:val="19"/>
        </w:rPr>
        <w:t>2017 –</w:t>
      </w:r>
      <w:r>
        <w:rPr>
          <w:spacing w:val="-1"/>
          <w:sz w:val="19"/>
        </w:rPr>
        <w:t> </w:t>
      </w:r>
      <w:r>
        <w:rPr>
          <w:sz w:val="19"/>
        </w:rPr>
        <w:t>5.30pm</w:t>
      </w:r>
      <w:r>
        <w:rPr>
          <w:spacing w:val="-1"/>
          <w:sz w:val="19"/>
        </w:rPr>
        <w:t> </w:t>
      </w:r>
      <w:r>
        <w:rPr>
          <w:sz w:val="19"/>
        </w:rPr>
        <w:t>–</w:t>
      </w:r>
      <w:r>
        <w:rPr>
          <w:spacing w:val="-1"/>
          <w:sz w:val="19"/>
        </w:rPr>
        <w:t> </w:t>
      </w:r>
      <w:r>
        <w:rPr>
          <w:sz w:val="19"/>
        </w:rPr>
        <w:t>8.30pm</w:t>
      </w:r>
      <w:r>
        <w:rPr>
          <w:spacing w:val="-1"/>
          <w:sz w:val="19"/>
        </w:rPr>
        <w:t> </w:t>
      </w:r>
      <w:r>
        <w:rPr>
          <w:sz w:val="19"/>
        </w:rPr>
        <w:t>Melbourne</w:t>
      </w:r>
      <w:r>
        <w:rPr>
          <w:spacing w:val="-2"/>
          <w:sz w:val="19"/>
        </w:rPr>
        <w:t> </w:t>
      </w:r>
      <w:r>
        <w:rPr>
          <w:sz w:val="19"/>
        </w:rPr>
        <w:t>Town</w:t>
      </w:r>
      <w:r>
        <w:rPr>
          <w:spacing w:val="-2"/>
          <w:sz w:val="19"/>
        </w:rPr>
        <w:t> </w:t>
      </w:r>
      <w:r>
        <w:rPr>
          <w:sz w:val="19"/>
        </w:rPr>
        <w:t>Hall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17" w:after="0"/>
        <w:ind w:left="762" w:right="0" w:hanging="285"/>
        <w:jc w:val="left"/>
        <w:rPr>
          <w:sz w:val="19"/>
        </w:rPr>
      </w:pPr>
      <w:r>
        <w:rPr>
          <w:sz w:val="19"/>
        </w:rPr>
        <w:t>Wednesday</w:t>
      </w:r>
      <w:r>
        <w:rPr>
          <w:spacing w:val="-1"/>
          <w:sz w:val="19"/>
        </w:rPr>
        <w:t> </w:t>
      </w:r>
      <w:r>
        <w:rPr>
          <w:sz w:val="19"/>
        </w:rPr>
        <w:t>6</w:t>
      </w:r>
      <w:r>
        <w:rPr>
          <w:spacing w:val="-2"/>
          <w:sz w:val="19"/>
        </w:rPr>
        <w:t> </w:t>
      </w:r>
      <w:r>
        <w:rPr>
          <w:sz w:val="19"/>
        </w:rPr>
        <w:t>December</w:t>
      </w:r>
      <w:r>
        <w:rPr>
          <w:spacing w:val="-2"/>
          <w:sz w:val="19"/>
        </w:rPr>
        <w:t> </w:t>
      </w:r>
      <w:r>
        <w:rPr>
          <w:sz w:val="19"/>
        </w:rPr>
        <w:t>2017</w:t>
      </w:r>
      <w:r>
        <w:rPr>
          <w:spacing w:val="1"/>
          <w:sz w:val="19"/>
        </w:rPr>
        <w:t> </w:t>
      </w:r>
      <w:r>
        <w:rPr>
          <w:sz w:val="19"/>
        </w:rPr>
        <w:t>–</w:t>
      </w:r>
      <w:r>
        <w:rPr>
          <w:spacing w:val="-1"/>
          <w:sz w:val="19"/>
        </w:rPr>
        <w:t> </w:t>
      </w:r>
      <w:r>
        <w:rPr>
          <w:sz w:val="19"/>
        </w:rPr>
        <w:t>8am</w:t>
      </w:r>
      <w:r>
        <w:rPr>
          <w:spacing w:val="-1"/>
          <w:sz w:val="19"/>
        </w:rPr>
        <w:t> </w:t>
      </w:r>
      <w:r>
        <w:rPr>
          <w:sz w:val="19"/>
        </w:rPr>
        <w:t>–</w:t>
      </w:r>
      <w:r>
        <w:rPr>
          <w:spacing w:val="-1"/>
          <w:sz w:val="19"/>
        </w:rPr>
        <w:t> </w:t>
      </w:r>
      <w:r>
        <w:rPr>
          <w:sz w:val="19"/>
        </w:rPr>
        <w:t>11am</w:t>
      </w:r>
      <w:r>
        <w:rPr>
          <w:spacing w:val="-1"/>
          <w:sz w:val="19"/>
        </w:rPr>
        <w:t> </w:t>
      </w:r>
      <w:r>
        <w:rPr>
          <w:sz w:val="19"/>
        </w:rPr>
        <w:t>at</w:t>
      </w:r>
      <w:r>
        <w:rPr>
          <w:spacing w:val="-2"/>
          <w:sz w:val="19"/>
        </w:rPr>
        <w:t> </w:t>
      </w:r>
      <w:r>
        <w:rPr>
          <w:sz w:val="19"/>
        </w:rPr>
        <w:t>Royal</w:t>
      </w:r>
      <w:r>
        <w:rPr>
          <w:spacing w:val="-1"/>
          <w:sz w:val="19"/>
        </w:rPr>
        <w:t> </w:t>
      </w:r>
      <w:r>
        <w:rPr>
          <w:sz w:val="19"/>
        </w:rPr>
        <w:t>Melbourne</w:t>
      </w:r>
      <w:r>
        <w:rPr>
          <w:spacing w:val="-2"/>
          <w:sz w:val="19"/>
        </w:rPr>
        <w:t> </w:t>
      </w:r>
      <w:r>
        <w:rPr>
          <w:sz w:val="19"/>
        </w:rPr>
        <w:t>Hospital (Melbourne</w:t>
      </w:r>
      <w:r>
        <w:rPr>
          <w:spacing w:val="-2"/>
          <w:sz w:val="19"/>
        </w:rPr>
        <w:t> </w:t>
      </w:r>
      <w:r>
        <w:rPr>
          <w:sz w:val="19"/>
        </w:rPr>
        <w:t>Health)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20" w:after="0"/>
        <w:ind w:left="762" w:right="0" w:hanging="285"/>
        <w:jc w:val="left"/>
        <w:rPr>
          <w:sz w:val="19"/>
        </w:rPr>
      </w:pPr>
      <w:r>
        <w:rPr>
          <w:sz w:val="19"/>
        </w:rPr>
        <w:t>Saturday 9</w:t>
      </w:r>
      <w:r>
        <w:rPr>
          <w:spacing w:val="-2"/>
          <w:sz w:val="19"/>
        </w:rPr>
        <w:t> </w:t>
      </w:r>
      <w:r>
        <w:rPr>
          <w:sz w:val="19"/>
        </w:rPr>
        <w:t>December</w:t>
      </w:r>
      <w:r>
        <w:rPr>
          <w:spacing w:val="-2"/>
          <w:sz w:val="19"/>
        </w:rPr>
        <w:t> </w:t>
      </w:r>
      <w:r>
        <w:rPr>
          <w:sz w:val="19"/>
        </w:rPr>
        <w:t>2017 – 11am –</w:t>
      </w:r>
      <w:r>
        <w:rPr>
          <w:spacing w:val="-1"/>
          <w:sz w:val="19"/>
        </w:rPr>
        <w:t> </w:t>
      </w:r>
      <w:r>
        <w:rPr>
          <w:sz w:val="19"/>
        </w:rPr>
        <w:t>2pm</w:t>
      </w:r>
      <w:r>
        <w:rPr>
          <w:spacing w:val="-1"/>
          <w:sz w:val="19"/>
        </w:rPr>
        <w:t> </w:t>
      </w:r>
      <w:r>
        <w:rPr>
          <w:sz w:val="19"/>
        </w:rPr>
        <w:t>at</w:t>
      </w:r>
      <w:r>
        <w:rPr>
          <w:spacing w:val="-2"/>
          <w:sz w:val="19"/>
        </w:rPr>
        <w:t> </w:t>
      </w:r>
      <w:r>
        <w:rPr>
          <w:sz w:val="19"/>
        </w:rPr>
        <w:t>North</w:t>
      </w:r>
      <w:r>
        <w:rPr>
          <w:spacing w:val="-1"/>
          <w:sz w:val="19"/>
        </w:rPr>
        <w:t> </w:t>
      </w:r>
      <w:r>
        <w:rPr>
          <w:sz w:val="19"/>
        </w:rPr>
        <w:t>Melbourne</w:t>
      </w:r>
      <w:r>
        <w:rPr>
          <w:spacing w:val="-2"/>
          <w:sz w:val="19"/>
        </w:rPr>
        <w:t> </w:t>
      </w:r>
      <w:r>
        <w:rPr>
          <w:sz w:val="19"/>
        </w:rPr>
        <w:t>Football</w:t>
      </w:r>
      <w:r>
        <w:rPr>
          <w:spacing w:val="-1"/>
          <w:sz w:val="19"/>
        </w:rPr>
        <w:t> </w:t>
      </w:r>
      <w:r>
        <w:rPr>
          <w:sz w:val="19"/>
        </w:rPr>
        <w:t>Club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15" w:after="0"/>
        <w:ind w:left="762" w:right="918" w:hanging="284"/>
        <w:jc w:val="left"/>
        <w:rPr>
          <w:sz w:val="19"/>
        </w:rPr>
      </w:pPr>
      <w:r>
        <w:rPr>
          <w:sz w:val="19"/>
        </w:rPr>
        <w:t>Monday 11 December 2017 – 11am – 2pm at the Victorian Comprehensive Cancer Centre</w:t>
      </w:r>
      <w:r>
        <w:rPr>
          <w:spacing w:val="-50"/>
          <w:sz w:val="19"/>
        </w:rPr>
        <w:t> </w:t>
      </w:r>
      <w:r>
        <w:rPr>
          <w:sz w:val="19"/>
        </w:rPr>
        <w:t>(VCCC)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23" w:after="0"/>
        <w:ind w:left="762" w:right="0" w:hanging="285"/>
        <w:jc w:val="left"/>
        <w:rPr>
          <w:sz w:val="19"/>
        </w:rPr>
      </w:pPr>
      <w:r>
        <w:rPr>
          <w:sz w:val="19"/>
        </w:rPr>
        <w:t>Tuesday</w:t>
      </w:r>
      <w:r>
        <w:rPr>
          <w:spacing w:val="-1"/>
          <w:sz w:val="19"/>
        </w:rPr>
        <w:t> </w:t>
      </w:r>
      <w:r>
        <w:rPr>
          <w:sz w:val="19"/>
        </w:rPr>
        <w:t>12</w:t>
      </w:r>
      <w:r>
        <w:rPr>
          <w:spacing w:val="-2"/>
          <w:sz w:val="19"/>
        </w:rPr>
        <w:t> </w:t>
      </w:r>
      <w:r>
        <w:rPr>
          <w:sz w:val="19"/>
        </w:rPr>
        <w:t>December</w:t>
      </w:r>
      <w:r>
        <w:rPr>
          <w:spacing w:val="-2"/>
          <w:sz w:val="19"/>
        </w:rPr>
        <w:t> </w:t>
      </w:r>
      <w:r>
        <w:rPr>
          <w:sz w:val="19"/>
        </w:rPr>
        <w:t>2017</w:t>
      </w:r>
      <w:r>
        <w:rPr>
          <w:spacing w:val="1"/>
          <w:sz w:val="19"/>
        </w:rPr>
        <w:t> </w:t>
      </w:r>
      <w:r>
        <w:rPr>
          <w:sz w:val="19"/>
        </w:rPr>
        <w:t>–</w:t>
      </w:r>
      <w:r>
        <w:rPr>
          <w:spacing w:val="-1"/>
          <w:sz w:val="19"/>
        </w:rPr>
        <w:t> </w:t>
      </w:r>
      <w:r>
        <w:rPr>
          <w:sz w:val="19"/>
        </w:rPr>
        <w:t>5.30pm</w:t>
      </w:r>
      <w:r>
        <w:rPr>
          <w:spacing w:val="-1"/>
          <w:sz w:val="19"/>
        </w:rPr>
        <w:t> </w:t>
      </w:r>
      <w:r>
        <w:rPr>
          <w:sz w:val="19"/>
        </w:rPr>
        <w:t>–</w:t>
      </w:r>
      <w:r>
        <w:rPr>
          <w:spacing w:val="-1"/>
          <w:sz w:val="19"/>
        </w:rPr>
        <w:t> </w:t>
      </w:r>
      <w:r>
        <w:rPr>
          <w:sz w:val="19"/>
        </w:rPr>
        <w:t>8.30pm</w:t>
      </w:r>
      <w:r>
        <w:rPr>
          <w:spacing w:val="-1"/>
          <w:sz w:val="19"/>
        </w:rPr>
        <w:t> </w:t>
      </w:r>
      <w:r>
        <w:rPr>
          <w:sz w:val="19"/>
        </w:rPr>
        <w:t>–</w:t>
      </w:r>
      <w:r>
        <w:rPr>
          <w:spacing w:val="-1"/>
          <w:sz w:val="19"/>
        </w:rPr>
        <w:t> </w:t>
      </w:r>
      <w:r>
        <w:rPr>
          <w:sz w:val="19"/>
        </w:rPr>
        <w:t>Melbourne</w:t>
      </w:r>
      <w:r>
        <w:rPr>
          <w:spacing w:val="-2"/>
          <w:sz w:val="19"/>
        </w:rPr>
        <w:t> </w:t>
      </w:r>
      <w:r>
        <w:rPr>
          <w:sz w:val="19"/>
        </w:rPr>
        <w:t>Town</w:t>
      </w:r>
      <w:r>
        <w:rPr>
          <w:spacing w:val="-2"/>
          <w:sz w:val="19"/>
        </w:rPr>
        <w:t> </w:t>
      </w:r>
      <w:r>
        <w:rPr>
          <w:sz w:val="19"/>
        </w:rPr>
        <w:t>Hall.</w:t>
      </w:r>
    </w:p>
    <w:p>
      <w:pPr>
        <w:pStyle w:val="BodyText"/>
        <w:spacing w:before="116"/>
        <w:ind w:left="478" w:right="469"/>
      </w:pPr>
      <w:r>
        <w:rPr/>
        <w:t>At all nine community sessions attendees were invited to come and ask questions about the station</w:t>
      </w:r>
      <w:r>
        <w:rPr>
          <w:spacing w:val="-51"/>
        </w:rPr>
        <w:t> </w:t>
      </w:r>
      <w:r>
        <w:rPr/>
        <w:t>precinct draft Development Plans and technical specialists were available to answer any queries.</w:t>
      </w:r>
      <w:r>
        <w:rPr>
          <w:spacing w:val="1"/>
        </w:rPr>
        <w:t> </w:t>
      </w:r>
      <w:r>
        <w:rPr/>
        <w:t>Instructions on how to access the online submission portal and paper submission copies were</w:t>
      </w:r>
      <w:r>
        <w:rPr>
          <w:spacing w:val="1"/>
        </w:rPr>
        <w:t> </w:t>
      </w:r>
      <w:r>
        <w:rPr/>
        <w:t>provided.</w:t>
      </w:r>
    </w:p>
    <w:p>
      <w:pPr>
        <w:pStyle w:val="BodyText"/>
        <w:spacing w:before="120"/>
        <w:ind w:left="478" w:right="342"/>
      </w:pPr>
      <w:r>
        <w:rPr/>
        <w:t>Two of the open community sessions were held at locations near the proposed Arden Station. These</w:t>
      </w:r>
      <w:r>
        <w:rPr>
          <w:spacing w:val="-50"/>
        </w:rPr>
        <w:t> </w:t>
      </w:r>
      <w:r>
        <w:rPr/>
        <w:t>sessions were held at the Meat Market on Monday 4 December 2017 and North Melbourne Football</w:t>
      </w:r>
      <w:r>
        <w:rPr>
          <w:spacing w:val="1"/>
        </w:rPr>
        <w:t> </w:t>
      </w:r>
      <w:r>
        <w:rPr/>
        <w:t>Club on Saturday 9 December 2017. Metro Tunnel social media accounts also posted links to the</w:t>
      </w:r>
      <w:r>
        <w:rPr>
          <w:spacing w:val="1"/>
        </w:rPr>
        <w:t> </w:t>
      </w:r>
      <w:r>
        <w:rPr/>
        <w:t>draft station precinct Development Plans and online submission portal, and featured information on</w:t>
      </w:r>
      <w:r>
        <w:rPr>
          <w:spacing w:val="1"/>
        </w:rPr>
        <w:t> </w:t>
      </w:r>
      <w:r>
        <w:rPr/>
        <w:t>the time and locations of the community information sessions. Additionally, a session that presented</w:t>
      </w:r>
      <w:r>
        <w:rPr>
          <w:spacing w:val="1"/>
        </w:rPr>
        <w:t> </w:t>
      </w:r>
      <w:r>
        <w:rPr/>
        <w:t>this Development Plan was held with the Arden/Kensington Community Reference Group on</w:t>
      </w:r>
      <w:r>
        <w:rPr>
          <w:spacing w:val="1"/>
        </w:rPr>
        <w:t> </w:t>
      </w:r>
      <w:r>
        <w:rPr/>
        <w:t>Tuesday 5</w:t>
      </w:r>
      <w:r>
        <w:rPr>
          <w:spacing w:val="-1"/>
        </w:rPr>
        <w:t> </w:t>
      </w:r>
      <w:r>
        <w:rPr/>
        <w:t>December</w:t>
      </w:r>
      <w:r>
        <w:rPr>
          <w:spacing w:val="-1"/>
        </w:rPr>
        <w:t> </w:t>
      </w:r>
      <w:r>
        <w:rPr/>
        <w:t>2017.</w:t>
      </w:r>
    </w:p>
    <w:p>
      <w:pPr>
        <w:pStyle w:val="BodyText"/>
        <w:spacing w:before="120"/>
        <w:ind w:left="478" w:right="385"/>
      </w:pPr>
      <w:r>
        <w:rPr/>
        <w:t>During the public display period 150 targeted emails to key stakeholders were emailed, as well as e-</w:t>
      </w:r>
      <w:r>
        <w:rPr>
          <w:spacing w:val="-50"/>
        </w:rPr>
        <w:t> </w:t>
      </w:r>
      <w:r>
        <w:rPr/>
        <w:t>newsletters sent out to subscribers of the Metro Tunnel Project updates, which provided links to the</w:t>
      </w:r>
      <w:r>
        <w:rPr>
          <w:spacing w:val="1"/>
        </w:rPr>
        <w:t> </w:t>
      </w:r>
      <w:r>
        <w:rPr/>
        <w:t>five station precinct Development Plans on the RPV website. In addition to the community</w:t>
      </w:r>
      <w:r>
        <w:rPr>
          <w:spacing w:val="1"/>
        </w:rPr>
        <w:t> </w:t>
      </w:r>
      <w:r>
        <w:rPr/>
        <w:t>information sessions and emails a further 32,500 letter drops occurred to addresses adjacent to the</w:t>
      </w:r>
      <w:r>
        <w:rPr>
          <w:spacing w:val="1"/>
        </w:rPr>
        <w:t> </w:t>
      </w:r>
      <w:r>
        <w:rPr/>
        <w:t>Project.</w:t>
      </w:r>
    </w:p>
    <w:p>
      <w:pPr>
        <w:pStyle w:val="BodyText"/>
        <w:spacing w:before="122"/>
        <w:ind w:left="478" w:right="734"/>
      </w:pPr>
      <w:r>
        <w:rPr/>
        <w:t>Overall, 1,507 public submissions were received across all five station precincts and 44 of these</w:t>
      </w:r>
      <w:r>
        <w:rPr>
          <w:spacing w:val="-50"/>
        </w:rPr>
        <w:t> </w:t>
      </w:r>
      <w:r>
        <w:rPr/>
        <w:t>submissions provided</w:t>
      </w:r>
      <w:r>
        <w:rPr>
          <w:spacing w:val="-1"/>
        </w:rPr>
        <w:t> </w:t>
      </w:r>
      <w:r>
        <w:rPr/>
        <w:t>comments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Arden</w:t>
      </w:r>
      <w:r>
        <w:rPr>
          <w:spacing w:val="4"/>
        </w:rPr>
        <w:t> </w:t>
      </w:r>
      <w:r>
        <w:rPr/>
        <w:t>Station</w:t>
      </w:r>
      <w:r>
        <w:rPr>
          <w:spacing w:val="-3"/>
        </w:rPr>
        <w:t> </w:t>
      </w:r>
      <w:r>
        <w:rPr/>
        <w:t>Precinct</w:t>
      </w:r>
      <w:r>
        <w:rPr>
          <w:spacing w:val="-2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Plan.</w:t>
      </w:r>
    </w:p>
    <w:p>
      <w:pPr>
        <w:pStyle w:val="BodyText"/>
        <w:spacing w:before="120"/>
        <w:ind w:left="478" w:right="395"/>
      </w:pPr>
      <w:r>
        <w:rPr/>
        <w:t>As part of the previous submission to the Minister for Planning, CYP provided all written comments</w:t>
      </w:r>
      <w:r>
        <w:rPr>
          <w:spacing w:val="1"/>
        </w:rPr>
        <w:t> </w:t>
      </w:r>
      <w:r>
        <w:rPr/>
        <w:t>received during the early engagement and public display period, and a summary of consultation and</w:t>
      </w:r>
      <w:r>
        <w:rPr>
          <w:spacing w:val="-50"/>
        </w:rPr>
        <w:t> </w:t>
      </w:r>
      <w:r>
        <w:rPr/>
        <w:t>responses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issues</w:t>
      </w:r>
      <w:r>
        <w:rPr>
          <w:spacing w:val="1"/>
        </w:rPr>
        <w:t> </w:t>
      </w:r>
      <w:r>
        <w:rPr/>
        <w:t>and queries</w:t>
      </w:r>
      <w:r>
        <w:rPr>
          <w:spacing w:val="1"/>
        </w:rPr>
        <w:t> </w:t>
      </w:r>
      <w:r>
        <w:rPr/>
        <w:t>raised.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Heading3"/>
        <w:numPr>
          <w:ilvl w:val="2"/>
          <w:numId w:val="5"/>
        </w:numPr>
        <w:tabs>
          <w:tab w:pos="1331" w:val="left" w:leader="none"/>
        </w:tabs>
        <w:spacing w:line="240" w:lineRule="auto" w:before="0" w:after="0"/>
        <w:ind w:left="1330" w:right="1322" w:hanging="852"/>
        <w:jc w:val="left"/>
      </w:pPr>
      <w:bookmarkStart w:name="_bookmark9" w:id="54"/>
      <w:bookmarkEnd w:id="54"/>
      <w:r>
        <w:rPr/>
      </w:r>
      <w:bookmarkStart w:name="_bookmark9" w:id="55"/>
      <w:bookmarkEnd w:id="55"/>
      <w:r>
        <w:rPr>
          <w:color w:val="808080"/>
        </w:rPr>
        <w:t>ST</w:t>
      </w:r>
      <w:r>
        <w:rPr>
          <w:color w:val="808080"/>
        </w:rPr>
        <w:t>AKEHOLDER AND COMMUNITY ENGAGEMENT</w:t>
      </w:r>
      <w:r>
        <w:rPr>
          <w:color w:val="808080"/>
          <w:spacing w:val="-75"/>
        </w:rPr>
        <w:t> </w:t>
      </w:r>
      <w:r>
        <w:rPr>
          <w:color w:val="808080"/>
        </w:rPr>
        <w:t>DURING</w:t>
      </w:r>
      <w:r>
        <w:rPr>
          <w:color w:val="808080"/>
          <w:spacing w:val="-3"/>
        </w:rPr>
        <w:t> </w:t>
      </w:r>
      <w:r>
        <w:rPr>
          <w:color w:val="808080"/>
        </w:rPr>
        <w:t>DETAILED</w:t>
      </w:r>
      <w:r>
        <w:rPr>
          <w:color w:val="808080"/>
          <w:spacing w:val="-1"/>
        </w:rPr>
        <w:t> </w:t>
      </w:r>
      <w:r>
        <w:rPr>
          <w:color w:val="808080"/>
        </w:rPr>
        <w:t>DESIGN</w:t>
      </w:r>
    </w:p>
    <w:p>
      <w:pPr>
        <w:pStyle w:val="BodyText"/>
        <w:spacing w:before="120"/>
        <w:ind w:left="478" w:right="564"/>
      </w:pPr>
      <w:r>
        <w:rPr/>
        <w:t>The Minister for Planning approved the Arden Station Precinct Development Plan on Thursday 8</w:t>
      </w:r>
      <w:r>
        <w:rPr>
          <w:spacing w:val="1"/>
        </w:rPr>
        <w:t> </w:t>
      </w:r>
      <w:r>
        <w:rPr/>
        <w:t>March 2018. Since approval, the design for the Arden Station has progressed through to detailed</w:t>
      </w:r>
      <w:r>
        <w:rPr>
          <w:spacing w:val="1"/>
        </w:rPr>
        <w:t> </w:t>
      </w:r>
      <w:r>
        <w:rPr/>
        <w:t>design. In accordance with the Incorporated Document, ongoing consultation has taken place with</w:t>
      </w:r>
      <w:r>
        <w:rPr>
          <w:spacing w:val="-50"/>
        </w:rPr>
        <w:t> </w:t>
      </w:r>
      <w:r>
        <w:rPr/>
        <w:t>key stakeholders throughout this period through design presentations, meetings, workshops and</w:t>
      </w:r>
      <w:r>
        <w:rPr>
          <w:spacing w:val="1"/>
        </w:rPr>
        <w:t> </w:t>
      </w:r>
      <w:r>
        <w:rPr/>
        <w:t>formal design</w:t>
      </w:r>
      <w:r>
        <w:rPr>
          <w:spacing w:val="-1"/>
        </w:rPr>
        <w:t> </w:t>
      </w:r>
      <w:r>
        <w:rPr/>
        <w:t>package reviews.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key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included: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21" w:after="0"/>
        <w:ind w:left="762" w:right="0" w:hanging="285"/>
        <w:jc w:val="left"/>
        <w:rPr>
          <w:sz w:val="19"/>
        </w:rPr>
      </w:pPr>
      <w:r>
        <w:rPr>
          <w:sz w:val="19"/>
        </w:rPr>
        <w:t>Victorian</w:t>
      </w:r>
      <w:r>
        <w:rPr>
          <w:spacing w:val="-4"/>
          <w:sz w:val="19"/>
        </w:rPr>
        <w:t> </w:t>
      </w:r>
      <w:r>
        <w:rPr>
          <w:sz w:val="19"/>
        </w:rPr>
        <w:t>Planning</w:t>
      </w:r>
      <w:r>
        <w:rPr>
          <w:spacing w:val="-3"/>
          <w:sz w:val="19"/>
        </w:rPr>
        <w:t> </w:t>
      </w:r>
      <w:r>
        <w:rPr>
          <w:sz w:val="19"/>
        </w:rPr>
        <w:t>Authority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21" w:after="0"/>
        <w:ind w:left="762" w:right="0" w:hanging="285"/>
        <w:jc w:val="left"/>
        <w:rPr>
          <w:sz w:val="19"/>
        </w:rPr>
      </w:pPr>
      <w:r>
        <w:rPr>
          <w:sz w:val="19"/>
        </w:rPr>
        <w:t>Office</w:t>
      </w:r>
      <w:r>
        <w:rPr>
          <w:spacing w:val="-3"/>
          <w:sz w:val="19"/>
        </w:rPr>
        <w:t> </w:t>
      </w:r>
      <w:r>
        <w:rPr>
          <w:sz w:val="19"/>
        </w:rPr>
        <w:t>of</w:t>
      </w:r>
      <w:r>
        <w:rPr>
          <w:spacing w:val="-2"/>
          <w:sz w:val="19"/>
        </w:rPr>
        <w:t> </w:t>
      </w:r>
      <w:r>
        <w:rPr>
          <w:sz w:val="19"/>
        </w:rPr>
        <w:t>the</w:t>
      </w:r>
      <w:r>
        <w:rPr>
          <w:spacing w:val="-2"/>
          <w:sz w:val="19"/>
        </w:rPr>
        <w:t> </w:t>
      </w:r>
      <w:r>
        <w:rPr>
          <w:sz w:val="19"/>
        </w:rPr>
        <w:t>Victorian</w:t>
      </w:r>
      <w:r>
        <w:rPr>
          <w:spacing w:val="-3"/>
          <w:sz w:val="19"/>
        </w:rPr>
        <w:t> </w:t>
      </w:r>
      <w:r>
        <w:rPr>
          <w:sz w:val="19"/>
        </w:rPr>
        <w:t>Government</w:t>
      </w:r>
      <w:r>
        <w:rPr>
          <w:spacing w:val="-3"/>
          <w:sz w:val="19"/>
        </w:rPr>
        <w:t> </w:t>
      </w:r>
      <w:r>
        <w:rPr>
          <w:sz w:val="19"/>
        </w:rPr>
        <w:t>Architect</w:t>
      </w:r>
      <w:r>
        <w:rPr>
          <w:spacing w:val="-4"/>
          <w:sz w:val="19"/>
        </w:rPr>
        <w:t> </w:t>
      </w:r>
      <w:r>
        <w:rPr>
          <w:sz w:val="19"/>
        </w:rPr>
        <w:t>(OVGA)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17" w:after="0"/>
        <w:ind w:left="762" w:right="0" w:hanging="285"/>
        <w:jc w:val="left"/>
        <w:rPr>
          <w:sz w:val="19"/>
        </w:rPr>
      </w:pPr>
      <w:r>
        <w:rPr>
          <w:sz w:val="19"/>
        </w:rPr>
        <w:t>City of</w:t>
      </w:r>
      <w:r>
        <w:rPr>
          <w:spacing w:val="-2"/>
          <w:sz w:val="19"/>
        </w:rPr>
        <w:t> </w:t>
      </w:r>
      <w:r>
        <w:rPr>
          <w:sz w:val="19"/>
        </w:rPr>
        <w:t>Melbourne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18" w:after="0"/>
        <w:ind w:left="762" w:right="351" w:hanging="284"/>
        <w:jc w:val="left"/>
        <w:rPr>
          <w:sz w:val="19"/>
        </w:rPr>
      </w:pPr>
      <w:r>
        <w:rPr>
          <w:sz w:val="19"/>
        </w:rPr>
        <w:t>Department of Transport (previously known as VicRoads, Public Transport Victoria and Transport</w:t>
      </w:r>
      <w:r>
        <w:rPr>
          <w:spacing w:val="-50"/>
          <w:sz w:val="19"/>
        </w:rPr>
        <w:t> </w:t>
      </w:r>
      <w:r>
        <w:rPr>
          <w:sz w:val="19"/>
        </w:rPr>
        <w:t>for</w:t>
      </w:r>
      <w:r>
        <w:rPr>
          <w:spacing w:val="-1"/>
          <w:sz w:val="19"/>
        </w:rPr>
        <w:t> </w:t>
      </w:r>
      <w:r>
        <w:rPr>
          <w:sz w:val="19"/>
        </w:rPr>
        <w:t>Victoria)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20" w:after="0"/>
        <w:ind w:left="762" w:right="0" w:hanging="285"/>
        <w:jc w:val="left"/>
        <w:rPr>
          <w:sz w:val="19"/>
        </w:rPr>
      </w:pPr>
      <w:r>
        <w:rPr>
          <w:sz w:val="19"/>
        </w:rPr>
        <w:t>Melbourne</w:t>
      </w:r>
      <w:r>
        <w:rPr>
          <w:spacing w:val="-2"/>
          <w:sz w:val="19"/>
        </w:rPr>
        <w:t> </w:t>
      </w:r>
      <w:r>
        <w:rPr>
          <w:sz w:val="19"/>
        </w:rPr>
        <w:t>Water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18" w:after="0"/>
        <w:ind w:left="762" w:right="0" w:hanging="285"/>
        <w:jc w:val="left"/>
        <w:rPr>
          <w:sz w:val="19"/>
        </w:rPr>
      </w:pPr>
      <w:r>
        <w:rPr>
          <w:sz w:val="19"/>
        </w:rPr>
        <w:t>Rail</w:t>
      </w:r>
      <w:r>
        <w:rPr>
          <w:spacing w:val="-2"/>
          <w:sz w:val="19"/>
        </w:rPr>
        <w:t> </w:t>
      </w:r>
      <w:r>
        <w:rPr>
          <w:sz w:val="19"/>
        </w:rPr>
        <w:t>Projects</w:t>
      </w:r>
      <w:r>
        <w:rPr>
          <w:spacing w:val="-2"/>
          <w:sz w:val="19"/>
        </w:rPr>
        <w:t> </w:t>
      </w:r>
      <w:r>
        <w:rPr>
          <w:sz w:val="19"/>
        </w:rPr>
        <w:t>Victoria</w:t>
      </w:r>
      <w:r>
        <w:rPr>
          <w:spacing w:val="-3"/>
          <w:sz w:val="19"/>
        </w:rPr>
        <w:t> </w:t>
      </w:r>
      <w:r>
        <w:rPr>
          <w:sz w:val="19"/>
        </w:rPr>
        <w:t>(RPV)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20" w:after="0"/>
        <w:ind w:left="762" w:right="0" w:hanging="285"/>
        <w:jc w:val="left"/>
        <w:rPr>
          <w:sz w:val="19"/>
        </w:rPr>
      </w:pPr>
      <w:r>
        <w:rPr>
          <w:sz w:val="19"/>
        </w:rPr>
        <w:t>Metro</w:t>
      </w:r>
      <w:r>
        <w:rPr>
          <w:spacing w:val="-3"/>
          <w:sz w:val="19"/>
        </w:rPr>
        <w:t> </w:t>
      </w:r>
      <w:r>
        <w:rPr>
          <w:sz w:val="19"/>
        </w:rPr>
        <w:t>Trains</w:t>
      </w:r>
      <w:r>
        <w:rPr>
          <w:spacing w:val="-1"/>
          <w:sz w:val="19"/>
        </w:rPr>
        <w:t> </w:t>
      </w:r>
      <w:r>
        <w:rPr>
          <w:sz w:val="19"/>
        </w:rPr>
        <w:t>Melbourne (MTM).</w:t>
      </w:r>
    </w:p>
    <w:p>
      <w:pPr>
        <w:pStyle w:val="BodyText"/>
        <w:spacing w:before="116"/>
        <w:ind w:left="478" w:right="287"/>
      </w:pPr>
      <w:r>
        <w:rPr/>
        <w:t>In close collaboration with the above stakeholders, a number of changes have been made to the</w:t>
      </w:r>
      <w:r>
        <w:rPr>
          <w:spacing w:val="1"/>
        </w:rPr>
        <w:t> </w:t>
      </w:r>
      <w:r>
        <w:rPr/>
        <w:t>Project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improve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design.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result,</w:t>
      </w:r>
      <w:r>
        <w:rPr>
          <w:spacing w:val="-3"/>
        </w:rPr>
        <w:t> </w:t>
      </w:r>
      <w:r>
        <w:rPr/>
        <w:t>there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been</w:t>
      </w:r>
      <w:r>
        <w:rPr>
          <w:spacing w:val="-2"/>
        </w:rPr>
        <w:t> </w:t>
      </w:r>
      <w:r>
        <w:rPr/>
        <w:t>amendments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architectural</w:t>
      </w:r>
      <w:r>
        <w:rPr>
          <w:spacing w:val="-2"/>
        </w:rPr>
        <w:t> </w:t>
      </w:r>
      <w:r>
        <w:rPr/>
        <w:t>layout,</w:t>
      </w:r>
    </w:p>
    <w:p>
      <w:pPr>
        <w:spacing w:after="0"/>
        <w:sectPr>
          <w:pgSz w:w="11910" w:h="16840"/>
          <w:pgMar w:header="936" w:footer="365" w:top="1900" w:bottom="640" w:left="94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spacing w:before="93"/>
        <w:ind w:left="478" w:right="310"/>
      </w:pPr>
      <w:r>
        <w:rPr/>
        <w:t>landscape design and public realm components of the Project. These amendments have been made</w:t>
      </w:r>
      <w:r>
        <w:rPr>
          <w:spacing w:val="-50"/>
        </w:rPr>
        <w:t> </w:t>
      </w:r>
      <w:r>
        <w:rPr/>
        <w:t>to</w:t>
      </w:r>
      <w:r>
        <w:rPr>
          <w:spacing w:val="-2"/>
        </w:rPr>
        <w:t> </w:t>
      </w:r>
      <w:r>
        <w:rPr/>
        <w:t>improve</w:t>
      </w:r>
      <w:r>
        <w:rPr>
          <w:spacing w:val="-3"/>
        </w:rPr>
        <w:t> </w:t>
      </w:r>
      <w:r>
        <w:rPr/>
        <w:t>access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Arden</w:t>
      </w:r>
      <w:r>
        <w:rPr>
          <w:spacing w:val="-2"/>
        </w:rPr>
        <w:t> </w:t>
      </w:r>
      <w:r>
        <w:rPr/>
        <w:t>Station,</w:t>
      </w:r>
      <w:r>
        <w:rPr>
          <w:spacing w:val="-3"/>
        </w:rPr>
        <w:t> </w:t>
      </w:r>
      <w:r>
        <w:rPr/>
        <w:t>enhance</w:t>
      </w:r>
      <w:r>
        <w:rPr>
          <w:spacing w:val="-3"/>
        </w:rPr>
        <w:t> </w:t>
      </w:r>
      <w:r>
        <w:rPr/>
        <w:t>flood</w:t>
      </w:r>
      <w:r>
        <w:rPr>
          <w:spacing w:val="-2"/>
        </w:rPr>
        <w:t> </w:t>
      </w:r>
      <w:r>
        <w:rPr/>
        <w:t>protection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provide</w:t>
      </w:r>
      <w:r>
        <w:rPr>
          <w:spacing w:val="-3"/>
        </w:rPr>
        <w:t> </w:t>
      </w:r>
      <w:r>
        <w:rPr/>
        <w:t>more</w:t>
      </w:r>
      <w:r>
        <w:rPr>
          <w:spacing w:val="-3"/>
        </w:rPr>
        <w:t> </w:t>
      </w:r>
      <w:r>
        <w:rPr/>
        <w:t>greenery</w:t>
      </w:r>
      <w:r>
        <w:rPr>
          <w:spacing w:val="-2"/>
        </w:rPr>
        <w:t> </w:t>
      </w:r>
      <w:r>
        <w:rPr/>
        <w:t>through</w:t>
      </w:r>
      <w:r>
        <w:rPr>
          <w:spacing w:val="-50"/>
        </w:rPr>
        <w:t> </w:t>
      </w:r>
      <w:r>
        <w:rPr/>
        <w:t>retaining and planting more trees. Section </w:t>
      </w:r>
      <w:hyperlink w:history="true" w:anchor="_bookmark20">
        <w:r>
          <w:rPr/>
          <w:t>4.1 </w:t>
        </w:r>
      </w:hyperlink>
      <w:r>
        <w:rPr/>
        <w:t>includes a full list of those changes. Where relevant,</w:t>
      </w:r>
      <w:r>
        <w:rPr>
          <w:spacing w:val="1"/>
        </w:rPr>
        <w:t> </w:t>
      </w:r>
      <w:r>
        <w:rPr/>
        <w:t>the proposed changes have been incorporated into the Project’s response to the Urban Design</w:t>
      </w:r>
      <w:r>
        <w:rPr>
          <w:spacing w:val="1"/>
        </w:rPr>
        <w:t> </w:t>
      </w:r>
      <w:r>
        <w:rPr/>
        <w:t>Strategy under</w:t>
      </w:r>
      <w:r>
        <w:rPr>
          <w:spacing w:val="-1"/>
        </w:rPr>
        <w:t> </w:t>
      </w:r>
      <w:r>
        <w:rPr/>
        <w:t>the relevant</w:t>
      </w:r>
      <w:r>
        <w:rPr>
          <w:spacing w:val="-1"/>
        </w:rPr>
        <w:t> </w:t>
      </w:r>
      <w:r>
        <w:rPr/>
        <w:t>sub-headings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Section</w:t>
      </w:r>
      <w:r>
        <w:rPr>
          <w:spacing w:val="1"/>
        </w:rPr>
        <w:t> </w:t>
      </w:r>
      <w:hyperlink w:history="true" w:anchor="_bookmark25">
        <w:r>
          <w:rPr/>
          <w:t>4.3.</w:t>
        </w:r>
      </w:hyperlink>
    </w:p>
    <w:p>
      <w:pPr>
        <w:pStyle w:val="BodyText"/>
        <w:spacing w:before="120"/>
        <w:ind w:left="478" w:right="353"/>
      </w:pPr>
      <w:r>
        <w:rPr/>
        <w:t>In accordance with the Incorporated Document requirements, the amended version of this Arden</w:t>
      </w:r>
      <w:r>
        <w:rPr>
          <w:spacing w:val="1"/>
        </w:rPr>
        <w:t> </w:t>
      </w:r>
      <w:r>
        <w:rPr/>
        <w:t>Station Precinct Development Plan was made available for public inspection for 15 business days</w:t>
      </w:r>
      <w:r>
        <w:rPr>
          <w:spacing w:val="1"/>
        </w:rPr>
        <w:t> </w:t>
      </w:r>
      <w:r>
        <w:rPr/>
        <w:t>from Monday 9 August 2021 until Friday 27 August 2021 on the Engage Victoria website along with</w:t>
      </w:r>
      <w:r>
        <w:rPr>
          <w:spacing w:val="1"/>
        </w:rPr>
        <w:t> </w:t>
      </w:r>
      <w:r>
        <w:rPr/>
        <w:t>an opportunity to provide written comments. As part of this process a notice was published in The</w:t>
      </w:r>
      <w:r>
        <w:rPr>
          <w:spacing w:val="1"/>
        </w:rPr>
        <w:t> </w:t>
      </w:r>
      <w:r>
        <w:rPr/>
        <w:t>Age and Herald Sun newspapers to inform the community on Monday 9 August 2021. Additionally,</w:t>
      </w:r>
      <w:r>
        <w:rPr>
          <w:spacing w:val="1"/>
        </w:rPr>
        <w:t> </w:t>
      </w:r>
      <w:r>
        <w:rPr/>
        <w:t>RPV issued a media release on Monday 9 August 2021 marking the start of the public display period</w:t>
      </w:r>
      <w:r>
        <w:rPr>
          <w:spacing w:val="-50"/>
        </w:rPr>
        <w:t> </w:t>
      </w:r>
      <w:r>
        <w:rPr/>
        <w:t>and</w:t>
      </w:r>
      <w:r>
        <w:rPr>
          <w:spacing w:val="-1"/>
        </w:rPr>
        <w:t> </w:t>
      </w:r>
      <w:r>
        <w:rPr/>
        <w:t>noting where the Development</w:t>
      </w:r>
      <w:r>
        <w:rPr>
          <w:spacing w:val="1"/>
        </w:rPr>
        <w:t> </w:t>
      </w:r>
      <w:r>
        <w:rPr/>
        <w:t>Plan</w:t>
      </w:r>
      <w:r>
        <w:rPr>
          <w:spacing w:val="-1"/>
        </w:rPr>
        <w:t> </w:t>
      </w:r>
      <w:r>
        <w:rPr/>
        <w:t>could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viewed.</w:t>
      </w:r>
    </w:p>
    <w:p>
      <w:pPr>
        <w:pStyle w:val="BodyText"/>
        <w:spacing w:line="242" w:lineRule="auto" w:before="120"/>
        <w:ind w:left="478" w:right="1071"/>
      </w:pPr>
      <w:r>
        <w:rPr/>
        <w:t>In addition to the requirements of the Incorporated Document, CYP consulted with other key</w:t>
      </w:r>
      <w:r>
        <w:rPr>
          <w:spacing w:val="-50"/>
        </w:rPr>
        <w:t> </w:t>
      </w:r>
      <w:r>
        <w:rPr/>
        <w:t>stakeholders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understand their</w:t>
      </w:r>
      <w:r>
        <w:rPr>
          <w:spacing w:val="-2"/>
        </w:rPr>
        <w:t> </w:t>
      </w:r>
      <w:r>
        <w:rPr/>
        <w:t>key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concerns</w:t>
      </w:r>
      <w:r>
        <w:rPr>
          <w:spacing w:val="2"/>
        </w:rPr>
        <w:t> </w:t>
      </w:r>
      <w:r>
        <w:rPr/>
        <w:t>including: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20" w:after="0"/>
        <w:ind w:left="762" w:right="0" w:hanging="285"/>
        <w:jc w:val="left"/>
        <w:rPr>
          <w:sz w:val="19"/>
        </w:rPr>
      </w:pPr>
      <w:r>
        <w:rPr>
          <w:sz w:val="19"/>
        </w:rPr>
        <w:t>Victorian</w:t>
      </w:r>
      <w:r>
        <w:rPr>
          <w:spacing w:val="-4"/>
          <w:sz w:val="19"/>
        </w:rPr>
        <w:t> </w:t>
      </w:r>
      <w:r>
        <w:rPr>
          <w:sz w:val="19"/>
        </w:rPr>
        <w:t>Planning</w:t>
      </w:r>
      <w:r>
        <w:rPr>
          <w:spacing w:val="-3"/>
          <w:sz w:val="19"/>
        </w:rPr>
        <w:t> </w:t>
      </w:r>
      <w:r>
        <w:rPr>
          <w:sz w:val="19"/>
        </w:rPr>
        <w:t>Authority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17" w:after="0"/>
        <w:ind w:left="762" w:right="0" w:hanging="285"/>
        <w:jc w:val="left"/>
        <w:rPr>
          <w:sz w:val="19"/>
        </w:rPr>
      </w:pPr>
      <w:r>
        <w:rPr>
          <w:sz w:val="19"/>
        </w:rPr>
        <w:t>North</w:t>
      </w:r>
      <w:r>
        <w:rPr>
          <w:spacing w:val="-3"/>
          <w:sz w:val="19"/>
        </w:rPr>
        <w:t> </w:t>
      </w:r>
      <w:r>
        <w:rPr>
          <w:sz w:val="19"/>
        </w:rPr>
        <w:t>Melbourne</w:t>
      </w:r>
      <w:r>
        <w:rPr>
          <w:spacing w:val="-2"/>
          <w:sz w:val="19"/>
        </w:rPr>
        <w:t> </w:t>
      </w:r>
      <w:r>
        <w:rPr>
          <w:sz w:val="19"/>
        </w:rPr>
        <w:t>Football</w:t>
      </w:r>
      <w:r>
        <w:rPr>
          <w:spacing w:val="-1"/>
          <w:sz w:val="19"/>
        </w:rPr>
        <w:t> </w:t>
      </w:r>
      <w:r>
        <w:rPr>
          <w:sz w:val="19"/>
        </w:rPr>
        <w:t>Club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18" w:after="0"/>
        <w:ind w:left="762" w:right="0" w:hanging="285"/>
        <w:jc w:val="left"/>
        <w:rPr>
          <w:sz w:val="19"/>
        </w:rPr>
      </w:pPr>
      <w:r>
        <w:rPr>
          <w:sz w:val="19"/>
        </w:rPr>
        <w:t>Nick</w:t>
      </w:r>
      <w:r>
        <w:rPr>
          <w:spacing w:val="-3"/>
          <w:sz w:val="19"/>
        </w:rPr>
        <w:t> </w:t>
      </w:r>
      <w:r>
        <w:rPr>
          <w:sz w:val="19"/>
        </w:rPr>
        <w:t>Theodossi</w:t>
      </w:r>
      <w:r>
        <w:rPr>
          <w:spacing w:val="-2"/>
          <w:sz w:val="19"/>
        </w:rPr>
        <w:t> </w:t>
      </w:r>
      <w:r>
        <w:rPr>
          <w:sz w:val="19"/>
        </w:rPr>
        <w:t>Prestige</w:t>
      </w:r>
      <w:r>
        <w:rPr>
          <w:spacing w:val="-3"/>
          <w:sz w:val="19"/>
        </w:rPr>
        <w:t> </w:t>
      </w:r>
      <w:r>
        <w:rPr>
          <w:sz w:val="19"/>
        </w:rPr>
        <w:t>Cars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20" w:after="0"/>
        <w:ind w:left="762" w:right="0" w:hanging="285"/>
        <w:jc w:val="left"/>
        <w:rPr>
          <w:sz w:val="19"/>
        </w:rPr>
      </w:pPr>
      <w:r>
        <w:rPr>
          <w:sz w:val="19"/>
        </w:rPr>
        <w:t>Mauri</w:t>
      </w:r>
      <w:r>
        <w:rPr>
          <w:spacing w:val="-1"/>
          <w:sz w:val="19"/>
        </w:rPr>
        <w:t> </w:t>
      </w:r>
      <w:r>
        <w:rPr>
          <w:sz w:val="19"/>
        </w:rPr>
        <w:t>ANZ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17" w:after="0"/>
        <w:ind w:left="762" w:right="0" w:hanging="285"/>
        <w:jc w:val="left"/>
        <w:rPr>
          <w:sz w:val="19"/>
        </w:rPr>
      </w:pPr>
      <w:r>
        <w:rPr>
          <w:sz w:val="19"/>
        </w:rPr>
        <w:t>CHEP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18" w:after="0"/>
        <w:ind w:left="762" w:right="0" w:hanging="285"/>
        <w:jc w:val="left"/>
        <w:rPr>
          <w:sz w:val="19"/>
        </w:rPr>
      </w:pPr>
      <w:r>
        <w:rPr>
          <w:sz w:val="19"/>
        </w:rPr>
        <w:t>Irwin</w:t>
      </w:r>
      <w:r>
        <w:rPr>
          <w:spacing w:val="-3"/>
          <w:sz w:val="19"/>
        </w:rPr>
        <w:t> </w:t>
      </w:r>
      <w:r>
        <w:rPr>
          <w:sz w:val="19"/>
        </w:rPr>
        <w:t>Stockfeeds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20" w:after="0"/>
        <w:ind w:left="762" w:right="0" w:hanging="285"/>
        <w:jc w:val="left"/>
        <w:rPr>
          <w:sz w:val="19"/>
        </w:rPr>
      </w:pPr>
      <w:r>
        <w:rPr>
          <w:sz w:val="19"/>
        </w:rPr>
        <w:t>Naturelinks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18" w:after="0"/>
        <w:ind w:left="762" w:right="0" w:hanging="285"/>
        <w:jc w:val="left"/>
        <w:rPr>
          <w:sz w:val="19"/>
        </w:rPr>
      </w:pPr>
      <w:r>
        <w:rPr>
          <w:sz w:val="19"/>
        </w:rPr>
        <w:t>Bicycle</w:t>
      </w:r>
      <w:r>
        <w:rPr>
          <w:spacing w:val="-4"/>
          <w:sz w:val="19"/>
        </w:rPr>
        <w:t> </w:t>
      </w:r>
      <w:r>
        <w:rPr>
          <w:sz w:val="19"/>
        </w:rPr>
        <w:t>Network</w:t>
      </w:r>
      <w:r>
        <w:rPr>
          <w:spacing w:val="-3"/>
          <w:sz w:val="19"/>
        </w:rPr>
        <w:t> </w:t>
      </w:r>
      <w:r>
        <w:rPr>
          <w:sz w:val="19"/>
        </w:rPr>
        <w:t>Victoria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20" w:after="0"/>
        <w:ind w:left="762" w:right="0" w:hanging="285"/>
        <w:jc w:val="left"/>
        <w:rPr>
          <w:sz w:val="19"/>
        </w:rPr>
      </w:pPr>
      <w:r>
        <w:rPr>
          <w:sz w:val="19"/>
        </w:rPr>
        <w:t>North</w:t>
      </w:r>
      <w:r>
        <w:rPr>
          <w:spacing w:val="-2"/>
          <w:sz w:val="19"/>
        </w:rPr>
        <w:t> </w:t>
      </w:r>
      <w:r>
        <w:rPr>
          <w:sz w:val="19"/>
        </w:rPr>
        <w:t>and</w:t>
      </w:r>
      <w:r>
        <w:rPr>
          <w:spacing w:val="-2"/>
          <w:sz w:val="19"/>
        </w:rPr>
        <w:t> </w:t>
      </w:r>
      <w:r>
        <w:rPr>
          <w:sz w:val="19"/>
        </w:rPr>
        <w:t>West</w:t>
      </w:r>
      <w:r>
        <w:rPr>
          <w:spacing w:val="-2"/>
          <w:sz w:val="19"/>
        </w:rPr>
        <w:t> </w:t>
      </w:r>
      <w:r>
        <w:rPr>
          <w:sz w:val="19"/>
        </w:rPr>
        <w:t>Melbourne</w:t>
      </w:r>
      <w:r>
        <w:rPr>
          <w:spacing w:val="-2"/>
          <w:sz w:val="19"/>
        </w:rPr>
        <w:t> </w:t>
      </w:r>
      <w:r>
        <w:rPr>
          <w:sz w:val="19"/>
        </w:rPr>
        <w:t>Association</w:t>
      </w:r>
    </w:p>
    <w:p>
      <w:pPr>
        <w:pStyle w:val="ListParagraph"/>
        <w:numPr>
          <w:ilvl w:val="0"/>
          <w:numId w:val="2"/>
        </w:numPr>
        <w:tabs>
          <w:tab w:pos="763" w:val="left" w:leader="none"/>
        </w:tabs>
        <w:spacing w:line="240" w:lineRule="auto" w:before="118" w:after="0"/>
        <w:ind w:left="762" w:right="0" w:hanging="285"/>
        <w:jc w:val="left"/>
        <w:rPr>
          <w:sz w:val="19"/>
        </w:rPr>
      </w:pPr>
      <w:r>
        <w:rPr>
          <w:sz w:val="19"/>
        </w:rPr>
        <w:t>North</w:t>
      </w:r>
      <w:r>
        <w:rPr>
          <w:spacing w:val="-3"/>
          <w:sz w:val="19"/>
        </w:rPr>
        <w:t> </w:t>
      </w:r>
      <w:r>
        <w:rPr>
          <w:sz w:val="19"/>
        </w:rPr>
        <w:t>Melbourne</w:t>
      </w:r>
      <w:r>
        <w:rPr>
          <w:spacing w:val="-2"/>
          <w:sz w:val="19"/>
        </w:rPr>
        <w:t> </w:t>
      </w:r>
      <w:r>
        <w:rPr>
          <w:sz w:val="19"/>
        </w:rPr>
        <w:t>Residents Association.</w:t>
      </w:r>
    </w:p>
    <w:p>
      <w:pPr>
        <w:pStyle w:val="BodyText"/>
        <w:spacing w:before="116"/>
        <w:ind w:left="478" w:right="1113"/>
      </w:pPr>
      <w:r>
        <w:rPr/>
        <w:t>During the public inspection period, CYP held one online community information session on</w:t>
      </w:r>
      <w:r>
        <w:rPr>
          <w:spacing w:val="-50"/>
        </w:rPr>
        <w:t> </w:t>
      </w:r>
      <w:r>
        <w:rPr/>
        <w:t>Wednesday</w:t>
      </w:r>
      <w:r>
        <w:rPr>
          <w:spacing w:val="1"/>
        </w:rPr>
        <w:t> </w:t>
      </w:r>
      <w:r>
        <w:rPr/>
        <w:t>18</w:t>
      </w:r>
      <w:r>
        <w:rPr>
          <w:spacing w:val="-2"/>
        </w:rPr>
        <w:t> </w:t>
      </w:r>
      <w:r>
        <w:rPr/>
        <w:t>August</w:t>
      </w:r>
      <w:r>
        <w:rPr>
          <w:spacing w:val="-2"/>
        </w:rPr>
        <w:t> </w:t>
      </w:r>
      <w:r>
        <w:rPr/>
        <w:t>2021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6:00pm-7:00pm</w:t>
      </w:r>
      <w:r>
        <w:rPr>
          <w:spacing w:val="-1"/>
        </w:rPr>
        <w:t> </w:t>
      </w:r>
      <w:r>
        <w:rPr/>
        <w:t>via</w:t>
      </w:r>
      <w:r>
        <w:rPr>
          <w:spacing w:val="-1"/>
        </w:rPr>
        <w:t> </w:t>
      </w:r>
      <w:r>
        <w:rPr/>
        <w:t>Zoom meeting (due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COVID-19).</w:t>
      </w:r>
    </w:p>
    <w:p>
      <w:pPr>
        <w:pStyle w:val="BodyText"/>
        <w:spacing w:before="120"/>
        <w:ind w:left="478" w:right="617"/>
      </w:pPr>
      <w:r>
        <w:rPr/>
        <w:t>At the online information session, attendees were able to ask questions about the Arden Station</w:t>
      </w:r>
      <w:r>
        <w:rPr>
          <w:spacing w:val="1"/>
        </w:rPr>
        <w:t> </w:t>
      </w:r>
      <w:r>
        <w:rPr/>
        <w:t>Precinct Development Plan and technical specialists were available to answer any queries. An</w:t>
      </w:r>
      <w:r>
        <w:rPr>
          <w:spacing w:val="1"/>
        </w:rPr>
        <w:t> </w:t>
      </w:r>
      <w:r>
        <w:rPr/>
        <w:t>invitation to the online session was distributed to 2,565 stakeholders within the Project’s identified</w:t>
      </w:r>
      <w:r>
        <w:rPr>
          <w:spacing w:val="-50"/>
        </w:rPr>
        <w:t> </w:t>
      </w:r>
      <w:r>
        <w:rPr/>
        <w:t>North Melbourne notification catchment. At the session, instructions on how to access the online</w:t>
      </w:r>
      <w:r>
        <w:rPr>
          <w:spacing w:val="1"/>
        </w:rPr>
        <w:t> </w:t>
      </w:r>
      <w:r>
        <w:rPr/>
        <w:t>submission</w:t>
      </w:r>
      <w:r>
        <w:rPr>
          <w:spacing w:val="-2"/>
        </w:rPr>
        <w:t> </w:t>
      </w:r>
      <w:r>
        <w:rPr/>
        <w:t>portal were</w:t>
      </w:r>
      <w:r>
        <w:rPr>
          <w:spacing w:val="-1"/>
        </w:rPr>
        <w:t> </w:t>
      </w:r>
      <w:r>
        <w:rPr/>
        <w:t>provided.</w:t>
      </w:r>
    </w:p>
    <w:p>
      <w:pPr>
        <w:pStyle w:val="BodyText"/>
        <w:spacing w:before="119"/>
        <w:ind w:left="478" w:right="533"/>
      </w:pPr>
      <w:r>
        <w:rPr/>
        <w:t>19 targeted emails were sent to stakeholders advising of the upcoming release of the amended</w:t>
      </w:r>
      <w:r>
        <w:rPr>
          <w:spacing w:val="1"/>
        </w:rPr>
        <w:t> </w:t>
      </w:r>
      <w:r>
        <w:rPr/>
        <w:t>Development Plan for public consultation. Metro Tunnel social media accounts also posted links to</w:t>
      </w:r>
      <w:r>
        <w:rPr>
          <w:spacing w:val="-50"/>
        </w:rPr>
        <w:t> </w:t>
      </w:r>
      <w:r>
        <w:rPr/>
        <w:t>the draft Arden Station Precinct Development Plan and online submission portal. Additionally, a</w:t>
      </w:r>
      <w:r>
        <w:rPr>
          <w:spacing w:val="1"/>
        </w:rPr>
        <w:t> </w:t>
      </w:r>
      <w:r>
        <w:rPr/>
        <w:t>session that presented this Development Plan was held with the Arden / Parkville Community</w:t>
      </w:r>
      <w:r>
        <w:rPr>
          <w:spacing w:val="1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Group on</w:t>
      </w:r>
      <w:r>
        <w:rPr>
          <w:spacing w:val="2"/>
        </w:rPr>
        <w:t> </w:t>
      </w:r>
      <w:r>
        <w:rPr/>
        <w:t>Friday</w:t>
      </w:r>
      <w:r>
        <w:rPr>
          <w:spacing w:val="1"/>
        </w:rPr>
        <w:t> </w:t>
      </w:r>
      <w:r>
        <w:rPr/>
        <w:t>9</w:t>
      </w:r>
      <w:r>
        <w:rPr>
          <w:spacing w:val="-1"/>
        </w:rPr>
        <w:t> </w:t>
      </w:r>
      <w:r>
        <w:rPr/>
        <w:t>July 2021.</w:t>
      </w:r>
    </w:p>
    <w:p>
      <w:pPr>
        <w:pStyle w:val="BodyText"/>
        <w:spacing w:before="123"/>
        <w:ind w:left="478"/>
      </w:pPr>
      <w:r>
        <w:rPr/>
        <w:t>Overall,</w:t>
      </w:r>
      <w:r>
        <w:rPr>
          <w:spacing w:val="-2"/>
        </w:rPr>
        <w:t> </w:t>
      </w:r>
      <w:r>
        <w:rPr/>
        <w:t>18</w:t>
      </w:r>
      <w:r>
        <w:rPr>
          <w:spacing w:val="-2"/>
        </w:rPr>
        <w:t> </w:t>
      </w:r>
      <w:r>
        <w:rPr/>
        <w:t>submissions</w:t>
      </w:r>
      <w:r>
        <w:rPr>
          <w:spacing w:val="-2"/>
        </w:rPr>
        <w:t> </w:t>
      </w:r>
      <w:r>
        <w:rPr/>
        <w:t>were</w:t>
      </w:r>
      <w:r>
        <w:rPr>
          <w:spacing w:val="-3"/>
        </w:rPr>
        <w:t> </w:t>
      </w:r>
      <w:r>
        <w:rPr/>
        <w:t>received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Arden</w:t>
      </w:r>
      <w:r>
        <w:rPr>
          <w:spacing w:val="1"/>
        </w:rPr>
        <w:t> </w:t>
      </w:r>
      <w:r>
        <w:rPr/>
        <w:t>Station</w:t>
      </w:r>
      <w:r>
        <w:rPr>
          <w:spacing w:val="-1"/>
        </w:rPr>
        <w:t> </w:t>
      </w:r>
      <w:r>
        <w:rPr/>
        <w:t>Precinct</w:t>
      </w:r>
      <w:r>
        <w:rPr>
          <w:spacing w:val="-3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Plan.</w:t>
      </w:r>
    </w:p>
    <w:p>
      <w:pPr>
        <w:pStyle w:val="BodyText"/>
        <w:spacing w:before="120"/>
        <w:ind w:left="478" w:right="314"/>
        <w:jc w:val="both"/>
      </w:pPr>
      <w:r>
        <w:rPr/>
        <w:t>As part of the submission to the Minister for Planning, CYP will provide all written comments received</w:t>
      </w:r>
      <w:r>
        <w:rPr>
          <w:spacing w:val="-50"/>
        </w:rPr>
        <w:t> </w:t>
      </w:r>
      <w:r>
        <w:rPr/>
        <w:t>during the detailed design public display period, and a summary of consultation and responses to the</w:t>
      </w:r>
      <w:r>
        <w:rPr>
          <w:spacing w:val="-50"/>
        </w:rPr>
        <w:t> </w:t>
      </w:r>
      <w:r>
        <w:rPr/>
        <w:t>issues</w:t>
      </w:r>
      <w:r>
        <w:rPr>
          <w:spacing w:val="-1"/>
        </w:rPr>
        <w:t> </w:t>
      </w:r>
      <w:r>
        <w:rPr/>
        <w:t>and queries</w:t>
      </w:r>
      <w:r>
        <w:rPr>
          <w:spacing w:val="1"/>
        </w:rPr>
        <w:t> </w:t>
      </w:r>
      <w:r>
        <w:rPr/>
        <w:t>raised.</w:t>
      </w:r>
    </w:p>
    <w:p>
      <w:pPr>
        <w:spacing w:after="0"/>
        <w:jc w:val="both"/>
        <w:sectPr>
          <w:pgSz w:w="11910" w:h="16840"/>
          <w:pgMar w:header="936" w:footer="365" w:top="1900" w:bottom="640" w:left="940" w:right="1680"/>
        </w:sectPr>
      </w:pPr>
    </w:p>
    <w:p>
      <w:pPr>
        <w:pStyle w:val="BodyText"/>
        <w:ind w:left="116"/>
        <w:rPr>
          <w:sz w:val="20"/>
        </w:rPr>
      </w:pPr>
      <w:r>
        <w:rPr/>
        <w:pict>
          <v:group style="position:absolute;margin-left:70.859001pt;margin-top:131.226013pt;width:173.05pt;height:75.5pt;mso-position-horizontal-relative:page;mso-position-vertical-relative:page;z-index:15734272" id="docshapegroup5" coordorigin="1417,2625" coordsize="3461,1510">
            <v:shape style="position:absolute;left:4270;top:3303;width:607;height:152" id="docshape6" coordorigin="4271,3304" coordsize="607,152" path="m4857,3379l4742,3446,4742,3450,4743,3452,4744,3454,4748,3455,4869,3384,4867,3384,4867,3384,4865,3384,4857,3379xm4849,3374l4271,3374,4271,3384,4849,3384,4857,3379,4849,3374xm4869,3374l4867,3374,4867,3384,4869,3384,4877,3379,4869,3374xm4865,3375l4857,3379,4865,3384,4865,3375xm4867,3375l4865,3375,4865,3384,4867,3384,4867,3375xm4748,3304l4744,3304,4742,3309,4742,3312,4745,3314,4857,3379,4865,3375,4867,3375,4867,3374,4869,3374,4748,3304xe" filled="true" fillcolor="#57585b" stroked="false">
              <v:path arrowok="t"/>
              <v:fill type="solid"/>
            </v:shape>
            <v:shape style="position:absolute;left:1427;top:2634;width:2847;height:1490" type="#_x0000_t202" id="docshape7" filled="true" fillcolor="#57585b" stroked="true" strokeweight="1pt" strokecolor="#6c6c6c">
              <v:textbox inset="0,0,0,0">
                <w:txbxContent>
                  <w:p>
                    <w:pPr>
                      <w:spacing w:line="240" w:lineRule="auto" w:before="0"/>
                      <w:rPr>
                        <w:color w:val="000000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color w:val="000000"/>
                        <w:sz w:val="18"/>
                      </w:rPr>
                    </w:pPr>
                  </w:p>
                  <w:p>
                    <w:pPr>
                      <w:spacing w:line="240" w:lineRule="auto" w:before="6"/>
                      <w:rPr>
                        <w:color w:val="000000"/>
                        <w:sz w:val="18"/>
                      </w:rPr>
                    </w:pPr>
                  </w:p>
                  <w:p>
                    <w:pPr>
                      <w:spacing w:before="0"/>
                      <w:ind w:left="199" w:right="0" w:firstLine="0"/>
                      <w:jc w:val="left"/>
                      <w:rPr>
                        <w:color w:val="000000"/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Prepare</w:t>
                    </w:r>
                    <w:r>
                      <w:rPr>
                        <w:color w:val="FFFFFF"/>
                        <w:spacing w:val="-5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draft</w:t>
                    </w:r>
                    <w:r>
                      <w:rPr>
                        <w:color w:val="FFFFFF"/>
                        <w:spacing w:val="-8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Development</w:t>
                    </w:r>
                    <w:r>
                      <w:rPr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Plan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245.910004pt;margin-top:131.226013pt;width:173.05pt;height:75.5pt;mso-position-horizontal-relative:page;mso-position-vertical-relative:page;z-index:15734784" id="docshapegroup8" coordorigin="4918,2625" coordsize="3461,1510">
            <v:shape style="position:absolute;left:7771;top:3303;width:607;height:152" id="docshape9" coordorigin="7772,3304" coordsize="607,152" path="m8359,3379l8244,3446,8243,3450,8244,3452,8246,3454,8249,3455,8370,3384,8368,3384,8368,3384,8366,3384,8359,3379xm8350,3374l7772,3374,7772,3384,8350,3384,8359,3379,8350,3374xm8370,3374l8368,3374,8368,3384,8370,3384,8378,3379,8370,3374xm8366,3375l8359,3379,8366,3384,8366,3375xm8368,3375l8366,3375,8366,3384,8368,3384,8368,3375xm8249,3304l8246,3304,8243,3309,8244,3312,8246,3314,8359,3379,8366,3375,8368,3375,8368,3374,8370,3374,8249,3304xe" filled="true" fillcolor="#57585b" stroked="false">
              <v:path arrowok="t"/>
              <v:fill type="solid"/>
            </v:shape>
            <v:shape style="position:absolute;left:4928;top:2634;width:2847;height:1490" type="#_x0000_t202" id="docshape10" filled="true" fillcolor="#00bbe9" stroked="true" strokeweight="1pt" strokecolor="#6c6c6c">
              <v:textbox inset="0,0,0,0">
                <w:txbxContent>
                  <w:p>
                    <w:pPr>
                      <w:spacing w:line="240" w:lineRule="auto" w:before="9"/>
                      <w:rPr>
                        <w:color w:val="000000"/>
                        <w:sz w:val="22"/>
                      </w:rPr>
                    </w:pPr>
                  </w:p>
                  <w:p>
                    <w:pPr>
                      <w:spacing w:before="0"/>
                      <w:ind w:left="257" w:right="257" w:firstLine="0"/>
                      <w:jc w:val="center"/>
                      <w:rPr>
                        <w:b/>
                        <w:color w:val="000000"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Early</w:t>
                    </w:r>
                    <w:r>
                      <w:rPr>
                        <w:b/>
                        <w:color w:val="FFFFFF"/>
                        <w:spacing w:val="-6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Engagement</w:t>
                    </w:r>
                  </w:p>
                  <w:p>
                    <w:pPr>
                      <w:spacing w:line="216" w:lineRule="auto" w:before="66"/>
                      <w:ind w:left="161" w:right="160" w:hanging="1"/>
                      <w:jc w:val="center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Consult with Office of the Victorian</w:t>
                    </w:r>
                    <w:r>
                      <w:rPr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Government Architect, relevant</w:t>
                    </w:r>
                    <w:r>
                      <w:rPr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Councils and Transport Authorities,</w:t>
                    </w:r>
                    <w:r>
                      <w:rPr>
                        <w:color w:val="FFFFFF"/>
                        <w:spacing w:val="-42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Melbourne Water,</w:t>
                    </w:r>
                    <w:r>
                      <w:rPr>
                        <w:color w:val="FFFFFF"/>
                        <w:spacing w:val="-8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Heritage</w:t>
                    </w:r>
                    <w:r>
                      <w:rPr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Victoria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20.970001pt;margin-top:131.226013pt;width:173.15pt;height:75.5pt;mso-position-horizontal-relative:page;mso-position-vertical-relative:page;z-index:15735296" id="docshapegroup11" coordorigin="8419,2625" coordsize="3463,1510">
            <v:shape style="position:absolute;left:11272;top:3307;width:610;height:152" id="docshape12" coordorigin="11273,3307" coordsize="610,152" path="m11862,3383l11747,3450,11746,3453,11749,3458,11752,3458,11873,3388,11872,3388,11872,3387,11870,3387,11862,3383xm11599,3379l11599,3388,11853,3388,11859,3384,11604,3384,11599,3379xm11873,3378l11872,3378,11872,3388,11873,3388,11882,3383,11873,3378xm11870,3378l11862,3383,11870,3387,11870,3378xm11872,3378l11870,3378,11870,3387,11872,3387,11872,3378xm11609,3374l11273,3374,11273,3384,11599,3384,11599,3379,11606,3379,11604,3378,11609,3378,11609,3374xm11606,3379l11599,3379,11604,3384,11859,3384,11862,3383,11609,3383,11606,3379xm11609,3378l11604,3378,11609,3383,11609,3378xm11854,3378l11609,3378,11609,3383,11862,3383,11862,3383,11854,3378xm11752,3307l11749,3308,11746,3313,11747,3316,11862,3383,11870,3378,11872,3378,11872,3378,11873,3378,11752,3307xe" filled="true" fillcolor="#57585b" stroked="false">
              <v:path arrowok="t"/>
              <v:fill type="solid"/>
            </v:shape>
            <v:shape style="position:absolute;left:8429;top:2634;width:2847;height:1490" type="#_x0000_t202" id="docshape13" filled="true" fillcolor="#57585b" stroked="true" strokeweight="1pt" strokecolor="#6c6c6c">
              <v:textbox inset="0,0,0,0">
                <w:txbxContent>
                  <w:p>
                    <w:pPr>
                      <w:spacing w:line="240" w:lineRule="auto" w:before="0"/>
                      <w:rPr>
                        <w:color w:val="000000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color w:val="000000"/>
                        <w:sz w:val="18"/>
                      </w:rPr>
                    </w:pPr>
                  </w:p>
                  <w:p>
                    <w:pPr>
                      <w:spacing w:line="240" w:lineRule="auto" w:before="6"/>
                      <w:rPr>
                        <w:color w:val="000000"/>
                        <w:sz w:val="18"/>
                      </w:rPr>
                    </w:pPr>
                  </w:p>
                  <w:p>
                    <w:pPr>
                      <w:spacing w:before="0"/>
                      <w:ind w:left="243" w:right="0" w:firstLine="0"/>
                      <w:jc w:val="left"/>
                      <w:rPr>
                        <w:color w:val="000000"/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Revise</w:t>
                    </w:r>
                    <w:r>
                      <w:rPr>
                        <w:color w:val="FFFFFF"/>
                        <w:spacing w:val="-6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draft</w:t>
                    </w:r>
                    <w:r>
                      <w:rPr>
                        <w:color w:val="FFFFFF"/>
                        <w:spacing w:val="-7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Development</w:t>
                    </w:r>
                    <w:r>
                      <w:rPr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Plan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70.859001pt;margin-top:238.446014pt;width:173.05pt;height:75.5pt;mso-position-horizontal-relative:page;mso-position-vertical-relative:page;z-index:-17216512" id="docshapegroup14" coordorigin="1417,4769" coordsize="3461,1510">
            <v:shape style="position:absolute;left:4270;top:5448;width:607;height:152" id="docshape15" coordorigin="4271,5448" coordsize="607,152" path="m4857,5524l4742,5591,4742,5594,4744,5599,4748,5600,4869,5529,4867,5529,4867,5528,4865,5528,4857,5524xm4849,5519l4271,5519,4271,5529,4849,5529,4857,5524,4849,5519xm4869,5519l4867,5519,4867,5529,4869,5529,4877,5524,4869,5519xm4865,5520l4857,5524,4865,5528,4865,5520xm4867,5520l4865,5520,4865,5528,4867,5528,4867,5520xm4748,5448l4744,5449,4742,5454,4742,5457,4857,5524,4865,5520,4867,5520,4867,5519,4869,5519,4748,5448xe" filled="true" fillcolor="#57585b" stroked="false">
              <v:path arrowok="t"/>
              <v:fill type="solid"/>
            </v:shape>
            <v:shape style="position:absolute;left:1427;top:4778;width:2847;height:1490" type="#_x0000_t202" id="docshape16" filled="true" fillcolor="#57585b" stroked="true" strokeweight="1pt" strokecolor="#6c6c6c">
              <v:textbox inset="0,0,0,0">
                <w:txbxContent>
                  <w:p>
                    <w:pPr>
                      <w:spacing w:line="240" w:lineRule="auto" w:before="0"/>
                      <w:rPr>
                        <w:color w:val="000000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color w:val="000000"/>
                        <w:sz w:val="18"/>
                      </w:rPr>
                    </w:pPr>
                  </w:p>
                  <w:p>
                    <w:pPr>
                      <w:spacing w:line="240" w:lineRule="auto" w:before="6"/>
                      <w:rPr>
                        <w:color w:val="000000"/>
                        <w:sz w:val="18"/>
                      </w:rPr>
                    </w:pPr>
                  </w:p>
                  <w:p>
                    <w:pPr>
                      <w:spacing w:before="1"/>
                      <w:ind w:left="403" w:right="0" w:firstLine="0"/>
                      <w:jc w:val="left"/>
                      <w:rPr>
                        <w:color w:val="000000"/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Finalise</w:t>
                    </w:r>
                    <w:r>
                      <w:rPr>
                        <w:color w:val="FFFFFF"/>
                        <w:spacing w:val="-7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Development</w:t>
                    </w:r>
                    <w:r>
                      <w:rPr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Plan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245.910004pt;margin-top:238.446014pt;width:173.05pt;height:75.5pt;mso-position-horizontal-relative:page;mso-position-vertical-relative:page;z-index:-17216000" id="docshapegroup17" coordorigin="4918,4769" coordsize="3461,1510">
            <v:shape style="position:absolute;left:7771;top:5448;width:607;height:152" id="docshape18" coordorigin="7772,5448" coordsize="607,152" path="m8359,5524l8244,5591,8243,5594,8246,5599,8249,5600,8370,5529,8368,5529,8368,5528,8366,5528,8359,5524xm8350,5519l7772,5519,7772,5529,8350,5529,8359,5524,8350,5519xm8370,5519l8368,5519,8368,5529,8370,5529,8378,5524,8370,5519xm8366,5520l8359,5524,8366,5528,8366,5520xm8368,5520l8366,5520,8366,5528,8368,5528,8368,5520xm8249,5448l8246,5449,8243,5454,8244,5457,8359,5524,8366,5520,8368,5520,8368,5519,8370,5519,8249,5448xe" filled="true" fillcolor="#57585b" stroked="false">
              <v:path arrowok="t"/>
              <v:fill type="solid"/>
            </v:shape>
            <v:shape style="position:absolute;left:4928;top:4778;width:2847;height:1490" type="#_x0000_t202" id="docshape19" filled="true" fillcolor="#57585b" stroked="true" strokeweight="1pt" strokecolor="#6c6c6c">
              <v:textbox inset="0,0,0,0">
                <w:txbxContent>
                  <w:p>
                    <w:pPr>
                      <w:spacing w:line="240" w:lineRule="auto" w:before="0"/>
                      <w:rPr>
                        <w:color w:val="000000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color w:val="000000"/>
                        <w:sz w:val="18"/>
                      </w:rPr>
                    </w:pPr>
                  </w:p>
                  <w:p>
                    <w:pPr>
                      <w:spacing w:line="240" w:lineRule="auto" w:before="6"/>
                      <w:rPr>
                        <w:color w:val="000000"/>
                        <w:sz w:val="18"/>
                      </w:rPr>
                    </w:pPr>
                  </w:p>
                  <w:p>
                    <w:pPr>
                      <w:spacing w:before="1"/>
                      <w:ind w:left="675" w:right="0" w:firstLine="0"/>
                      <w:jc w:val="left"/>
                      <w:rPr>
                        <w:color w:val="000000"/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Ministerial</w:t>
                    </w:r>
                    <w:r>
                      <w:rPr>
                        <w:color w:val="FFFFFF"/>
                        <w:spacing w:val="-10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Approval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20.970001pt;margin-top:238.446014pt;width:173.5pt;height:75.5pt;mso-position-horizontal-relative:page;mso-position-vertical-relative:page;z-index:-17215488" id="docshapegroup20" coordorigin="8419,4769" coordsize="3470,1510">
            <v:shape style="position:absolute;left:11272;top:5448;width:616;height:152" id="docshape21" coordorigin="11273,5448" coordsize="616,152" path="m11869,5524l11754,5591,11753,5594,11756,5599,11759,5600,11880,5529,11879,5529,11879,5528,11876,5528,11869,5524xm11860,5519l11273,5519,11273,5529,11860,5529,11869,5524,11860,5519xm11880,5519l11879,5519,11879,5529,11880,5529,11889,5524,11880,5519xm11876,5520l11869,5524,11876,5528,11876,5520xm11879,5520l11876,5520,11876,5528,11879,5528,11879,5520xm11759,5448l11756,5449,11753,5454,11754,5457,11869,5524,11876,5520,11879,5520,11879,5519,11880,5519,11759,5448xe" filled="true" fillcolor="#57585b" stroked="false">
              <v:path arrowok="t"/>
              <v:fill type="solid"/>
            </v:shape>
            <v:shape style="position:absolute;left:8429;top:4778;width:2847;height:1490" type="#_x0000_t202" id="docshape22" filled="true" fillcolor="#57585b" stroked="true" strokeweight="1pt" strokecolor="#6c6c6c">
              <v:textbox inset="0,0,0,0">
                <w:txbxContent>
                  <w:p>
                    <w:pPr>
                      <w:spacing w:line="240" w:lineRule="auto" w:before="0"/>
                      <w:rPr>
                        <w:color w:val="000000"/>
                        <w:sz w:val="18"/>
                      </w:rPr>
                    </w:pPr>
                  </w:p>
                  <w:p>
                    <w:pPr>
                      <w:spacing w:line="240" w:lineRule="auto" w:before="3"/>
                      <w:rPr>
                        <w:color w:val="000000"/>
                        <w:sz w:val="18"/>
                      </w:rPr>
                    </w:pPr>
                  </w:p>
                  <w:p>
                    <w:pPr>
                      <w:spacing w:before="0"/>
                      <w:ind w:left="259" w:right="257" w:firstLine="0"/>
                      <w:jc w:val="center"/>
                      <w:rPr>
                        <w:b/>
                        <w:color w:val="000000"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Detailed</w:t>
                    </w:r>
                    <w:r>
                      <w:rPr>
                        <w:b/>
                        <w:color w:val="FFFFFF"/>
                        <w:spacing w:val="-6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Design</w:t>
                    </w:r>
                  </w:p>
                  <w:p>
                    <w:pPr>
                      <w:spacing w:line="218" w:lineRule="auto" w:before="64"/>
                      <w:ind w:left="259" w:right="257" w:firstLine="0"/>
                      <w:jc w:val="center"/>
                      <w:rPr>
                        <w:color w:val="000000"/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Prepare</w:t>
                    </w:r>
                    <w:r>
                      <w:rPr>
                        <w:color w:val="FFFFFF"/>
                        <w:spacing w:val="-5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major</w:t>
                    </w:r>
                    <w:r>
                      <w:rPr>
                        <w:color w:val="FFFFFF"/>
                        <w:spacing w:val="-6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amendment</w:t>
                    </w:r>
                    <w:r>
                      <w:rPr>
                        <w:color w:val="FFFFFF"/>
                        <w:spacing w:val="-1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to</w:t>
                    </w:r>
                    <w:r>
                      <w:rPr>
                        <w:color w:val="FFFFFF"/>
                        <w:spacing w:val="-44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Development</w:t>
                    </w:r>
                    <w:r>
                      <w:rPr>
                        <w:color w:val="FFFFFF"/>
                        <w:spacing w:val="4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Plan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sz w:val="20"/>
        </w:rPr>
        <w:drawing>
          <wp:inline distT="0" distB="0" distL="0" distR="0">
            <wp:extent cx="9375309" cy="658368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5309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pict>
          <v:group style="position:absolute;margin-left:138.729996pt;margin-top:8.71027pt;width:600.75pt;height:105.05pt;mso-position-horizontal-relative:page;mso-position-vertical-relative:paragraph;z-index:-15726080;mso-wrap-distance-left:0;mso-wrap-distance-right:0" id="docshapegroup23" coordorigin="2775,174" coordsize="12015,2101">
            <v:shape style="position:absolute;left:2774;top:1671;width:10588;height:604" id="docshape24" coordorigin="2775,1671" coordsize="10588,604" path="m2780,2139l2775,2142,2775,2145,2850,2274,2856,2265,2845,2265,2845,2246,2785,2142,2783,2140,2780,2139xm2845,2246l2845,2265,2855,2265,2855,2262,2846,2262,2850,2255,2845,2246xm2921,2139l2917,2140,2855,2246,2855,2265,2856,2265,2926,2145,2925,2142,2923,2140,2921,2139xm2850,2255l2846,2262,2855,2262,2850,2255xm2855,2246l2850,2255,2855,2262,2855,2262,2855,2246xm13352,1995l2845,1995,2845,2246,2850,2255,2855,2246,2855,2005,2850,2005,2855,2000,13352,2000,13352,1995xm2855,2000l2850,2005,2855,2005,2855,2000xm13362,1995l13357,1995,13352,2000,2855,2000,2855,2005,13362,2005,13362,1995xm13362,1671l13352,1671,13352,2000,13357,1995,13362,1995,13362,1671xe" filled="true" fillcolor="#57585b" stroked="false">
              <v:path arrowok="t"/>
              <v:fill type="solid"/>
            </v:shape>
            <v:shape style="position:absolute;left:11933;top:184;width:2847;height:1490" type="#_x0000_t202" id="docshape25" filled="true" fillcolor="#f68a1f" stroked="true" strokeweight="1pt" strokecolor="#6c6c6c">
              <v:textbox inset="0,0,0,0">
                <w:txbxContent>
                  <w:p>
                    <w:pPr>
                      <w:spacing w:line="240" w:lineRule="auto" w:before="11"/>
                      <w:rPr>
                        <w:color w:val="000000"/>
                        <w:sz w:val="20"/>
                      </w:rPr>
                    </w:pPr>
                  </w:p>
                  <w:p>
                    <w:pPr>
                      <w:spacing w:before="0"/>
                      <w:ind w:left="257" w:right="257" w:firstLine="0"/>
                      <w:jc w:val="center"/>
                      <w:rPr>
                        <w:b/>
                        <w:color w:val="000000"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Public</w:t>
                    </w:r>
                    <w:r>
                      <w:rPr>
                        <w:b/>
                        <w:color w:val="FFFFFF"/>
                        <w:spacing w:val="-4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Display</w:t>
                    </w:r>
                    <w:r>
                      <w:rPr>
                        <w:b/>
                        <w:color w:val="FFFFFF"/>
                        <w:spacing w:val="-2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Period</w:t>
                    </w:r>
                  </w:p>
                  <w:p>
                    <w:pPr>
                      <w:spacing w:line="216" w:lineRule="auto" w:before="65"/>
                      <w:ind w:left="106" w:right="103" w:hanging="2"/>
                      <w:jc w:val="center"/>
                      <w:rPr>
                        <w:color w:val="000000"/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Community Information Sessions,</w:t>
                    </w:r>
                    <w:r>
                      <w:rPr>
                        <w:color w:val="FFFFFF"/>
                        <w:spacing w:val="1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e-newsletters,</w:t>
                    </w:r>
                    <w:r>
                      <w:rPr>
                        <w:color w:val="FFFFFF"/>
                        <w:spacing w:val="-10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letter-box</w:t>
                    </w:r>
                    <w:r>
                      <w:rPr>
                        <w:color w:val="FFFFFF"/>
                        <w:spacing w:val="-6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drops</w:t>
                    </w:r>
                    <w:r>
                      <w:rPr>
                        <w:color w:val="FFFFFF"/>
                        <w:spacing w:val="-5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and</w:t>
                    </w:r>
                    <w:r>
                      <w:rPr>
                        <w:color w:val="FFFFFF"/>
                        <w:spacing w:val="-44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available on Metro Tunnel website</w:t>
                    </w:r>
                    <w:r>
                      <w:rPr>
                        <w:color w:val="FFFFFF"/>
                        <w:spacing w:val="-45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for</w:t>
                    </w:r>
                    <w:r>
                      <w:rPr>
                        <w:color w:val="FFFFFF"/>
                        <w:spacing w:val="-2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comment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3"/>
        </w:rPr>
      </w:pPr>
    </w:p>
    <w:p>
      <w:pPr>
        <w:pStyle w:val="BodyText"/>
        <w:ind w:left="1880"/>
        <w:rPr>
          <w:sz w:val="20"/>
        </w:rPr>
      </w:pPr>
      <w:r>
        <w:rPr>
          <w:sz w:val="20"/>
        </w:rPr>
        <w:pict>
          <v:group style="width:599.8pt;height:105.2pt;mso-position-horizontal-relative:char;mso-position-vertical-relative:line" id="docshapegroup26" coordorigin="0,0" coordsize="11996,2104">
            <v:shape style="position:absolute;left:0;top:1497;width:10569;height:607" id="docshape27" coordorigin="0,1497" coordsize="10569,607" path="m6,1968l1,1971,0,1974,76,2104,82,2094,71,2094,71,2075,9,1969,6,1968xm71,2076l71,2094,81,2094,81,2091,71,2091,76,2084,71,2076xm146,1968l143,1969,81,2075,81,2094,82,2094,151,1974,151,1971,146,1968xm76,2084l71,2091,80,2091,76,2084xm81,2075l76,2084,80,2091,81,2091,81,2075xm10558,1822l71,1822,71,2076,76,2084,81,2076,81,1832,76,1832,81,1827,10558,1827,10558,1822xm81,1827l76,1832,81,1832,81,1827xm10568,1822l10563,1822,10558,1827,81,1827,81,1832,10568,1832,10568,1822xm10568,1497l10558,1497,10558,1827,10563,1822,10568,1822,10568,1497xe" filled="true" fillcolor="#57585b" stroked="false">
              <v:path arrowok="t"/>
              <v:fill type="solid"/>
            </v:shape>
            <v:shape style="position:absolute;left:9139;top:10;width:2847;height:1490" type="#_x0000_t202" id="docshape28" filled="true" fillcolor="#c5d72d" stroked="true" strokeweight="1pt" strokecolor="#6c6c6c">
              <v:textbox inset="0,0,0,0">
                <w:txbxContent>
                  <w:p>
                    <w:pPr>
                      <w:spacing w:line="218" w:lineRule="auto" w:before="23"/>
                      <w:ind w:left="262" w:right="257" w:firstLine="0"/>
                      <w:jc w:val="center"/>
                      <w:rPr>
                        <w:b/>
                        <w:color w:val="000000"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Engagement during Detailed</w:t>
                    </w:r>
                    <w:r>
                      <w:rPr>
                        <w:b/>
                        <w:color w:val="FFFFFF"/>
                        <w:spacing w:val="-45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Design</w:t>
                    </w:r>
                  </w:p>
                  <w:p>
                    <w:pPr>
                      <w:spacing w:line="216" w:lineRule="auto" w:before="67"/>
                      <w:ind w:left="121" w:right="118" w:hanging="1"/>
                      <w:jc w:val="center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Consult with Office of the Victorian</w:t>
                    </w:r>
                    <w:r>
                      <w:rPr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Government Architect, relevant</w:t>
                    </w:r>
                    <w:r>
                      <w:rPr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Councils, Victorian Planning</w:t>
                    </w:r>
                    <w:r>
                      <w:rPr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Authority, Department of Transport,</w:t>
                    </w:r>
                    <w:r>
                      <w:rPr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Melbourne Water, Rail Projects</w:t>
                    </w:r>
                    <w:r>
                      <w:rPr>
                        <w:color w:val="FFFFFF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Victoria</w:t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and</w:t>
                    </w:r>
                    <w:r>
                      <w:rPr>
                        <w:color w:val="FFFFFF"/>
                        <w:spacing w:val="-2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Metro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Trains</w:t>
                    </w:r>
                    <w:r>
                      <w:rPr>
                        <w:color w:val="FFFFFF"/>
                        <w:spacing w:val="-4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Melbourne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/>
        <w:ind w:left="522" w:right="0" w:firstLine="0"/>
        <w:rPr>
          <w:sz w:val="20"/>
        </w:rPr>
      </w:pPr>
      <w:r>
        <w:rPr>
          <w:sz w:val="20"/>
        </w:rPr>
        <w:pict>
          <v:group style="width:171.75pt;height:75.5pt;mso-position-horizontal-relative:char;mso-position-vertical-relative:line" id="docshapegroup29" coordorigin="0,0" coordsize="3435,1510">
            <v:shape style="position:absolute;left:2853;top:679;width:581;height:152" id="docshape30" coordorigin="2853,679" coordsize="581,152" path="m3415,755l3299,822,3299,825,3301,830,3305,831,3426,760,3424,760,3424,759,3422,759,3415,755xm3406,750l2853,750,2853,760,3406,760,3415,755,3406,750xm3426,750l3424,750,3424,760,3426,760,3434,755,3426,750xm3422,751l3415,755,3422,759,3422,751xm3424,751l3422,751,3422,759,3424,759,3424,751xm3305,679l3301,680,3299,685,3299,688,3415,755,3422,751,3424,751,3424,750,3426,750,3305,679xe" filled="true" fillcolor="#57585b" stroked="false">
              <v:path arrowok="t"/>
              <v:fill type="solid"/>
            </v:shape>
            <v:shape style="position:absolute;left:10;top:10;width:2847;height:1490" type="#_x0000_t202" id="docshape31" filled="true" fillcolor="#57585b" stroked="true" strokeweight="1pt" strokecolor="#6c6c6c">
              <v:textbox inset="0,0,0,0">
                <w:txbxContent>
                  <w:p>
                    <w:pPr>
                      <w:spacing w:line="240" w:lineRule="auto" w:before="0"/>
                      <w:rPr>
                        <w:color w:val="000000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color w:val="000000"/>
                        <w:sz w:val="18"/>
                      </w:rPr>
                    </w:pPr>
                  </w:p>
                  <w:p>
                    <w:pPr>
                      <w:spacing w:line="218" w:lineRule="auto" w:before="141"/>
                      <w:ind w:left="1243" w:right="246" w:hanging="989"/>
                      <w:jc w:val="left"/>
                      <w:rPr>
                        <w:color w:val="000000"/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Revise</w:t>
                    </w:r>
                    <w:r>
                      <w:rPr>
                        <w:color w:val="FFFFFF"/>
                        <w:spacing w:val="-11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amended</w:t>
                    </w:r>
                    <w:r>
                      <w:rPr>
                        <w:color w:val="FFFFFF"/>
                        <w:spacing w:val="-7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Development</w:t>
                    </w:r>
                    <w:r>
                      <w:rPr>
                        <w:color w:val="FFFFFF"/>
                        <w:spacing w:val="-45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Plan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sz w:val="20"/>
        </w:rPr>
      </w:r>
      <w:r>
        <w:rPr>
          <w:rFonts w:ascii="Times New Roman"/>
          <w:spacing w:val="-10"/>
          <w:sz w:val="20"/>
        </w:rPr>
        <w:t> </w:t>
      </w:r>
      <w:r>
        <w:rPr>
          <w:spacing w:val="-10"/>
          <w:sz w:val="20"/>
        </w:rPr>
        <w:pict>
          <v:group style="width:173.05pt;height:75.5pt;mso-position-horizontal-relative:char;mso-position-vertical-relative:line" id="docshapegroup32" coordorigin="0,0" coordsize="3461,1510">
            <v:shape style="position:absolute;left:2853;top:679;width:607;height:152" id="docshape33" coordorigin="2854,679" coordsize="607,152" path="m3440,755l3325,822,3325,825,3327,830,3330,831,3452,760,3450,760,3450,759,3448,759,3440,755xm3432,750l2854,750,2854,760,3432,760,3440,755,3432,750xm3452,750l3450,750,3450,760,3452,760,3460,755,3452,750xm3448,751l3440,755,3448,759,3448,751xm3450,751l3448,751,3448,759,3450,759,3450,751xm3330,679l3327,680,3325,685,3325,688,3440,755,3448,751,3450,751,3450,750,3452,750,3330,679xe" filled="true" fillcolor="#57585b" stroked="false">
              <v:path arrowok="t"/>
              <v:fill type="solid"/>
            </v:shape>
            <v:shape style="position:absolute;left:10;top:10;width:2847;height:1490" type="#_x0000_t202" id="docshape34" filled="true" fillcolor="#f68a1f" stroked="true" strokeweight="1pt" strokecolor="#6c6c6c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Times New Roman"/>
                        <w:color w:val="000000"/>
                        <w:sz w:val="14"/>
                      </w:rPr>
                    </w:pPr>
                  </w:p>
                  <w:p>
                    <w:pPr>
                      <w:spacing w:line="218" w:lineRule="auto" w:before="0"/>
                      <w:ind w:left="778" w:right="253" w:hanging="521"/>
                      <w:jc w:val="both"/>
                      <w:rPr>
                        <w:b/>
                        <w:color w:val="000000"/>
                        <w:sz w:val="17"/>
                      </w:rPr>
                    </w:pPr>
                    <w:r>
                      <w:rPr>
                        <w:b/>
                        <w:color w:val="FFFFFF"/>
                        <w:sz w:val="17"/>
                      </w:rPr>
                      <w:t>Public Display Period during</w:t>
                    </w:r>
                    <w:r>
                      <w:rPr>
                        <w:b/>
                        <w:color w:val="FFFFFF"/>
                        <w:spacing w:val="-46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Detailed</w:t>
                    </w:r>
                    <w:r>
                      <w:rPr>
                        <w:b/>
                        <w:color w:val="FFFFFF"/>
                        <w:spacing w:val="-2"/>
                        <w:sz w:val="17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</w:rPr>
                      <w:t>Design</w:t>
                    </w:r>
                  </w:p>
                  <w:p>
                    <w:pPr>
                      <w:spacing w:line="216" w:lineRule="auto" w:before="68"/>
                      <w:ind w:left="106" w:right="104" w:firstLine="36"/>
                      <w:jc w:val="both"/>
                      <w:rPr>
                        <w:color w:val="000000"/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Community Information Sessions,</w:t>
                    </w:r>
                    <w:r>
                      <w:rPr>
                        <w:color w:val="FFFFFF"/>
                        <w:spacing w:val="-45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e-newsletters,</w:t>
                    </w:r>
                    <w:r>
                      <w:rPr>
                        <w:color w:val="FFFFFF"/>
                        <w:spacing w:val="-10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letter-box</w:t>
                    </w:r>
                    <w:r>
                      <w:rPr>
                        <w:color w:val="FFFFFF"/>
                        <w:spacing w:val="-6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drops</w:t>
                    </w:r>
                    <w:r>
                      <w:rPr>
                        <w:color w:val="FFFFFF"/>
                        <w:spacing w:val="-5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and</w:t>
                    </w:r>
                    <w:r>
                      <w:rPr>
                        <w:color w:val="FFFFFF"/>
                        <w:spacing w:val="-45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available on Metro Tunnel website</w:t>
                    </w:r>
                    <w:r>
                      <w:rPr>
                        <w:color w:val="FFFFFF"/>
                        <w:spacing w:val="-45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for</w:t>
                    </w:r>
                    <w:r>
                      <w:rPr>
                        <w:color w:val="FFFFFF"/>
                        <w:spacing w:val="-5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public</w:t>
                    </w:r>
                    <w:r>
                      <w:rPr>
                        <w:color w:val="FFFFFF"/>
                        <w:spacing w:val="-3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inspection</w:t>
                    </w:r>
                    <w:r>
                      <w:rPr>
                        <w:color w:val="FFFFFF"/>
                        <w:spacing w:val="-4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and</w:t>
                    </w:r>
                    <w:r>
                      <w:rPr>
                        <w:color w:val="FFFFFF"/>
                        <w:spacing w:val="-5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comment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spacing w:val="-10"/>
          <w:sz w:val="20"/>
        </w:rPr>
      </w:r>
      <w:r>
        <w:rPr>
          <w:rFonts w:ascii="Times New Roman"/>
          <w:spacing w:val="-14"/>
          <w:sz w:val="20"/>
        </w:rPr>
        <w:t> </w:t>
      </w:r>
      <w:r>
        <w:rPr>
          <w:spacing w:val="-14"/>
          <w:sz w:val="20"/>
        </w:rPr>
        <w:pict>
          <v:group style="width:173.5pt;height:75.5pt;mso-position-horizontal-relative:char;mso-position-vertical-relative:line" id="docshapegroup35" coordorigin="0,0" coordsize="3470,1510">
            <v:shape style="position:absolute;left:2853;top:679;width:616;height:152" id="docshape36" coordorigin="2853,679" coordsize="616,152" path="m3449,755l3334,822,3334,825,3336,830,3339,831,3461,760,3459,760,3459,759,3457,759,3449,755xm3441,750l2853,750,2853,760,3441,760,3449,755,3441,750xm3461,750l3459,750,3459,760,3461,760,3469,755,3461,750xm3457,751l3449,755,3457,759,3457,751xm3459,751l3457,751,3457,759,3459,759,3459,751xm3339,679l3336,680,3334,685,3334,688,3449,755,3457,751,3459,751,3459,750,3461,750,3339,679xe" filled="true" fillcolor="#57585b" stroked="false">
              <v:path arrowok="t"/>
              <v:fill type="solid"/>
            </v:shape>
            <v:shape style="position:absolute;left:10;top:10;width:2847;height:1490" type="#_x0000_t202" id="docshape37" filled="true" fillcolor="#57585b" stroked="true" strokeweight="1pt" strokecolor="#6c6c6c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color w:val="000000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color w:val="000000"/>
                        <w:sz w:val="18"/>
                      </w:rPr>
                    </w:pPr>
                  </w:p>
                  <w:p>
                    <w:pPr>
                      <w:spacing w:line="218" w:lineRule="auto" w:before="141"/>
                      <w:ind w:left="1244" w:right="213" w:hanging="1023"/>
                      <w:jc w:val="left"/>
                      <w:rPr>
                        <w:color w:val="000000"/>
                        <w:sz w:val="17"/>
                      </w:rPr>
                    </w:pPr>
                    <w:r>
                      <w:rPr>
                        <w:color w:val="FFFFFF"/>
                        <w:sz w:val="17"/>
                      </w:rPr>
                      <w:t>Finalise</w:t>
                    </w:r>
                    <w:r>
                      <w:rPr>
                        <w:color w:val="FFFFFF"/>
                        <w:spacing w:val="-11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amended</w:t>
                    </w:r>
                    <w:r>
                      <w:rPr>
                        <w:color w:val="FFFFFF"/>
                        <w:spacing w:val="-7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Development</w:t>
                    </w:r>
                    <w:r>
                      <w:rPr>
                        <w:color w:val="FFFFFF"/>
                        <w:spacing w:val="-45"/>
                        <w:sz w:val="17"/>
                      </w:rPr>
                      <w:t> </w:t>
                    </w:r>
                    <w:r>
                      <w:rPr>
                        <w:color w:val="FFFFFF"/>
                        <w:sz w:val="17"/>
                      </w:rPr>
                      <w:t>Plan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spacing w:val="-14"/>
          <w:sz w:val="20"/>
        </w:rPr>
      </w:r>
      <w:r>
        <w:rPr>
          <w:rFonts w:ascii="Times New Roman"/>
          <w:spacing w:val="-20"/>
          <w:sz w:val="20"/>
        </w:rPr>
        <w:t> </w:t>
      </w:r>
      <w:r>
        <w:rPr>
          <w:spacing w:val="-20"/>
          <w:sz w:val="20"/>
        </w:rPr>
        <w:pict>
          <v:shape style="width:142.35pt;height:74.5pt;mso-position-horizontal-relative:char;mso-position-vertical-relative:line" type="#_x0000_t202" id="docshape38" filled="true" fillcolor="#57585b" stroked="true" strokeweight="1pt" strokecolor="#6c6c6c">
            <w10:anchorlock/>
            <v:textbox inset="0,0,0,0">
              <w:txbxContent>
                <w:p>
                  <w:pPr>
                    <w:pStyle w:val="BodyText"/>
                    <w:rPr>
                      <w:rFonts w:ascii="Times New Roman"/>
                      <w:color w:val="000000"/>
                      <w:sz w:val="18"/>
                    </w:rPr>
                  </w:pPr>
                </w:p>
                <w:p>
                  <w:pPr>
                    <w:pStyle w:val="BodyText"/>
                    <w:rPr>
                      <w:rFonts w:ascii="Times New Roman"/>
                      <w:color w:val="000000"/>
                      <w:sz w:val="18"/>
                    </w:rPr>
                  </w:pPr>
                </w:p>
                <w:p>
                  <w:pPr>
                    <w:spacing w:line="218" w:lineRule="auto" w:before="141"/>
                    <w:ind w:left="1086" w:right="286" w:hanging="792"/>
                    <w:jc w:val="left"/>
                    <w:rPr>
                      <w:color w:val="000000"/>
                      <w:sz w:val="17"/>
                    </w:rPr>
                  </w:pPr>
                  <w:r>
                    <w:rPr>
                      <w:color w:val="FFFFFF"/>
                      <w:sz w:val="17"/>
                    </w:rPr>
                    <w:t>Submission</w:t>
                  </w:r>
                  <w:r>
                    <w:rPr>
                      <w:color w:val="FFFFFF"/>
                      <w:spacing w:val="-3"/>
                      <w:sz w:val="17"/>
                    </w:rPr>
                    <w:t> </w:t>
                  </w:r>
                  <w:r>
                    <w:rPr>
                      <w:color w:val="FFFFFF"/>
                      <w:sz w:val="17"/>
                    </w:rPr>
                    <w:t>to</w:t>
                  </w:r>
                  <w:r>
                    <w:rPr>
                      <w:color w:val="FFFFFF"/>
                      <w:spacing w:val="-4"/>
                      <w:sz w:val="17"/>
                    </w:rPr>
                    <w:t> </w:t>
                  </w:r>
                  <w:r>
                    <w:rPr>
                      <w:color w:val="FFFFFF"/>
                      <w:sz w:val="17"/>
                    </w:rPr>
                    <w:t>the</w:t>
                  </w:r>
                  <w:r>
                    <w:rPr>
                      <w:color w:val="FFFFFF"/>
                      <w:spacing w:val="-1"/>
                      <w:sz w:val="17"/>
                    </w:rPr>
                    <w:t> </w:t>
                  </w:r>
                  <w:r>
                    <w:rPr>
                      <w:color w:val="FFFFFF"/>
                      <w:sz w:val="17"/>
                    </w:rPr>
                    <w:t>Minister</w:t>
                  </w:r>
                  <w:r>
                    <w:rPr>
                      <w:color w:val="FFFFFF"/>
                      <w:spacing w:val="-5"/>
                      <w:sz w:val="17"/>
                    </w:rPr>
                    <w:t> </w:t>
                  </w:r>
                  <w:r>
                    <w:rPr>
                      <w:color w:val="FFFFFF"/>
                      <w:sz w:val="17"/>
                    </w:rPr>
                    <w:t>for</w:t>
                  </w:r>
                  <w:r>
                    <w:rPr>
                      <w:color w:val="FFFFFF"/>
                      <w:spacing w:val="-45"/>
                      <w:sz w:val="17"/>
                    </w:rPr>
                    <w:t> </w:t>
                  </w:r>
                  <w:r>
                    <w:rPr>
                      <w:color w:val="FFFFFF"/>
                      <w:sz w:val="17"/>
                    </w:rPr>
                    <w:t>Planning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spacing w:val="-2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before="95"/>
        <w:ind w:left="5417" w:right="1925" w:hanging="4789"/>
        <w:jc w:val="left"/>
        <w:rPr>
          <w:sz w:val="18"/>
        </w:rPr>
      </w:pPr>
      <w:bookmarkStart w:name="_bookmark10" w:id="56"/>
      <w:bookmarkEnd w:id="56"/>
      <w:r>
        <w:rPr/>
      </w:r>
      <w:r>
        <w:rPr>
          <w:sz w:val="18"/>
        </w:rPr>
        <w:t>Figure 1 – Development Plan consultation process (blue refers to Early Engagement, orange refers to Public Display Period, and green refers to Stakeholder</w:t>
      </w:r>
      <w:r>
        <w:rPr>
          <w:spacing w:val="-47"/>
          <w:sz w:val="18"/>
        </w:rPr>
        <w:t> </w:t>
      </w:r>
      <w:r>
        <w:rPr>
          <w:sz w:val="18"/>
        </w:rPr>
        <w:t>Engagement</w:t>
      </w:r>
      <w:r>
        <w:rPr>
          <w:spacing w:val="-1"/>
          <w:sz w:val="18"/>
        </w:rPr>
        <w:t> </w:t>
      </w:r>
      <w:r>
        <w:rPr>
          <w:sz w:val="18"/>
        </w:rPr>
        <w:t>during</w:t>
      </w:r>
      <w:r>
        <w:rPr>
          <w:spacing w:val="-2"/>
          <w:sz w:val="18"/>
        </w:rPr>
        <w:t> </w:t>
      </w:r>
      <w:r>
        <w:rPr>
          <w:sz w:val="18"/>
        </w:rPr>
        <w:t>detailed design)</w:t>
      </w:r>
    </w:p>
    <w:p>
      <w:pPr>
        <w:spacing w:after="0"/>
        <w:jc w:val="left"/>
        <w:rPr>
          <w:sz w:val="18"/>
        </w:rPr>
        <w:sectPr>
          <w:headerReference w:type="default" r:id="rId14"/>
          <w:footerReference w:type="default" r:id="rId15"/>
          <w:pgSz w:w="16840" w:h="11910" w:orient="landscape"/>
          <w:pgMar w:header="0" w:footer="445" w:top="720" w:bottom="640" w:left="920" w:right="8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Heading1"/>
        <w:numPr>
          <w:ilvl w:val="0"/>
          <w:numId w:val="5"/>
        </w:numPr>
        <w:tabs>
          <w:tab w:pos="686" w:val="left" w:leader="none"/>
        </w:tabs>
        <w:spacing w:line="240" w:lineRule="auto" w:before="87" w:after="0"/>
        <w:ind w:left="685" w:right="0" w:hanging="568"/>
        <w:jc w:val="left"/>
      </w:pPr>
      <w:bookmarkStart w:name="_bookmark11" w:id="57"/>
      <w:bookmarkEnd w:id="57"/>
      <w:r>
        <w:rPr/>
      </w:r>
      <w:bookmarkStart w:name="_bookmark11" w:id="58"/>
      <w:bookmarkEnd w:id="58"/>
      <w:r>
        <w:rPr>
          <w:color w:val="00BBE9"/>
        </w:rPr>
        <w:t>S</w:t>
      </w:r>
      <w:r>
        <w:rPr>
          <w:color w:val="00BBE9"/>
        </w:rPr>
        <w:t>ITE</w:t>
      </w:r>
      <w:r>
        <w:rPr>
          <w:color w:val="00BBE9"/>
          <w:spacing w:val="-1"/>
        </w:rPr>
        <w:t> </w:t>
      </w:r>
      <w:r>
        <w:rPr>
          <w:color w:val="00BBE9"/>
        </w:rPr>
        <w:t>CONTEXT</w:t>
      </w:r>
    </w:p>
    <w:p>
      <w:pPr>
        <w:pStyle w:val="BodyText"/>
        <w:spacing w:before="198"/>
        <w:ind w:left="118" w:right="511"/>
      </w:pPr>
      <w:r>
        <w:rPr/>
        <w:t>This section describes how the strategic, physical and natural context of the Arden Station precinct</w:t>
      </w:r>
      <w:r>
        <w:rPr>
          <w:spacing w:val="-50"/>
        </w:rPr>
        <w:t> </w:t>
      </w:r>
      <w:r>
        <w:rPr/>
        <w:t>has been</w:t>
      </w:r>
      <w:r>
        <w:rPr>
          <w:spacing w:val="-1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 design</w:t>
      </w:r>
      <w:r>
        <w:rPr>
          <w:spacing w:val="-1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process.</w:t>
      </w:r>
    </w:p>
    <w:p>
      <w:pPr>
        <w:pStyle w:val="BodyText"/>
        <w:spacing w:line="242" w:lineRule="auto" w:before="120"/>
        <w:ind w:left="118" w:right="889"/>
      </w:pPr>
      <w:r>
        <w:rPr/>
        <w:t>As an example of this context setting, </w:t>
      </w:r>
      <w:hyperlink w:history="true" w:anchor="_bookmark12">
        <w:r>
          <w:rPr>
            <w:sz w:val="18"/>
          </w:rPr>
          <w:t>Figure 2 </w:t>
        </w:r>
      </w:hyperlink>
      <w:r>
        <w:rPr/>
        <w:t>provides a snapshot of the five minute walkable</w:t>
      </w:r>
      <w:r>
        <w:rPr>
          <w:spacing w:val="-50"/>
        </w:rPr>
        <w:t> </w:t>
      </w:r>
      <w:r>
        <w:rPr/>
        <w:t>catchment</w:t>
      </w:r>
      <w:r>
        <w:rPr>
          <w:spacing w:val="-2"/>
        </w:rPr>
        <w:t> </w:t>
      </w:r>
      <w:r>
        <w:rPr/>
        <w:t>from Arden Station.</w:t>
      </w:r>
    </w:p>
    <w:p>
      <w:pPr>
        <w:pStyle w:val="BodyText"/>
        <w:spacing w:before="4"/>
        <w:rPr>
          <w:sz w:val="9"/>
        </w:rPr>
      </w:pPr>
      <w:r>
        <w:rPr/>
        <w:pict>
          <v:group style="position:absolute;margin-left:71.650002pt;margin-top:6.615405pt;width:423pt;height:353.9pt;mso-position-horizontal-relative:page;mso-position-vertical-relative:paragraph;z-index:-15719936;mso-wrap-distance-left:0;mso-wrap-distance-right:0" id="docshapegroup41" coordorigin="1433,132" coordsize="8460,7078" alt="C:\Users\Jordan-a.Green\AppData\Local\Microsoft\Windows\Temporary Internet Files\Content.Word\Arden 2.jpg">
            <v:shape style="position:absolute;left:1448;top:147;width:8430;height:7048" type="#_x0000_t75" id="docshape42" alt="C:\Users\Jordan-a.Green\AppData\Local\Microsoft\Windows\Temporary Internet Files\Content.Word\Arden 2.jpg" stroked="false">
              <v:imagedata r:id="rId19" o:title=""/>
            </v:shape>
            <v:rect style="position:absolute;left:1440;top:139;width:8445;height:7063" id="docshape43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spacing w:before="137"/>
        <w:ind w:left="118" w:right="0" w:firstLine="0"/>
        <w:jc w:val="left"/>
        <w:rPr>
          <w:sz w:val="18"/>
        </w:rPr>
      </w:pPr>
      <w:bookmarkStart w:name="_bookmark12" w:id="59"/>
      <w:bookmarkEnd w:id="59"/>
      <w:r>
        <w:rPr/>
      </w:r>
      <w:r>
        <w:rPr>
          <w:sz w:val="18"/>
        </w:rPr>
        <w:t>Figure</w:t>
      </w:r>
      <w:r>
        <w:rPr>
          <w:spacing w:val="-3"/>
          <w:sz w:val="18"/>
        </w:rPr>
        <w:t> </w:t>
      </w:r>
      <w:r>
        <w:rPr>
          <w:sz w:val="18"/>
        </w:rPr>
        <w:t>2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4"/>
          <w:sz w:val="18"/>
        </w:rPr>
        <w:t> </w:t>
      </w:r>
      <w:r>
        <w:rPr>
          <w:sz w:val="18"/>
        </w:rPr>
        <w:t>Five-minute walking</w:t>
      </w:r>
      <w:r>
        <w:rPr>
          <w:spacing w:val="-4"/>
          <w:sz w:val="18"/>
        </w:rPr>
        <w:t> </w:t>
      </w:r>
      <w:r>
        <w:rPr>
          <w:sz w:val="18"/>
        </w:rPr>
        <w:t>catchment</w:t>
      </w:r>
      <w:r>
        <w:rPr>
          <w:spacing w:val="-4"/>
          <w:sz w:val="18"/>
        </w:rPr>
        <w:t> </w:t>
      </w:r>
      <w:r>
        <w:rPr>
          <w:sz w:val="18"/>
        </w:rPr>
        <w:t>of</w:t>
      </w:r>
      <w:r>
        <w:rPr>
          <w:spacing w:val="-1"/>
          <w:sz w:val="18"/>
        </w:rPr>
        <w:t> </w:t>
      </w:r>
      <w:r>
        <w:rPr>
          <w:sz w:val="18"/>
        </w:rPr>
        <w:t>Arden</w:t>
      </w:r>
      <w:r>
        <w:rPr>
          <w:spacing w:val="-2"/>
          <w:sz w:val="18"/>
        </w:rPr>
        <w:t> </w:t>
      </w:r>
      <w:r>
        <w:rPr>
          <w:sz w:val="18"/>
        </w:rPr>
        <w:t>Station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1"/>
          <w:numId w:val="5"/>
        </w:numPr>
        <w:tabs>
          <w:tab w:pos="827" w:val="left" w:leader="none"/>
        </w:tabs>
        <w:spacing w:line="240" w:lineRule="auto" w:before="0" w:after="0"/>
        <w:ind w:left="826" w:right="489" w:hanging="708"/>
        <w:jc w:val="left"/>
      </w:pPr>
      <w:r>
        <w:rPr>
          <w:color w:val="00BBE9"/>
        </w:rPr>
        <w:t>ARDEN STATION PRECINCT </w:t>
      </w:r>
      <w:bookmarkStart w:name="_bookmark13" w:id="60"/>
      <w:bookmarkEnd w:id="60"/>
      <w:r>
        <w:rPr>
          <w:color w:val="00BBE9"/>
        </w:rPr>
        <w:t>B</w:t>
      </w:r>
      <w:r>
        <w:rPr>
          <w:color w:val="00BBE9"/>
        </w:rPr>
        <w:t>ROADER CONTEXT</w:t>
      </w:r>
      <w:r>
        <w:rPr>
          <w:color w:val="00BBE9"/>
          <w:spacing w:val="-86"/>
        </w:rPr>
        <w:t> </w:t>
      </w:r>
      <w:r>
        <w:rPr>
          <w:color w:val="00BBE9"/>
        </w:rPr>
        <w:t>AND</w:t>
      </w:r>
      <w:r>
        <w:rPr>
          <w:color w:val="00BBE9"/>
          <w:spacing w:val="-2"/>
        </w:rPr>
        <w:t> </w:t>
      </w:r>
      <w:r>
        <w:rPr>
          <w:color w:val="00BBE9"/>
        </w:rPr>
        <w:t>STRATEGIC</w:t>
      </w:r>
      <w:r>
        <w:rPr>
          <w:color w:val="00BBE9"/>
          <w:spacing w:val="-1"/>
        </w:rPr>
        <w:t> </w:t>
      </w:r>
      <w:r>
        <w:rPr>
          <w:color w:val="00BBE9"/>
        </w:rPr>
        <w:t>POSITIONING</w:t>
      </w:r>
    </w:p>
    <w:p>
      <w:pPr>
        <w:pStyle w:val="BodyText"/>
        <w:spacing w:before="121"/>
        <w:ind w:left="118" w:right="480"/>
      </w:pPr>
      <w:r>
        <w:rPr/>
        <w:t>The Arden precinct is to become a new destination and community of Melbourne – a place to work,</w:t>
      </w:r>
      <w:r>
        <w:rPr>
          <w:spacing w:val="-50"/>
        </w:rPr>
        <w:t> </w:t>
      </w:r>
      <w:r>
        <w:rPr/>
        <w:t>live and visit. The station will be the catalyst for the urban renewal of this precinct, and will be the</w:t>
      </w:r>
      <w:r>
        <w:rPr>
          <w:spacing w:val="1"/>
        </w:rPr>
        <w:t> </w:t>
      </w:r>
      <w:r>
        <w:rPr/>
        <w:t>heart of its economic, social and civic intensity. It will also have a direct influence on the site’s</w:t>
      </w:r>
      <w:r>
        <w:rPr>
          <w:spacing w:val="1"/>
        </w:rPr>
        <w:t> </w:t>
      </w:r>
      <w:r>
        <w:rPr/>
        <w:t>eventual configuration.</w:t>
      </w:r>
    </w:p>
    <w:p>
      <w:pPr>
        <w:pStyle w:val="BodyText"/>
        <w:spacing w:before="119"/>
        <w:ind w:left="118" w:right="459"/>
      </w:pPr>
      <w:r>
        <w:rPr/>
        <w:t>While land in the Arden precinct has been primarily industrial in recent times, this area is set to</w:t>
      </w:r>
      <w:r>
        <w:rPr>
          <w:spacing w:val="1"/>
        </w:rPr>
        <w:t> </w:t>
      </w:r>
      <w:r>
        <w:rPr/>
        <w:t>become a major new commercial and residential precinct within the next 30 years. In 2012, the City</w:t>
      </w:r>
      <w:r>
        <w:rPr>
          <w:spacing w:val="-50"/>
        </w:rPr>
        <w:t> </w:t>
      </w:r>
      <w:r>
        <w:rPr/>
        <w:t>of Melbourne released the Arden Macaulay Structure Plan that articulated the framework for the</w:t>
      </w:r>
      <w:r>
        <w:rPr>
          <w:spacing w:val="1"/>
        </w:rPr>
        <w:t> </w:t>
      </w:r>
      <w:r>
        <w:rPr/>
        <w:t>redevelopment of 144 hectares of brownfield land as a new, mixed-use precinct. The Arden</w:t>
      </w:r>
      <w:r>
        <w:rPr>
          <w:spacing w:val="1"/>
        </w:rPr>
        <w:t> </w:t>
      </w:r>
      <w:r>
        <w:rPr/>
        <w:t>Macaulay</w:t>
      </w:r>
      <w:r>
        <w:rPr>
          <w:spacing w:val="-1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Plan</w:t>
      </w:r>
      <w:r>
        <w:rPr>
          <w:spacing w:val="-1"/>
        </w:rPr>
        <w:t> </w:t>
      </w:r>
      <w:r>
        <w:rPr/>
        <w:t>(2012)</w:t>
      </w:r>
      <w:r>
        <w:rPr>
          <w:spacing w:val="-3"/>
        </w:rPr>
        <w:t> </w:t>
      </w:r>
      <w:r>
        <w:rPr/>
        <w:t>was</w:t>
      </w:r>
      <w:r>
        <w:rPr>
          <w:spacing w:val="1"/>
        </w:rPr>
        <w:t> </w:t>
      </w:r>
      <w:r>
        <w:rPr/>
        <w:t>implemented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2017</w:t>
      </w:r>
      <w:r>
        <w:rPr>
          <w:spacing w:val="-3"/>
        </w:rPr>
        <w:t> </w:t>
      </w:r>
      <w:r>
        <w:rPr/>
        <w:t>through</w:t>
      </w:r>
      <w:r>
        <w:rPr>
          <w:spacing w:val="-1"/>
        </w:rPr>
        <w:t> </w:t>
      </w:r>
      <w:r>
        <w:rPr/>
        <w:t>Planning</w:t>
      </w:r>
      <w:r>
        <w:rPr>
          <w:spacing w:val="-3"/>
        </w:rPr>
        <w:t> </w:t>
      </w:r>
      <w:r>
        <w:rPr/>
        <w:t>Scheme</w:t>
      </w:r>
      <w:r>
        <w:rPr>
          <w:spacing w:val="-4"/>
        </w:rPr>
        <w:t> </w:t>
      </w:r>
      <w:r>
        <w:rPr/>
        <w:t>Amendment</w:t>
      </w:r>
    </w:p>
    <w:p>
      <w:pPr>
        <w:spacing w:after="0"/>
        <w:sectPr>
          <w:headerReference w:type="default" r:id="rId17"/>
          <w:footerReference w:type="default" r:id="rId18"/>
          <w:pgSz w:w="11910" w:h="16840"/>
          <w:pgMar w:header="940" w:footer="445" w:top="1920" w:bottom="640" w:left="1300" w:right="1680"/>
          <w:pgNumType w:start="24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before="94"/>
        <w:ind w:left="118" w:right="818"/>
      </w:pPr>
      <w:r>
        <w:rPr/>
        <w:t>C190 to the Melbourne Planning Scheme. This Project is strategically important to Melbourne’s</w:t>
      </w:r>
      <w:r>
        <w:rPr>
          <w:spacing w:val="-50"/>
        </w:rPr>
        <w:t> </w:t>
      </w:r>
      <w:r>
        <w:rPr/>
        <w:t>growth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supports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Plan</w:t>
      </w:r>
      <w:r>
        <w:rPr>
          <w:spacing w:val="-2"/>
        </w:rPr>
        <w:t> </w:t>
      </w:r>
      <w:r>
        <w:rPr/>
        <w:t>Melbourne</w:t>
      </w:r>
      <w:r>
        <w:rPr>
          <w:spacing w:val="-2"/>
        </w:rPr>
        <w:t> </w:t>
      </w:r>
      <w:r>
        <w:rPr/>
        <w:t>2017-2050.</w:t>
      </w:r>
    </w:p>
    <w:p>
      <w:pPr>
        <w:pStyle w:val="BodyText"/>
        <w:spacing w:before="120"/>
        <w:ind w:left="118" w:right="315"/>
      </w:pPr>
      <w:r>
        <w:rPr/>
        <w:t>In September 2016, the Draft Arden Vision and Framework document was prepared which provided</w:t>
      </w:r>
      <w:r>
        <w:rPr>
          <w:spacing w:val="1"/>
        </w:rPr>
        <w:t> </w:t>
      </w:r>
      <w:r>
        <w:rPr/>
        <w:t>design objectives and strategic directions for the Arden precinct. This framework responded to the</w:t>
      </w:r>
      <w:r>
        <w:rPr>
          <w:spacing w:val="1"/>
        </w:rPr>
        <w:t> </w:t>
      </w:r>
      <w:r>
        <w:rPr/>
        <w:t>development of Arden Station, proposing an urban framework building upon the future station and</w:t>
      </w:r>
      <w:r>
        <w:rPr>
          <w:spacing w:val="1"/>
        </w:rPr>
        <w:t> </w:t>
      </w:r>
      <w:r>
        <w:rPr/>
        <w:t>included directions regarding principles for sustainable movement based on a transportation modal</w:t>
      </w:r>
      <w:r>
        <w:rPr>
          <w:spacing w:val="1"/>
        </w:rPr>
        <w:t> </w:t>
      </w:r>
      <w:r>
        <w:rPr/>
        <w:t>hierarchy, water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public</w:t>
      </w:r>
      <w:r>
        <w:rPr>
          <w:spacing w:val="2"/>
        </w:rPr>
        <w:t> </w:t>
      </w:r>
      <w:r>
        <w:rPr/>
        <w:t>realm.</w:t>
      </w:r>
      <w:r>
        <w:rPr>
          <w:spacing w:val="7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feedback</w:t>
      </w:r>
      <w:r>
        <w:rPr>
          <w:spacing w:val="2"/>
        </w:rPr>
        <w:t> </w:t>
      </w:r>
      <w:r>
        <w:rPr/>
        <w:t>from</w:t>
      </w:r>
      <w:r>
        <w:rPr>
          <w:spacing w:val="-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and community consultation on the Draft Arden Vision and Framework, Arden Vision was prepared in</w:t>
      </w:r>
      <w:r>
        <w:rPr>
          <w:spacing w:val="-50"/>
        </w:rPr>
        <w:t> </w:t>
      </w:r>
      <w:r>
        <w:rPr/>
        <w:t>2018. The Arden Vision (2018) sets out eight key directions for the Arden precinct acknowledging the</w:t>
      </w:r>
      <w:r>
        <w:rPr>
          <w:spacing w:val="-50"/>
        </w:rPr>
        <w:t> </w:t>
      </w:r>
      <w:r>
        <w:rPr/>
        <w:t>role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future</w:t>
      </w:r>
      <w:r>
        <w:rPr>
          <w:spacing w:val="-2"/>
        </w:rPr>
        <w:t> </w:t>
      </w:r>
      <w:r>
        <w:rPr/>
        <w:t>Arden</w:t>
      </w:r>
      <w:r>
        <w:rPr>
          <w:spacing w:val="-2"/>
        </w:rPr>
        <w:t> </w:t>
      </w:r>
      <w:r>
        <w:rPr/>
        <w:t>Station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catalyst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Arden’s</w:t>
      </w:r>
      <w:r>
        <w:rPr>
          <w:spacing w:val="-1"/>
        </w:rPr>
        <w:t> </w:t>
      </w:r>
      <w:r>
        <w:rPr/>
        <w:t>transformation</w:t>
      </w:r>
      <w:r>
        <w:rPr>
          <w:spacing w:val="-3"/>
        </w:rPr>
        <w:t> </w:t>
      </w:r>
      <w:r>
        <w:rPr/>
        <w:t>into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new</w:t>
      </w:r>
      <w:r>
        <w:rPr>
          <w:spacing w:val="-2"/>
        </w:rPr>
        <w:t> </w:t>
      </w:r>
      <w:r>
        <w:rPr/>
        <w:t>employment</w:t>
      </w:r>
      <w:r>
        <w:rPr>
          <w:spacing w:val="-3"/>
        </w:rPr>
        <w:t> </w:t>
      </w:r>
      <w:r>
        <w:rPr/>
        <w:t>hub.</w:t>
      </w:r>
    </w:p>
    <w:p>
      <w:pPr>
        <w:pStyle w:val="BodyText"/>
        <w:spacing w:before="119"/>
        <w:ind w:left="118" w:right="522"/>
      </w:pPr>
      <w:r>
        <w:rPr/>
        <w:t>Building upon the key directions in the Arden Vision (2018), the draft Arden Structure Plan (2020)</w:t>
      </w:r>
      <w:r>
        <w:rPr>
          <w:spacing w:val="1"/>
        </w:rPr>
        <w:t> </w:t>
      </w:r>
      <w:r>
        <w:rPr/>
        <w:t>identifies the next key steps that will be made to achieve the vision for the Arden precinct. This</w:t>
      </w:r>
      <w:r>
        <w:rPr>
          <w:spacing w:val="1"/>
        </w:rPr>
        <w:t> </w:t>
      </w:r>
      <w:r>
        <w:rPr/>
        <w:t>includes a number of objectives and associated strategies that introduce new initiatives across the</w:t>
      </w:r>
      <w:r>
        <w:rPr>
          <w:spacing w:val="-50"/>
        </w:rPr>
        <w:t> </w:t>
      </w:r>
      <w:r>
        <w:rPr/>
        <w:t>precinct including opportunities in relation to the future Arden Station. Highlights of this Structure</w:t>
      </w:r>
      <w:r>
        <w:rPr>
          <w:spacing w:val="1"/>
        </w:rPr>
        <w:t> </w:t>
      </w:r>
      <w:r>
        <w:rPr/>
        <w:t>Plan are shown in </w:t>
      </w:r>
      <w:hyperlink w:history="true" w:anchor="_bookmark14">
        <w:r>
          <w:rPr>
            <w:sz w:val="18"/>
          </w:rPr>
          <w:t>Figure 3</w:t>
        </w:r>
        <w:r>
          <w:rPr/>
          <w:t>. </w:t>
        </w:r>
      </w:hyperlink>
      <w:r>
        <w:rPr/>
        <w:t>In consultation with the Victorian Planning Authority and City of</w:t>
      </w:r>
      <w:r>
        <w:rPr>
          <w:spacing w:val="1"/>
        </w:rPr>
        <w:t> </w:t>
      </w:r>
      <w:r>
        <w:rPr/>
        <w:t>Melbourne, the design of the Arden Station is consistent with the draft Arden Structure Plan (2020)</w:t>
      </w:r>
      <w:r>
        <w:rPr>
          <w:spacing w:val="-50"/>
        </w:rPr>
        <w:t> </w:t>
      </w:r>
      <w:r>
        <w:rPr/>
        <w:t>and</w:t>
      </w:r>
      <w:r>
        <w:rPr>
          <w:spacing w:val="-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flexibility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integrate</w:t>
      </w:r>
      <w:r>
        <w:rPr>
          <w:spacing w:val="-1"/>
        </w:rPr>
        <w:t> </w:t>
      </w:r>
      <w:r>
        <w:rPr/>
        <w:t>within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Plan’s proposed initiatives: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2" w:after="0"/>
        <w:ind w:left="402" w:right="409" w:hanging="284"/>
        <w:jc w:val="left"/>
        <w:rPr>
          <w:sz w:val="19"/>
        </w:rPr>
      </w:pPr>
      <w:r>
        <w:rPr>
          <w:sz w:val="19"/>
        </w:rPr>
        <w:t>The draft Arden Structure Plan (2020) identifies space for a second future station entrance, to be</w:t>
      </w:r>
      <w:r>
        <w:rPr>
          <w:spacing w:val="-50"/>
          <w:sz w:val="19"/>
        </w:rPr>
        <w:t> </w:t>
      </w:r>
      <w:r>
        <w:rPr>
          <w:sz w:val="19"/>
        </w:rPr>
        <w:t>accommodated on the corner of the future Fogarty and Queensberry Street extension. CYP’s</w:t>
      </w:r>
      <w:r>
        <w:rPr>
          <w:spacing w:val="1"/>
          <w:sz w:val="19"/>
        </w:rPr>
        <w:t> </w:t>
      </w:r>
      <w:r>
        <w:rPr>
          <w:sz w:val="19"/>
        </w:rPr>
        <w:t>station design leaves available the option for this future entrance to be added, indicatively shown</w:t>
      </w:r>
      <w:r>
        <w:rPr>
          <w:spacing w:val="-50"/>
          <w:sz w:val="19"/>
        </w:rPr>
        <w:t> </w:t>
      </w:r>
      <w:r>
        <w:rPr>
          <w:sz w:val="19"/>
        </w:rPr>
        <w:t>in</w:t>
      </w:r>
      <w:r>
        <w:rPr>
          <w:spacing w:val="-1"/>
          <w:sz w:val="19"/>
        </w:rPr>
        <w:t> </w:t>
      </w:r>
      <w:hyperlink w:history="true" w:anchor="_bookmark39">
        <w:r>
          <w:rPr>
            <w:sz w:val="19"/>
          </w:rPr>
          <w:t>Figure</w:t>
        </w:r>
        <w:r>
          <w:rPr>
            <w:spacing w:val="-1"/>
            <w:sz w:val="19"/>
          </w:rPr>
          <w:t> </w:t>
        </w:r>
        <w:r>
          <w:rPr>
            <w:sz w:val="19"/>
          </w:rPr>
          <w:t>11</w:t>
        </w:r>
      </w:hyperlink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7" w:after="0"/>
        <w:ind w:left="402" w:right="428" w:hanging="284"/>
        <w:jc w:val="left"/>
        <w:rPr>
          <w:sz w:val="19"/>
        </w:rPr>
      </w:pPr>
      <w:r>
        <w:rPr>
          <w:sz w:val="19"/>
        </w:rPr>
        <w:t>The draft Arden Structure Plan (2020) identifies opportunities for development surrounding the</w:t>
      </w:r>
      <w:r>
        <w:rPr>
          <w:spacing w:val="1"/>
          <w:sz w:val="19"/>
        </w:rPr>
        <w:t> </w:t>
      </w:r>
      <w:r>
        <w:rPr>
          <w:sz w:val="19"/>
        </w:rPr>
        <w:t>Western Building, such as activation of the south wall of the building through provision of a small</w:t>
      </w:r>
      <w:r>
        <w:rPr>
          <w:spacing w:val="-50"/>
          <w:sz w:val="19"/>
        </w:rPr>
        <w:t> </w:t>
      </w:r>
      <w:r>
        <w:rPr>
          <w:sz w:val="19"/>
        </w:rPr>
        <w:t>retail or bookable community centre. The Western Building accommodates essential services to</w:t>
      </w:r>
      <w:r>
        <w:rPr>
          <w:spacing w:val="1"/>
          <w:sz w:val="19"/>
        </w:rPr>
        <w:t> </w:t>
      </w:r>
      <w:r>
        <w:rPr>
          <w:sz w:val="19"/>
        </w:rPr>
        <w:t>the station such as electrical service rooms, and as such it is not possible to build directly on top</w:t>
      </w:r>
      <w:r>
        <w:rPr>
          <w:spacing w:val="-50"/>
          <w:sz w:val="19"/>
        </w:rPr>
        <w:t> </w:t>
      </w:r>
      <w:r>
        <w:rPr>
          <w:sz w:val="19"/>
        </w:rPr>
        <w:t>of this building. However, CYP’s design of the Western Building allows for any opportunities to</w:t>
      </w:r>
      <w:r>
        <w:rPr>
          <w:spacing w:val="1"/>
          <w:sz w:val="19"/>
        </w:rPr>
        <w:t> </w:t>
      </w:r>
      <w:r>
        <w:rPr>
          <w:sz w:val="19"/>
        </w:rPr>
        <w:t>activate</w:t>
      </w:r>
      <w:r>
        <w:rPr>
          <w:spacing w:val="-2"/>
          <w:sz w:val="19"/>
        </w:rPr>
        <w:t> </w:t>
      </w:r>
      <w:r>
        <w:rPr>
          <w:sz w:val="19"/>
        </w:rPr>
        <w:t>the</w:t>
      </w:r>
      <w:r>
        <w:rPr>
          <w:spacing w:val="-1"/>
          <w:sz w:val="19"/>
        </w:rPr>
        <w:t> </w:t>
      </w:r>
      <w:r>
        <w:rPr>
          <w:sz w:val="19"/>
        </w:rPr>
        <w:t>facades for</w:t>
      </w:r>
      <w:r>
        <w:rPr>
          <w:spacing w:val="-1"/>
          <w:sz w:val="19"/>
        </w:rPr>
        <w:t> </w:t>
      </w:r>
      <w:r>
        <w:rPr>
          <w:sz w:val="19"/>
        </w:rPr>
        <w:t>future</w:t>
      </w:r>
      <w:r>
        <w:rPr>
          <w:spacing w:val="-1"/>
          <w:sz w:val="19"/>
        </w:rPr>
        <w:t> </w:t>
      </w:r>
      <w:r>
        <w:rPr>
          <w:sz w:val="19"/>
        </w:rPr>
        <w:t>development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0" w:after="0"/>
        <w:ind w:left="402" w:right="387" w:hanging="284"/>
        <w:jc w:val="left"/>
        <w:rPr>
          <w:sz w:val="19"/>
        </w:rPr>
      </w:pPr>
      <w:r>
        <w:rPr>
          <w:sz w:val="19"/>
        </w:rPr>
        <w:t>The draft Arden Structure Plan (2020) proposes a new Capital City open space to the south-west</w:t>
      </w:r>
      <w:r>
        <w:rPr>
          <w:spacing w:val="-50"/>
          <w:sz w:val="19"/>
        </w:rPr>
        <w:t> </w:t>
      </w:r>
      <w:r>
        <w:rPr>
          <w:sz w:val="19"/>
        </w:rPr>
        <w:t>of the station building (shown in orange in </w:t>
      </w:r>
      <w:hyperlink w:history="true" w:anchor="_bookmark14">
        <w:r>
          <w:rPr>
            <w:sz w:val="18"/>
          </w:rPr>
          <w:t>Figure 3</w:t>
        </w:r>
      </w:hyperlink>
      <w:r>
        <w:rPr>
          <w:sz w:val="19"/>
        </w:rPr>
        <w:t>). Capital City open spaces are iconic and</w:t>
      </w:r>
      <w:r>
        <w:rPr>
          <w:spacing w:val="1"/>
          <w:sz w:val="19"/>
        </w:rPr>
        <w:t> </w:t>
      </w:r>
      <w:r>
        <w:rPr>
          <w:sz w:val="19"/>
        </w:rPr>
        <w:t>synonymous with the character and identity of Melbourne and are often used to stage activities</w:t>
      </w:r>
      <w:r>
        <w:rPr>
          <w:spacing w:val="1"/>
          <w:sz w:val="19"/>
        </w:rPr>
        <w:t> </w:t>
      </w:r>
      <w:r>
        <w:rPr>
          <w:sz w:val="19"/>
        </w:rPr>
        <w:t>and events of international, national, state and metropolitan importance. In line with this initiative,</w:t>
      </w:r>
      <w:r>
        <w:rPr>
          <w:spacing w:val="-50"/>
          <w:sz w:val="19"/>
        </w:rPr>
        <w:t> </w:t>
      </w:r>
      <w:r>
        <w:rPr>
          <w:sz w:val="19"/>
        </w:rPr>
        <w:t>CYP’s design of Arden Station proposes to maintain that area as a grassed area for the future</w:t>
      </w:r>
      <w:r>
        <w:rPr>
          <w:spacing w:val="1"/>
          <w:sz w:val="19"/>
        </w:rPr>
        <w:t> </w:t>
      </w:r>
      <w:r>
        <w:rPr>
          <w:sz w:val="19"/>
        </w:rPr>
        <w:t>Capital City</w:t>
      </w:r>
      <w:r>
        <w:rPr>
          <w:spacing w:val="1"/>
          <w:sz w:val="19"/>
        </w:rPr>
        <w:t> </w:t>
      </w:r>
      <w:r>
        <w:rPr>
          <w:sz w:val="19"/>
        </w:rPr>
        <w:t>open</w:t>
      </w:r>
      <w:r>
        <w:rPr>
          <w:spacing w:val="-1"/>
          <w:sz w:val="19"/>
        </w:rPr>
        <w:t> </w:t>
      </w:r>
      <w:r>
        <w:rPr>
          <w:sz w:val="19"/>
        </w:rPr>
        <w:t>space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7" w:after="0"/>
        <w:ind w:left="402" w:right="342" w:hanging="284"/>
        <w:jc w:val="left"/>
        <w:rPr>
          <w:sz w:val="19"/>
        </w:rPr>
      </w:pPr>
      <w:r>
        <w:rPr>
          <w:sz w:val="19"/>
        </w:rPr>
        <w:t>The draft Arden Structure Plan (2020) proposes an innovation hub to the north-west of the station</w:t>
      </w:r>
      <w:r>
        <w:rPr>
          <w:spacing w:val="-50"/>
          <w:sz w:val="19"/>
        </w:rPr>
        <w:t> </w:t>
      </w:r>
      <w:r>
        <w:rPr>
          <w:sz w:val="19"/>
        </w:rPr>
        <w:t>building, south of Barwise Street. This innovation hub will act as a ‘front door’ to the precinct that</w:t>
      </w:r>
      <w:r>
        <w:rPr>
          <w:spacing w:val="1"/>
          <w:sz w:val="19"/>
        </w:rPr>
        <w:t> </w:t>
      </w:r>
      <w:r>
        <w:rPr>
          <w:sz w:val="19"/>
        </w:rPr>
        <w:t>connects prospective businesses, travelling academics or clients to the opportunities that will</w:t>
      </w:r>
      <w:r>
        <w:rPr>
          <w:spacing w:val="1"/>
          <w:sz w:val="19"/>
        </w:rPr>
        <w:t> </w:t>
      </w:r>
      <w:r>
        <w:rPr>
          <w:sz w:val="19"/>
        </w:rPr>
        <w:t>emerge from the clustering of businesses in Arden. CYP’s design of Arden Station maintains that</w:t>
      </w:r>
      <w:r>
        <w:rPr>
          <w:spacing w:val="1"/>
          <w:sz w:val="19"/>
        </w:rPr>
        <w:t> </w:t>
      </w:r>
      <w:r>
        <w:rPr>
          <w:sz w:val="19"/>
        </w:rPr>
        <w:t>area</w:t>
      </w:r>
      <w:r>
        <w:rPr>
          <w:spacing w:val="-2"/>
          <w:sz w:val="19"/>
        </w:rPr>
        <w:t> </w:t>
      </w:r>
      <w:r>
        <w:rPr>
          <w:sz w:val="19"/>
        </w:rPr>
        <w:t>as a</w:t>
      </w:r>
      <w:r>
        <w:rPr>
          <w:spacing w:val="-2"/>
          <w:sz w:val="19"/>
        </w:rPr>
        <w:t> </w:t>
      </w:r>
      <w:r>
        <w:rPr>
          <w:sz w:val="19"/>
        </w:rPr>
        <w:t>grassed</w:t>
      </w:r>
      <w:r>
        <w:rPr>
          <w:spacing w:val="-2"/>
          <w:sz w:val="19"/>
        </w:rPr>
        <w:t> </w:t>
      </w:r>
      <w:r>
        <w:rPr>
          <w:sz w:val="19"/>
        </w:rPr>
        <w:t>area</w:t>
      </w:r>
      <w:r>
        <w:rPr>
          <w:spacing w:val="-2"/>
          <w:sz w:val="19"/>
        </w:rPr>
        <w:t> </w:t>
      </w:r>
      <w:r>
        <w:rPr>
          <w:sz w:val="19"/>
        </w:rPr>
        <w:t>which</w:t>
      </w:r>
      <w:r>
        <w:rPr>
          <w:spacing w:val="-2"/>
          <w:sz w:val="19"/>
        </w:rPr>
        <w:t> </w:t>
      </w:r>
      <w:r>
        <w:rPr>
          <w:sz w:val="19"/>
        </w:rPr>
        <w:t>will</w:t>
      </w:r>
      <w:r>
        <w:rPr>
          <w:spacing w:val="-1"/>
          <w:sz w:val="19"/>
        </w:rPr>
        <w:t> </w:t>
      </w:r>
      <w:r>
        <w:rPr>
          <w:sz w:val="19"/>
        </w:rPr>
        <w:t>provide</w:t>
      </w:r>
      <w:r>
        <w:rPr>
          <w:spacing w:val="-2"/>
          <w:sz w:val="19"/>
        </w:rPr>
        <w:t> </w:t>
      </w:r>
      <w:r>
        <w:rPr>
          <w:sz w:val="19"/>
        </w:rPr>
        <w:t>for</w:t>
      </w:r>
      <w:r>
        <w:rPr>
          <w:spacing w:val="-2"/>
          <w:sz w:val="19"/>
        </w:rPr>
        <w:t> </w:t>
      </w:r>
      <w:r>
        <w:rPr>
          <w:sz w:val="19"/>
        </w:rPr>
        <w:t>its future</w:t>
      </w:r>
      <w:r>
        <w:rPr>
          <w:spacing w:val="-2"/>
          <w:sz w:val="19"/>
        </w:rPr>
        <w:t> </w:t>
      </w:r>
      <w:r>
        <w:rPr>
          <w:sz w:val="19"/>
        </w:rPr>
        <w:t>transformation</w:t>
      </w:r>
      <w:r>
        <w:rPr>
          <w:spacing w:val="3"/>
          <w:sz w:val="19"/>
        </w:rPr>
        <w:t> </w:t>
      </w:r>
      <w:r>
        <w:rPr>
          <w:sz w:val="19"/>
        </w:rPr>
        <w:t>into</w:t>
      </w:r>
      <w:r>
        <w:rPr>
          <w:spacing w:val="-2"/>
          <w:sz w:val="19"/>
        </w:rPr>
        <w:t> </w:t>
      </w:r>
      <w:r>
        <w:rPr>
          <w:sz w:val="19"/>
        </w:rPr>
        <w:t>an</w:t>
      </w:r>
      <w:r>
        <w:rPr>
          <w:spacing w:val="-1"/>
          <w:sz w:val="19"/>
        </w:rPr>
        <w:t> </w:t>
      </w:r>
      <w:r>
        <w:rPr>
          <w:sz w:val="19"/>
        </w:rPr>
        <w:t>innovation</w:t>
      </w:r>
      <w:r>
        <w:rPr>
          <w:spacing w:val="-2"/>
          <w:sz w:val="19"/>
        </w:rPr>
        <w:t> </w:t>
      </w:r>
      <w:r>
        <w:rPr>
          <w:sz w:val="19"/>
        </w:rPr>
        <w:t>hub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0" w:after="0"/>
        <w:ind w:left="402" w:right="325" w:hanging="284"/>
        <w:jc w:val="left"/>
        <w:rPr>
          <w:sz w:val="19"/>
        </w:rPr>
      </w:pPr>
      <w:r>
        <w:rPr>
          <w:sz w:val="19"/>
        </w:rPr>
        <w:t>The draft Arden Structure Plan (2020) proposes four Strategic Cycling Corridors across the Arden</w:t>
      </w:r>
      <w:r>
        <w:rPr>
          <w:spacing w:val="-50"/>
          <w:sz w:val="19"/>
        </w:rPr>
        <w:t> </w:t>
      </w:r>
      <w:r>
        <w:rPr>
          <w:sz w:val="19"/>
        </w:rPr>
        <w:t>precinct including Laurens Street (refer to </w:t>
      </w:r>
      <w:hyperlink w:history="true" w:anchor="_bookmark39">
        <w:r>
          <w:rPr>
            <w:sz w:val="18"/>
          </w:rPr>
          <w:t>Figure 11</w:t>
        </w:r>
      </w:hyperlink>
      <w:r>
        <w:rPr>
          <w:sz w:val="19"/>
        </w:rPr>
        <w:t>). These corridors are designed to improve</w:t>
      </w:r>
      <w:r>
        <w:rPr>
          <w:spacing w:val="1"/>
          <w:sz w:val="19"/>
        </w:rPr>
        <w:t> </w:t>
      </w:r>
      <w:r>
        <w:rPr>
          <w:sz w:val="19"/>
        </w:rPr>
        <w:t>cycling to and around major activity centres and are routes that cater for the highest cycling</w:t>
      </w:r>
      <w:r>
        <w:rPr>
          <w:spacing w:val="1"/>
          <w:sz w:val="19"/>
        </w:rPr>
        <w:t> </w:t>
      </w:r>
      <w:r>
        <w:rPr>
          <w:sz w:val="19"/>
        </w:rPr>
        <w:t>volumes, whilst offering protection from other vehicles. Consistent with this, CYP’s design of</w:t>
      </w:r>
      <w:r>
        <w:rPr>
          <w:spacing w:val="1"/>
          <w:sz w:val="19"/>
        </w:rPr>
        <w:t> </w:t>
      </w:r>
      <w:r>
        <w:rPr>
          <w:sz w:val="19"/>
        </w:rPr>
        <w:t>Arden Station has a separated, raised bicycle path on the west side of Laurens Street, while re-</w:t>
      </w:r>
      <w:r>
        <w:rPr>
          <w:spacing w:val="1"/>
          <w:sz w:val="19"/>
        </w:rPr>
        <w:t> </w:t>
      </w:r>
      <w:r>
        <w:rPr>
          <w:sz w:val="19"/>
        </w:rPr>
        <w:t>instating</w:t>
      </w:r>
      <w:r>
        <w:rPr>
          <w:spacing w:val="-2"/>
          <w:sz w:val="19"/>
        </w:rPr>
        <w:t> </w:t>
      </w:r>
      <w:r>
        <w:rPr>
          <w:sz w:val="19"/>
        </w:rPr>
        <w:t>the</w:t>
      </w:r>
      <w:r>
        <w:rPr>
          <w:spacing w:val="-1"/>
          <w:sz w:val="19"/>
        </w:rPr>
        <w:t> </w:t>
      </w:r>
      <w:r>
        <w:rPr>
          <w:sz w:val="19"/>
        </w:rPr>
        <w:t>painted</w:t>
      </w:r>
      <w:r>
        <w:rPr>
          <w:spacing w:val="-1"/>
          <w:sz w:val="19"/>
        </w:rPr>
        <w:t> </w:t>
      </w:r>
      <w:r>
        <w:rPr>
          <w:sz w:val="19"/>
        </w:rPr>
        <w:t>on-road bicycle</w:t>
      </w:r>
      <w:r>
        <w:rPr>
          <w:spacing w:val="-1"/>
          <w:sz w:val="19"/>
        </w:rPr>
        <w:t> </w:t>
      </w:r>
      <w:r>
        <w:rPr>
          <w:sz w:val="19"/>
        </w:rPr>
        <w:t>lanes</w:t>
      </w:r>
      <w:r>
        <w:rPr>
          <w:spacing w:val="2"/>
          <w:sz w:val="19"/>
        </w:rPr>
        <w:t> </w:t>
      </w:r>
      <w:r>
        <w:rPr>
          <w:sz w:val="19"/>
        </w:rPr>
        <w:t>on the east</w:t>
      </w:r>
      <w:r>
        <w:rPr>
          <w:spacing w:val="-1"/>
          <w:sz w:val="19"/>
        </w:rPr>
        <w:t> </w:t>
      </w:r>
      <w:r>
        <w:rPr>
          <w:sz w:val="19"/>
        </w:rPr>
        <w:t>side of the</w:t>
      </w:r>
      <w:r>
        <w:rPr>
          <w:spacing w:val="-1"/>
          <w:sz w:val="19"/>
        </w:rPr>
        <w:t> </w:t>
      </w:r>
      <w:r>
        <w:rPr>
          <w:sz w:val="19"/>
        </w:rPr>
        <w:t>street.</w:t>
      </w:r>
    </w:p>
    <w:p>
      <w:pPr>
        <w:pStyle w:val="BodyText"/>
        <w:spacing w:before="119"/>
        <w:ind w:left="118" w:right="628"/>
      </w:pPr>
      <w:r>
        <w:rPr/>
        <w:t>The draft Arden Structure Plan (2020) will be finalised following the feedback from the community</w:t>
      </w:r>
      <w:r>
        <w:rPr>
          <w:spacing w:val="-50"/>
        </w:rPr>
        <w:t> </w:t>
      </w:r>
      <w:r>
        <w:rPr/>
        <w:t>and</w:t>
      </w:r>
      <w:r>
        <w:rPr>
          <w:spacing w:val="-1"/>
        </w:rPr>
        <w:t> </w:t>
      </w:r>
      <w:r>
        <w:rPr/>
        <w:t>will</w:t>
      </w:r>
      <w:r>
        <w:rPr>
          <w:spacing w:val="1"/>
        </w:rPr>
        <w:t> </w:t>
      </w:r>
      <w:r>
        <w:rPr/>
        <w:t>supersede the</w:t>
      </w:r>
      <w:r>
        <w:rPr>
          <w:spacing w:val="1"/>
        </w:rPr>
        <w:t> </w:t>
      </w:r>
      <w:r>
        <w:rPr/>
        <w:t>Arden</w:t>
      </w:r>
      <w:r>
        <w:rPr>
          <w:spacing w:val="-3"/>
        </w:rPr>
        <w:t> </w:t>
      </w:r>
      <w:r>
        <w:rPr/>
        <w:t>Macaulay</w:t>
      </w:r>
      <w:r>
        <w:rPr>
          <w:spacing w:val="1"/>
        </w:rPr>
        <w:t> </w:t>
      </w:r>
      <w:r>
        <w:rPr/>
        <w:t>Structure</w:t>
      </w:r>
      <w:r>
        <w:rPr>
          <w:spacing w:val="-1"/>
        </w:rPr>
        <w:t> </w:t>
      </w:r>
      <w:r>
        <w:rPr/>
        <w:t>Plan</w:t>
      </w:r>
      <w:r>
        <w:rPr>
          <w:spacing w:val="2"/>
        </w:rPr>
        <w:t> </w:t>
      </w:r>
      <w:r>
        <w:rPr/>
        <w:t>(2012).</w:t>
      </w:r>
    </w:p>
    <w:p>
      <w:pPr>
        <w:pStyle w:val="BodyText"/>
        <w:spacing w:before="120"/>
        <w:ind w:left="118" w:right="564"/>
      </w:pPr>
      <w:r>
        <w:rPr/>
        <w:t>The Arden Station will set the tone for this important urban renewal project. The Day 1 entrance to</w:t>
      </w:r>
      <w:r>
        <w:rPr>
          <w:spacing w:val="-51"/>
        </w:rPr>
        <w:t> </w:t>
      </w:r>
      <w:r>
        <w:rPr/>
        <w:t>the station at Laurens Street and the surrounding public realm will seed the character and</w:t>
      </w:r>
      <w:r>
        <w:rPr>
          <w:spacing w:val="1"/>
        </w:rPr>
        <w:t> </w:t>
      </w:r>
      <w:r>
        <w:rPr/>
        <w:t>benchmark the Arden precinct’s</w:t>
      </w:r>
      <w:r>
        <w:rPr>
          <w:spacing w:val="-2"/>
        </w:rPr>
        <w:t> </w:t>
      </w:r>
      <w:r>
        <w:rPr/>
        <w:t>identity.</w:t>
      </w:r>
    </w:p>
    <w:p>
      <w:pPr>
        <w:spacing w:after="0"/>
        <w:sectPr>
          <w:pgSz w:w="11910" w:h="16840"/>
          <w:pgMar w:header="940" w:footer="445" w:top="1920" w:bottom="640" w:left="130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ind w:left="132"/>
        <w:rPr>
          <w:sz w:val="20"/>
        </w:rPr>
      </w:pPr>
      <w:bookmarkStart w:name="_bookmark15" w:id="61"/>
      <w:bookmarkEnd w:id="61"/>
      <w:r>
        <w:rPr/>
      </w:r>
      <w:r>
        <w:rPr>
          <w:sz w:val="20"/>
        </w:rPr>
        <w:pict>
          <v:group style="width:426.05pt;height:519.75pt;mso-position-horizontal-relative:char;mso-position-vertical-relative:line" id="docshapegroup44" coordorigin="0,0" coordsize="8521,10395">
            <v:shape style="position:absolute;left:15;top:15;width:8491;height:10365" type="#_x0000_t75" id="docshape45" stroked="false">
              <v:imagedata r:id="rId20" o:title=""/>
            </v:shape>
            <v:rect style="position:absolute;left:7;top:7;width:8506;height:10380" id="docshape46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before="87"/>
        <w:ind w:left="118" w:right="0" w:firstLine="0"/>
        <w:jc w:val="left"/>
        <w:rPr>
          <w:sz w:val="18"/>
        </w:rPr>
      </w:pPr>
      <w:bookmarkStart w:name="_bookmark14" w:id="62"/>
      <w:bookmarkEnd w:id="62"/>
      <w:r>
        <w:rPr/>
      </w:r>
      <w:r>
        <w:rPr>
          <w:sz w:val="18"/>
        </w:rPr>
        <w:t>Figure</w:t>
      </w:r>
      <w:r>
        <w:rPr>
          <w:spacing w:val="-3"/>
          <w:sz w:val="18"/>
        </w:rPr>
        <w:t> </w:t>
      </w:r>
      <w:r>
        <w:rPr>
          <w:sz w:val="18"/>
        </w:rPr>
        <w:t>3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Highlights</w:t>
      </w:r>
      <w:r>
        <w:rPr>
          <w:spacing w:val="-3"/>
          <w:sz w:val="18"/>
        </w:rPr>
        <w:t> </w:t>
      </w:r>
      <w:r>
        <w:rPr>
          <w:sz w:val="18"/>
        </w:rPr>
        <w:t>of</w:t>
      </w:r>
      <w:r>
        <w:rPr>
          <w:spacing w:val="-2"/>
          <w:sz w:val="18"/>
        </w:rPr>
        <w:t> </w:t>
      </w:r>
      <w:r>
        <w:rPr>
          <w:sz w:val="18"/>
        </w:rPr>
        <w:t>the</w:t>
      </w:r>
      <w:r>
        <w:rPr>
          <w:spacing w:val="-2"/>
          <w:sz w:val="18"/>
        </w:rPr>
        <w:t> </w:t>
      </w:r>
      <w:r>
        <w:rPr>
          <w:sz w:val="18"/>
        </w:rPr>
        <w:t>draft</w:t>
      </w:r>
      <w:r>
        <w:rPr>
          <w:spacing w:val="-2"/>
          <w:sz w:val="18"/>
        </w:rPr>
        <w:t> </w:t>
      </w:r>
      <w:r>
        <w:rPr>
          <w:sz w:val="18"/>
        </w:rPr>
        <w:t>Arden</w:t>
      </w:r>
      <w:r>
        <w:rPr>
          <w:spacing w:val="-2"/>
          <w:sz w:val="18"/>
        </w:rPr>
        <w:t> </w:t>
      </w:r>
      <w:r>
        <w:rPr>
          <w:sz w:val="18"/>
        </w:rPr>
        <w:t>Structure</w:t>
      </w:r>
      <w:r>
        <w:rPr>
          <w:spacing w:val="-4"/>
          <w:sz w:val="18"/>
        </w:rPr>
        <w:t> </w:t>
      </w:r>
      <w:r>
        <w:rPr>
          <w:sz w:val="18"/>
        </w:rPr>
        <w:t>Plan</w:t>
      </w:r>
      <w:r>
        <w:rPr>
          <w:spacing w:val="2"/>
          <w:sz w:val="18"/>
        </w:rPr>
        <w:t> </w:t>
      </w:r>
      <w:r>
        <w:rPr>
          <w:sz w:val="18"/>
        </w:rPr>
        <w:t>(2020)</w:t>
      </w:r>
    </w:p>
    <w:p>
      <w:pPr>
        <w:spacing w:before="121"/>
        <w:ind w:left="118" w:right="0" w:firstLine="0"/>
        <w:jc w:val="left"/>
        <w:rPr>
          <w:i/>
          <w:sz w:val="14"/>
        </w:rPr>
      </w:pPr>
      <w:r>
        <w:rPr>
          <w:i/>
          <w:sz w:val="14"/>
        </w:rPr>
        <w:t>Source:</w:t>
      </w:r>
      <w:r>
        <w:rPr>
          <w:i/>
          <w:spacing w:val="-4"/>
          <w:sz w:val="14"/>
        </w:rPr>
        <w:t> </w:t>
      </w:r>
      <w:r>
        <w:rPr>
          <w:i/>
          <w:sz w:val="14"/>
        </w:rPr>
        <w:t>Draft</w:t>
      </w:r>
      <w:r>
        <w:rPr>
          <w:i/>
          <w:spacing w:val="-3"/>
          <w:sz w:val="14"/>
        </w:rPr>
        <w:t> </w:t>
      </w:r>
      <w:r>
        <w:rPr>
          <w:i/>
          <w:sz w:val="14"/>
        </w:rPr>
        <w:t>Arden</w:t>
      </w:r>
      <w:r>
        <w:rPr>
          <w:i/>
          <w:spacing w:val="-3"/>
          <w:sz w:val="14"/>
        </w:rPr>
        <w:t> </w:t>
      </w:r>
      <w:r>
        <w:rPr>
          <w:i/>
          <w:sz w:val="14"/>
        </w:rPr>
        <w:t>Structure</w:t>
      </w:r>
      <w:r>
        <w:rPr>
          <w:i/>
          <w:spacing w:val="-1"/>
          <w:sz w:val="14"/>
        </w:rPr>
        <w:t> </w:t>
      </w:r>
      <w:r>
        <w:rPr>
          <w:i/>
          <w:sz w:val="14"/>
        </w:rPr>
        <w:t>Plan</w:t>
      </w:r>
      <w:r>
        <w:rPr>
          <w:i/>
          <w:spacing w:val="-2"/>
          <w:sz w:val="14"/>
        </w:rPr>
        <w:t> </w:t>
      </w:r>
      <w:r>
        <w:rPr>
          <w:i/>
          <w:sz w:val="14"/>
        </w:rPr>
        <w:t>(2020)</w:t>
      </w:r>
      <w:r>
        <w:rPr>
          <w:i/>
          <w:spacing w:val="1"/>
          <w:sz w:val="14"/>
        </w:rPr>
        <w:t> </w:t>
      </w:r>
      <w:r>
        <w:rPr>
          <w:i/>
          <w:sz w:val="14"/>
        </w:rPr>
        <w:t>–</w:t>
      </w:r>
      <w:r>
        <w:rPr>
          <w:i/>
          <w:spacing w:val="-1"/>
          <w:sz w:val="14"/>
        </w:rPr>
        <w:t> </w:t>
      </w:r>
      <w:r>
        <w:rPr>
          <w:i/>
          <w:sz w:val="14"/>
        </w:rPr>
        <w:t>page</w:t>
      </w:r>
      <w:r>
        <w:rPr>
          <w:i/>
          <w:spacing w:val="-2"/>
          <w:sz w:val="14"/>
        </w:rPr>
        <w:t> </w:t>
      </w:r>
      <w:r>
        <w:rPr>
          <w:i/>
          <w:sz w:val="14"/>
        </w:rPr>
        <w:t>9</w:t>
      </w:r>
    </w:p>
    <w:p>
      <w:pPr>
        <w:spacing w:after="0"/>
        <w:jc w:val="left"/>
        <w:rPr>
          <w:sz w:val="14"/>
        </w:rPr>
        <w:sectPr>
          <w:pgSz w:w="11910" w:h="16840"/>
          <w:pgMar w:header="940" w:footer="445" w:top="1920" w:bottom="640" w:left="1300" w:right="16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</w:rPr>
      </w:pPr>
    </w:p>
    <w:p>
      <w:pPr>
        <w:pStyle w:val="Heading2"/>
        <w:numPr>
          <w:ilvl w:val="1"/>
          <w:numId w:val="5"/>
        </w:numPr>
        <w:tabs>
          <w:tab w:pos="827" w:val="left" w:leader="none"/>
        </w:tabs>
        <w:spacing w:line="240" w:lineRule="auto" w:before="89" w:after="0"/>
        <w:ind w:left="826" w:right="0" w:hanging="709"/>
        <w:jc w:val="left"/>
      </w:pPr>
      <w:r>
        <w:rPr>
          <w:color w:val="00BBE9"/>
        </w:rPr>
        <w:t>HISTORICAL</w:t>
      </w:r>
      <w:r>
        <w:rPr>
          <w:color w:val="00BBE9"/>
          <w:spacing w:val="-4"/>
        </w:rPr>
        <w:t> </w:t>
      </w:r>
      <w:r>
        <w:rPr>
          <w:color w:val="00BBE9"/>
        </w:rPr>
        <w:t>AND</w:t>
      </w:r>
      <w:r>
        <w:rPr>
          <w:color w:val="00BBE9"/>
          <w:spacing w:val="-3"/>
        </w:rPr>
        <w:t> </w:t>
      </w:r>
      <w:r>
        <w:rPr>
          <w:color w:val="00BBE9"/>
        </w:rPr>
        <w:t>NATURAL</w:t>
      </w:r>
      <w:r>
        <w:rPr>
          <w:color w:val="00BBE9"/>
          <w:spacing w:val="-3"/>
        </w:rPr>
        <w:t> </w:t>
      </w:r>
      <w:r>
        <w:rPr>
          <w:color w:val="00BBE9"/>
        </w:rPr>
        <w:t>CONTEXT</w:t>
      </w:r>
    </w:p>
    <w:p>
      <w:pPr>
        <w:pStyle w:val="BodyText"/>
        <w:spacing w:before="119"/>
        <w:ind w:left="118" w:right="311"/>
      </w:pPr>
      <w:r>
        <w:rPr/>
        <w:t>An understanding of the Arden precinct’s natural features and history is the starting point for</w:t>
      </w:r>
      <w:r>
        <w:rPr>
          <w:spacing w:val="1"/>
        </w:rPr>
        <w:t> </w:t>
      </w:r>
      <w:r>
        <w:rPr/>
        <w:t>developing the public realm identity for the area. The site’s natural tendency to flooding, as well as its</w:t>
      </w:r>
      <w:r>
        <w:rPr>
          <w:spacing w:val="-51"/>
        </w:rPr>
        <w:t> </w:t>
      </w:r>
      <w:r>
        <w:rPr/>
        <w:t>industrial heritage,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described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EES,</w:t>
      </w:r>
      <w:r>
        <w:rPr>
          <w:spacing w:val="-1"/>
        </w:rPr>
        <w:t> </w:t>
      </w:r>
      <w:r>
        <w:rPr/>
        <w:t>have</w:t>
      </w:r>
      <w:r>
        <w:rPr>
          <w:spacing w:val="-3"/>
        </w:rPr>
        <w:t> </w:t>
      </w:r>
      <w:r>
        <w:rPr/>
        <w:t>informed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response.</w:t>
      </w:r>
    </w:p>
    <w:p>
      <w:pPr>
        <w:pStyle w:val="BodyText"/>
        <w:spacing w:before="122"/>
        <w:ind w:left="118" w:right="385"/>
      </w:pPr>
      <w:r>
        <w:rPr/>
        <w:t>Prior to European settlement, a chain of shallow ponds ran along the length of the Moonee Ponds</w:t>
      </w:r>
      <w:r>
        <w:rPr>
          <w:spacing w:val="1"/>
        </w:rPr>
        <w:t> </w:t>
      </w:r>
      <w:r>
        <w:rPr/>
        <w:t>Creek watercourse in the area now known as Arden. These ponds were isolated during Melbourne’s</w:t>
      </w:r>
      <w:r>
        <w:rPr>
          <w:spacing w:val="-50"/>
        </w:rPr>
        <w:t> </w:t>
      </w:r>
      <w:r>
        <w:rPr/>
        <w:t>drier</w:t>
      </w:r>
      <w:r>
        <w:rPr>
          <w:spacing w:val="-2"/>
        </w:rPr>
        <w:t> </w:t>
      </w:r>
      <w:r>
        <w:rPr/>
        <w:t>seasons</w:t>
      </w:r>
      <w:r>
        <w:rPr>
          <w:spacing w:val="1"/>
        </w:rPr>
        <w:t> </w:t>
      </w:r>
      <w:r>
        <w:rPr/>
        <w:t>and flowed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wetter</w:t>
      </w:r>
      <w:r>
        <w:rPr>
          <w:spacing w:val="-1"/>
        </w:rPr>
        <w:t> </w:t>
      </w:r>
      <w:r>
        <w:rPr/>
        <w:t>months</w:t>
      </w:r>
      <w:r>
        <w:rPr>
          <w:spacing w:val="1"/>
        </w:rPr>
        <w:t> </w:t>
      </w:r>
      <w:r>
        <w:rPr/>
        <w:t>after</w:t>
      </w:r>
      <w:r>
        <w:rPr>
          <w:spacing w:val="-1"/>
        </w:rPr>
        <w:t> </w:t>
      </w:r>
      <w:r>
        <w:rPr/>
        <w:t>heavy rains.</w:t>
      </w:r>
    </w:p>
    <w:p>
      <w:pPr>
        <w:pStyle w:val="BodyText"/>
        <w:spacing w:before="120"/>
        <w:ind w:left="118" w:right="311"/>
      </w:pPr>
      <w:r>
        <w:rPr/>
        <w:t>The area would have provided a water source as well as abundant plant and wildlife resources for</w:t>
      </w:r>
      <w:r>
        <w:rPr>
          <w:spacing w:val="1"/>
        </w:rPr>
        <w:t> </w:t>
      </w:r>
      <w:r>
        <w:rPr/>
        <w:t>Aboriginal people. Camp locations along nutrient-rich flood plains suggest that, at certain times of the</w:t>
      </w:r>
      <w:r>
        <w:rPr>
          <w:spacing w:val="-50"/>
        </w:rPr>
        <w:t> </w:t>
      </w:r>
      <w:r>
        <w:rPr/>
        <w:t>year, Aboriginal people happily took advantage of the area’s seasonal bounty. Eels and murnongs</w:t>
      </w:r>
      <w:r>
        <w:rPr>
          <w:spacing w:val="1"/>
        </w:rPr>
        <w:t> </w:t>
      </w:r>
      <w:r>
        <w:rPr/>
        <w:t>(yam</w:t>
      </w:r>
      <w:r>
        <w:rPr>
          <w:spacing w:val="-1"/>
        </w:rPr>
        <w:t> </w:t>
      </w:r>
      <w:r>
        <w:rPr/>
        <w:t>daisy)</w:t>
      </w:r>
      <w:r>
        <w:rPr>
          <w:spacing w:val="-1"/>
        </w:rPr>
        <w:t> </w:t>
      </w:r>
      <w:r>
        <w:rPr/>
        <w:t>appear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have</w:t>
      </w:r>
      <w:r>
        <w:rPr>
          <w:spacing w:val="-3"/>
        </w:rPr>
        <w:t> </w:t>
      </w:r>
      <w:r>
        <w:rPr/>
        <w:t>been</w:t>
      </w:r>
      <w:r>
        <w:rPr>
          <w:spacing w:val="-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prominent food</w:t>
      </w:r>
      <w:r>
        <w:rPr>
          <w:spacing w:val="-1"/>
        </w:rPr>
        <w:t> </w:t>
      </w:r>
      <w:r>
        <w:rPr/>
        <w:t>sources</w:t>
      </w:r>
      <w:r>
        <w:rPr>
          <w:spacing w:val="1"/>
        </w:rPr>
        <w:t> </w:t>
      </w:r>
      <w:r>
        <w:rPr/>
        <w:t>along the</w:t>
      </w:r>
      <w:r>
        <w:rPr>
          <w:spacing w:val="-2"/>
        </w:rPr>
        <w:t> </w:t>
      </w:r>
      <w:r>
        <w:rPr/>
        <w:t>creek.</w:t>
      </w:r>
    </w:p>
    <w:p>
      <w:pPr>
        <w:pStyle w:val="BodyText"/>
        <w:spacing w:before="120"/>
        <w:ind w:left="118" w:right="321"/>
        <w:jc w:val="both"/>
      </w:pPr>
      <w:r>
        <w:rPr/>
        <w:t>The pre-European natural landscape at the site of the station was Ecological Vegetation Class (EVC)</w:t>
      </w:r>
      <w:r>
        <w:rPr>
          <w:spacing w:val="-50"/>
        </w:rPr>
        <w:t> </w:t>
      </w:r>
      <w:r>
        <w:rPr/>
        <w:t>Plains Grassland/Plains Grassy Woodland Mosaic (EVC 897), transitioning to Escarpment Shrubland</w:t>
      </w:r>
      <w:r>
        <w:rPr>
          <w:spacing w:val="-51"/>
        </w:rPr>
        <w:t> </w:t>
      </w:r>
      <w:r>
        <w:rPr/>
        <w:t>(EVC</w:t>
      </w:r>
      <w:r>
        <w:rPr>
          <w:spacing w:val="-2"/>
        </w:rPr>
        <w:t> </w:t>
      </w:r>
      <w:r>
        <w:rPr/>
        <w:t>895)</w:t>
      </w:r>
      <w:r>
        <w:rPr>
          <w:spacing w:val="-1"/>
        </w:rPr>
        <w:t> </w:t>
      </w:r>
      <w:r>
        <w:rPr/>
        <w:t>along Moonee Ponds</w:t>
      </w:r>
      <w:r>
        <w:rPr>
          <w:spacing w:val="1"/>
        </w:rPr>
        <w:t> </w:t>
      </w:r>
      <w:r>
        <w:rPr/>
        <w:t>Creek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2"/>
        <w:numPr>
          <w:ilvl w:val="1"/>
          <w:numId w:val="5"/>
        </w:numPr>
        <w:tabs>
          <w:tab w:pos="827" w:val="left" w:leader="none"/>
        </w:tabs>
        <w:spacing w:line="240" w:lineRule="auto" w:before="1" w:after="0"/>
        <w:ind w:left="826" w:right="0" w:hanging="709"/>
        <w:jc w:val="left"/>
      </w:pPr>
      <w:bookmarkStart w:name="_bookmark16" w:id="63"/>
      <w:bookmarkEnd w:id="63"/>
      <w:r>
        <w:rPr/>
      </w:r>
      <w:bookmarkStart w:name="_bookmark16" w:id="64"/>
      <w:bookmarkEnd w:id="64"/>
      <w:r>
        <w:rPr>
          <w:color w:val="00BBE9"/>
        </w:rPr>
        <w:t>EX</w:t>
      </w:r>
      <w:r>
        <w:rPr>
          <w:color w:val="00BBE9"/>
        </w:rPr>
        <w:t>ISTING</w:t>
      </w:r>
      <w:r>
        <w:rPr>
          <w:color w:val="00BBE9"/>
          <w:spacing w:val="-7"/>
        </w:rPr>
        <w:t> </w:t>
      </w:r>
      <w:r>
        <w:rPr>
          <w:color w:val="00BBE9"/>
        </w:rPr>
        <w:t>SITE</w:t>
      </w:r>
      <w:r>
        <w:rPr>
          <w:color w:val="00BBE9"/>
          <w:spacing w:val="-4"/>
        </w:rPr>
        <w:t> </w:t>
      </w:r>
      <w:r>
        <w:rPr>
          <w:color w:val="00BBE9"/>
        </w:rPr>
        <w:t>CONDITIONS</w:t>
      </w:r>
    </w:p>
    <w:p>
      <w:pPr>
        <w:pStyle w:val="BodyText"/>
        <w:spacing w:before="118"/>
        <w:ind w:left="118" w:right="659"/>
      </w:pPr>
      <w:r>
        <w:rPr/>
        <w:t>The Arden Station precinct is located on under-used industrial land. The station’s Day 1 entrance</w:t>
      </w:r>
      <w:r>
        <w:rPr>
          <w:spacing w:val="-50"/>
        </w:rPr>
        <w:t> </w:t>
      </w:r>
      <w:r>
        <w:rPr/>
        <w:t>point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Laurens Street,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existing</w:t>
      </w:r>
      <w:r>
        <w:rPr>
          <w:spacing w:val="-2"/>
        </w:rPr>
        <w:t> </w:t>
      </w:r>
      <w:r>
        <w:rPr/>
        <w:t>north-south</w:t>
      </w:r>
      <w:r>
        <w:rPr>
          <w:spacing w:val="-1"/>
        </w:rPr>
        <w:t> </w:t>
      </w:r>
      <w:r>
        <w:rPr/>
        <w:t>road currently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mixed</w:t>
      </w:r>
      <w:r>
        <w:rPr>
          <w:spacing w:val="-2"/>
        </w:rPr>
        <w:t> </w:t>
      </w:r>
      <w:r>
        <w:rPr/>
        <w:t>use.</w:t>
      </w:r>
    </w:p>
    <w:p>
      <w:pPr>
        <w:pStyle w:val="BodyText"/>
        <w:spacing w:before="120"/>
        <w:ind w:left="118" w:right="300"/>
      </w:pPr>
      <w:r>
        <w:rPr/>
        <w:t>The series of large sheds fronting Laurens Street have been removed for the station. East of Laurens</w:t>
      </w:r>
      <w:r>
        <w:rPr>
          <w:spacing w:val="-50"/>
        </w:rPr>
        <w:t> </w:t>
      </w:r>
      <w:r>
        <w:rPr/>
        <w:t>Street land is a mix of residential, commercial and industrial uses with Dryburgh Street marking the</w:t>
      </w:r>
      <w:r>
        <w:rPr>
          <w:spacing w:val="1"/>
        </w:rPr>
        <w:t> </w:t>
      </w:r>
      <w:r>
        <w:rPr/>
        <w:t>eastern</w:t>
      </w:r>
      <w:r>
        <w:rPr>
          <w:spacing w:val="-3"/>
        </w:rPr>
        <w:t> </w:t>
      </w:r>
      <w:r>
        <w:rPr/>
        <w:t>boundary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Arden's planned</w:t>
      </w:r>
      <w:r>
        <w:rPr>
          <w:spacing w:val="-2"/>
        </w:rPr>
        <w:t> </w:t>
      </w:r>
      <w:r>
        <w:rPr/>
        <w:t>redevelopment,</w:t>
      </w:r>
      <w:r>
        <w:rPr>
          <w:spacing w:val="-1"/>
        </w:rPr>
        <w:t> </w:t>
      </w:r>
      <w:r>
        <w:rPr/>
        <w:t>as per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draft</w:t>
      </w:r>
      <w:r>
        <w:rPr>
          <w:spacing w:val="-2"/>
        </w:rPr>
        <w:t> </w:t>
      </w:r>
      <w:r>
        <w:rPr/>
        <w:t>Arden</w:t>
      </w:r>
      <w:r>
        <w:rPr>
          <w:spacing w:val="3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Plan (2020).</w:t>
      </w:r>
    </w:p>
    <w:p>
      <w:pPr>
        <w:pStyle w:val="BodyText"/>
        <w:spacing w:before="120"/>
        <w:ind w:left="118" w:right="406"/>
      </w:pPr>
      <w:r>
        <w:rPr/>
        <w:t>Mature plane trees along Laurens Street currently provide both amenity and shade. CYP will protect</w:t>
      </w:r>
      <w:r>
        <w:rPr>
          <w:spacing w:val="-50"/>
        </w:rPr>
        <w:t> </w:t>
      </w:r>
      <w:r>
        <w:rPr/>
        <w:t>and maintain these trees, along with some peppercorn trees located within the site that also</w:t>
      </w:r>
      <w:r>
        <w:rPr>
          <w:spacing w:val="1"/>
        </w:rPr>
        <w:t> </w:t>
      </w:r>
      <w:r>
        <w:rPr/>
        <w:t>contribute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area’s amenity.</w:t>
      </w:r>
    </w:p>
    <w:p>
      <w:pPr>
        <w:pStyle w:val="BodyText"/>
        <w:spacing w:line="242" w:lineRule="auto" w:before="120"/>
        <w:ind w:left="118" w:right="342"/>
      </w:pPr>
      <w:r>
        <w:rPr/>
        <w:t>The narrow-width footpath along the west side of Laurens Street is further constrained by the</w:t>
      </w:r>
      <w:r>
        <w:rPr>
          <w:spacing w:val="1"/>
        </w:rPr>
        <w:t> </w:t>
      </w:r>
      <w:r>
        <w:rPr/>
        <w:t>presence of both trees and property boundaries. The footpath’s existing width is not adequate for the</w:t>
      </w:r>
      <w:r>
        <w:rPr>
          <w:spacing w:val="-51"/>
        </w:rPr>
        <w:t> </w:t>
      </w:r>
      <w:r>
        <w:rPr/>
        <w:t>street’s</w:t>
      </w:r>
      <w:r>
        <w:rPr>
          <w:spacing w:val="-1"/>
        </w:rPr>
        <w:t> </w:t>
      </w:r>
      <w:r>
        <w:rPr/>
        <w:t>proposed</w:t>
      </w:r>
      <w:r>
        <w:rPr>
          <w:spacing w:val="-2"/>
        </w:rPr>
        <w:t> </w:t>
      </w:r>
      <w:r>
        <w:rPr/>
        <w:t>role</w:t>
      </w:r>
      <w:r>
        <w:rPr>
          <w:spacing w:val="-2"/>
        </w:rPr>
        <w:t> </w:t>
      </w:r>
      <w:r>
        <w:rPr/>
        <w:t>as a</w:t>
      </w:r>
      <w:r>
        <w:rPr>
          <w:spacing w:val="-2"/>
        </w:rPr>
        <w:t> </w:t>
      </w:r>
      <w:r>
        <w:rPr/>
        <w:t>highly</w:t>
      </w:r>
      <w:r>
        <w:rPr>
          <w:spacing w:val="-1"/>
        </w:rPr>
        <w:t> </w:t>
      </w:r>
      <w:r>
        <w:rPr/>
        <w:t>pedestrianised</w:t>
      </w:r>
      <w:r>
        <w:rPr>
          <w:spacing w:val="-2"/>
        </w:rPr>
        <w:t> </w:t>
      </w:r>
      <w:r>
        <w:rPr/>
        <w:t>street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transit</w:t>
      </w:r>
      <w:r>
        <w:rPr>
          <w:spacing w:val="-2"/>
        </w:rPr>
        <w:t> </w:t>
      </w:r>
      <w:r>
        <w:rPr/>
        <w:t>interchange.</w:t>
      </w:r>
    </w:p>
    <w:p>
      <w:pPr>
        <w:spacing w:after="0" w:line="242" w:lineRule="auto"/>
        <w:sectPr>
          <w:pgSz w:w="11910" w:h="16840"/>
          <w:pgMar w:header="940" w:footer="445" w:top="1920" w:bottom="640" w:left="130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Heading1"/>
        <w:numPr>
          <w:ilvl w:val="0"/>
          <w:numId w:val="5"/>
        </w:numPr>
        <w:tabs>
          <w:tab w:pos="686" w:val="left" w:leader="none"/>
        </w:tabs>
        <w:spacing w:line="240" w:lineRule="auto" w:before="88" w:after="0"/>
        <w:ind w:left="685" w:right="678" w:hanging="567"/>
        <w:jc w:val="left"/>
      </w:pPr>
      <w:bookmarkStart w:name="_bookmark17" w:id="65"/>
      <w:bookmarkEnd w:id="65"/>
      <w:r>
        <w:rPr/>
      </w:r>
      <w:bookmarkStart w:name="_bookmark17" w:id="66"/>
      <w:bookmarkEnd w:id="66"/>
      <w:r>
        <w:rPr>
          <w:color w:val="00BBE9"/>
        </w:rPr>
        <w:t>SCOPE</w:t>
      </w:r>
      <w:r>
        <w:rPr>
          <w:color w:val="00BBE9"/>
        </w:rPr>
        <w:t> OF WORKS IN ARDEN STATION</w:t>
      </w:r>
      <w:r>
        <w:rPr>
          <w:color w:val="00BBE9"/>
          <w:spacing w:val="-109"/>
        </w:rPr>
        <w:t> </w:t>
      </w:r>
      <w:r>
        <w:rPr>
          <w:color w:val="00BBE9"/>
        </w:rPr>
        <w:t>PRECINCT</w:t>
      </w:r>
    </w:p>
    <w:p>
      <w:pPr>
        <w:pStyle w:val="BodyText"/>
        <w:spacing w:before="198"/>
        <w:ind w:left="118" w:right="342"/>
      </w:pPr>
      <w:r>
        <w:rPr/>
        <w:t>This Arden Station Precinct Development Plan presents the scope and extent of the built form of</w:t>
      </w:r>
      <w:r>
        <w:rPr>
          <w:spacing w:val="1"/>
        </w:rPr>
        <w:t> </w:t>
      </w:r>
      <w:r>
        <w:rPr/>
        <w:t>CYP’s</w:t>
      </w:r>
      <w:r>
        <w:rPr>
          <w:spacing w:val="-2"/>
        </w:rPr>
        <w:t> </w:t>
      </w:r>
      <w:r>
        <w:rPr/>
        <w:t>works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Arden Station</w:t>
      </w:r>
      <w:r>
        <w:rPr>
          <w:spacing w:val="-1"/>
        </w:rPr>
        <w:t> </w:t>
      </w:r>
      <w:r>
        <w:rPr/>
        <w:t>precinct,</w:t>
      </w:r>
      <w:r>
        <w:rPr>
          <w:spacing w:val="-4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new</w:t>
      </w:r>
      <w:r>
        <w:rPr>
          <w:spacing w:val="-3"/>
        </w:rPr>
        <w:t> </w:t>
      </w:r>
      <w:r>
        <w:rPr/>
        <w:t>Arden</w:t>
      </w:r>
      <w:r>
        <w:rPr>
          <w:spacing w:val="-1"/>
        </w:rPr>
        <w:t> </w:t>
      </w:r>
      <w:r>
        <w:rPr/>
        <w:t>Station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entrance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50"/>
        </w:rPr>
        <w:t> </w:t>
      </w:r>
      <w:r>
        <w:rPr/>
        <w:t>ticket gate for Day 1 operation. </w:t>
      </w:r>
      <w:hyperlink w:history="true" w:anchor="_bookmark18">
        <w:r>
          <w:rPr/>
          <w:t>Figure 4 </w:t>
        </w:r>
      </w:hyperlink>
      <w:r>
        <w:rPr/>
        <w:t>shows these works within the Arden Station precinct which</w:t>
      </w:r>
      <w:r>
        <w:rPr>
          <w:spacing w:val="1"/>
        </w:rPr>
        <w:t> </w:t>
      </w:r>
      <w:r>
        <w:rPr/>
        <w:t>includes: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2" w:after="0"/>
        <w:ind w:left="402" w:right="0" w:hanging="285"/>
        <w:jc w:val="left"/>
        <w:rPr>
          <w:sz w:val="19"/>
        </w:rPr>
      </w:pPr>
      <w:r>
        <w:rPr>
          <w:sz w:val="19"/>
        </w:rPr>
        <w:t>New</w:t>
      </w:r>
      <w:r>
        <w:rPr>
          <w:spacing w:val="-2"/>
          <w:sz w:val="19"/>
        </w:rPr>
        <w:t> </w:t>
      </w:r>
      <w:r>
        <w:rPr>
          <w:sz w:val="19"/>
        </w:rPr>
        <w:t>underground</w:t>
      </w:r>
      <w:r>
        <w:rPr>
          <w:spacing w:val="-1"/>
          <w:sz w:val="19"/>
        </w:rPr>
        <w:t> </w:t>
      </w:r>
      <w:r>
        <w:rPr>
          <w:sz w:val="19"/>
        </w:rPr>
        <w:t>train</w:t>
      </w:r>
      <w:r>
        <w:rPr>
          <w:spacing w:val="-2"/>
          <w:sz w:val="19"/>
        </w:rPr>
        <w:t> </w:t>
      </w:r>
      <w:r>
        <w:rPr>
          <w:sz w:val="19"/>
        </w:rPr>
        <w:t>station</w:t>
      </w:r>
      <w:r>
        <w:rPr>
          <w:spacing w:val="-2"/>
          <w:sz w:val="19"/>
        </w:rPr>
        <w:t> </w:t>
      </w:r>
      <w:r>
        <w:rPr>
          <w:sz w:val="19"/>
        </w:rPr>
        <w:t>with</w:t>
      </w:r>
      <w:r>
        <w:rPr>
          <w:spacing w:val="-2"/>
          <w:sz w:val="19"/>
        </w:rPr>
        <w:t> </w:t>
      </w:r>
      <w:r>
        <w:rPr>
          <w:sz w:val="19"/>
        </w:rPr>
        <w:t>entrance</w:t>
      </w:r>
      <w:r>
        <w:rPr>
          <w:spacing w:val="-2"/>
          <w:sz w:val="19"/>
        </w:rPr>
        <w:t> </w:t>
      </w:r>
      <w:r>
        <w:rPr>
          <w:sz w:val="19"/>
        </w:rPr>
        <w:t>to</w:t>
      </w:r>
      <w:r>
        <w:rPr>
          <w:spacing w:val="-1"/>
          <w:sz w:val="19"/>
        </w:rPr>
        <w:t> </w:t>
      </w:r>
      <w:r>
        <w:rPr>
          <w:sz w:val="19"/>
        </w:rPr>
        <w:t>the</w:t>
      </w:r>
      <w:r>
        <w:rPr>
          <w:spacing w:val="-2"/>
          <w:sz w:val="19"/>
        </w:rPr>
        <w:t> </w:t>
      </w:r>
      <w:r>
        <w:rPr>
          <w:sz w:val="19"/>
        </w:rPr>
        <w:t>ticket</w:t>
      </w:r>
      <w:r>
        <w:rPr>
          <w:spacing w:val="-4"/>
          <w:sz w:val="19"/>
        </w:rPr>
        <w:t> </w:t>
      </w:r>
      <w:r>
        <w:rPr>
          <w:sz w:val="19"/>
        </w:rPr>
        <w:t>gate</w:t>
      </w:r>
      <w:r>
        <w:rPr>
          <w:spacing w:val="-1"/>
          <w:sz w:val="19"/>
        </w:rPr>
        <w:t> </w:t>
      </w:r>
      <w:r>
        <w:rPr>
          <w:sz w:val="19"/>
        </w:rPr>
        <w:t>from</w:t>
      </w:r>
      <w:r>
        <w:rPr>
          <w:spacing w:val="-2"/>
          <w:sz w:val="19"/>
        </w:rPr>
        <w:t> </w:t>
      </w:r>
      <w:r>
        <w:rPr>
          <w:sz w:val="19"/>
        </w:rPr>
        <w:t>Laurens Street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8" w:after="0"/>
        <w:ind w:left="402" w:right="0" w:hanging="285"/>
        <w:jc w:val="left"/>
        <w:rPr>
          <w:sz w:val="19"/>
        </w:rPr>
      </w:pPr>
      <w:r>
        <w:rPr>
          <w:sz w:val="19"/>
        </w:rPr>
        <w:t>New</w:t>
      </w:r>
      <w:r>
        <w:rPr>
          <w:spacing w:val="-3"/>
          <w:sz w:val="19"/>
        </w:rPr>
        <w:t> </w:t>
      </w:r>
      <w:r>
        <w:rPr>
          <w:sz w:val="19"/>
        </w:rPr>
        <w:t>station</w:t>
      </w:r>
      <w:r>
        <w:rPr>
          <w:spacing w:val="-2"/>
          <w:sz w:val="19"/>
        </w:rPr>
        <w:t> </w:t>
      </w:r>
      <w:r>
        <w:rPr>
          <w:sz w:val="19"/>
        </w:rPr>
        <w:t>plaza</w:t>
      </w:r>
      <w:r>
        <w:rPr>
          <w:spacing w:val="-3"/>
          <w:sz w:val="19"/>
        </w:rPr>
        <w:t> </w:t>
      </w:r>
      <w:r>
        <w:rPr>
          <w:sz w:val="19"/>
        </w:rPr>
        <w:t>addressing</w:t>
      </w:r>
      <w:r>
        <w:rPr>
          <w:spacing w:val="-2"/>
          <w:sz w:val="19"/>
        </w:rPr>
        <w:t> </w:t>
      </w:r>
      <w:r>
        <w:rPr>
          <w:sz w:val="19"/>
        </w:rPr>
        <w:t>Laurens</w:t>
      </w:r>
      <w:r>
        <w:rPr>
          <w:spacing w:val="-2"/>
          <w:sz w:val="19"/>
        </w:rPr>
        <w:t> </w:t>
      </w:r>
      <w:r>
        <w:rPr>
          <w:sz w:val="19"/>
        </w:rPr>
        <w:t>Street</w:t>
      </w:r>
      <w:r>
        <w:rPr>
          <w:spacing w:val="-2"/>
          <w:sz w:val="19"/>
        </w:rPr>
        <w:t> </w:t>
      </w:r>
      <w:r>
        <w:rPr>
          <w:sz w:val="19"/>
        </w:rPr>
        <w:t>at</w:t>
      </w:r>
      <w:r>
        <w:rPr>
          <w:spacing w:val="-2"/>
          <w:sz w:val="19"/>
        </w:rPr>
        <w:t> </w:t>
      </w:r>
      <w:r>
        <w:rPr>
          <w:sz w:val="19"/>
        </w:rPr>
        <w:t>the</w:t>
      </w:r>
      <w:r>
        <w:rPr>
          <w:spacing w:val="-2"/>
          <w:sz w:val="19"/>
        </w:rPr>
        <w:t> </w:t>
      </w:r>
      <w:r>
        <w:rPr>
          <w:sz w:val="19"/>
        </w:rPr>
        <w:t>corner</w:t>
      </w:r>
      <w:r>
        <w:rPr>
          <w:spacing w:val="-3"/>
          <w:sz w:val="19"/>
        </w:rPr>
        <w:t> </w:t>
      </w:r>
      <w:r>
        <w:rPr>
          <w:sz w:val="19"/>
        </w:rPr>
        <w:t>of</w:t>
      </w:r>
      <w:r>
        <w:rPr>
          <w:spacing w:val="-3"/>
          <w:sz w:val="19"/>
        </w:rPr>
        <w:t> </w:t>
      </w:r>
      <w:r>
        <w:rPr>
          <w:sz w:val="19"/>
        </w:rPr>
        <w:t>Barwise</w:t>
      </w:r>
      <w:r>
        <w:rPr>
          <w:spacing w:val="-2"/>
          <w:sz w:val="19"/>
        </w:rPr>
        <w:t> </w:t>
      </w:r>
      <w:r>
        <w:rPr>
          <w:sz w:val="19"/>
        </w:rPr>
        <w:t>Street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7" w:after="0"/>
        <w:ind w:left="402" w:right="509" w:hanging="284"/>
        <w:jc w:val="left"/>
        <w:rPr>
          <w:sz w:val="19"/>
        </w:rPr>
      </w:pPr>
      <w:r>
        <w:rPr>
          <w:sz w:val="19"/>
        </w:rPr>
        <w:t>Bicycle parking along Laurens Street, Station Lane and Laurens Lane (further detail provided in</w:t>
      </w:r>
      <w:r>
        <w:rPr>
          <w:spacing w:val="-50"/>
          <w:sz w:val="19"/>
        </w:rPr>
        <w:t> </w:t>
      </w:r>
      <w:r>
        <w:rPr>
          <w:sz w:val="19"/>
        </w:rPr>
        <w:t>Section</w:t>
      </w:r>
      <w:r>
        <w:rPr>
          <w:spacing w:val="-1"/>
          <w:sz w:val="19"/>
        </w:rPr>
        <w:t> </w:t>
      </w:r>
      <w:hyperlink w:history="true" w:anchor="_bookmark36">
        <w:r>
          <w:rPr>
            <w:sz w:val="19"/>
          </w:rPr>
          <w:t>4.3.4.3</w:t>
        </w:r>
        <w:r>
          <w:rPr>
            <w:spacing w:val="-1"/>
            <w:sz w:val="19"/>
          </w:rPr>
          <w:t> </w:t>
        </w:r>
      </w:hyperlink>
      <w:r>
        <w:rPr>
          <w:sz w:val="19"/>
        </w:rPr>
        <w:t>and </w:t>
      </w:r>
      <w:hyperlink w:history="true" w:anchor="_bookmark37">
        <w:r>
          <w:rPr>
            <w:sz w:val="19"/>
          </w:rPr>
          <w:t>Figure 9</w:t>
        </w:r>
      </w:hyperlink>
      <w:r>
        <w:rPr>
          <w:sz w:val="19"/>
        </w:rPr>
        <w:t>)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8" w:after="0"/>
        <w:ind w:left="402" w:right="560" w:hanging="284"/>
        <w:jc w:val="left"/>
        <w:rPr>
          <w:sz w:val="19"/>
        </w:rPr>
      </w:pPr>
      <w:r>
        <w:rPr>
          <w:sz w:val="19"/>
        </w:rPr>
        <w:t>Footpath widening on the west side of Laurens Street between Arden and Queensberry streets</w:t>
      </w:r>
      <w:r>
        <w:rPr>
          <w:spacing w:val="-50"/>
          <w:sz w:val="19"/>
        </w:rPr>
        <w:t> </w:t>
      </w:r>
      <w:r>
        <w:rPr>
          <w:sz w:val="19"/>
        </w:rPr>
        <w:t>including</w:t>
      </w:r>
      <w:r>
        <w:rPr>
          <w:spacing w:val="-2"/>
          <w:sz w:val="19"/>
        </w:rPr>
        <w:t> </w:t>
      </w:r>
      <w:r>
        <w:rPr>
          <w:sz w:val="19"/>
        </w:rPr>
        <w:t>new</w:t>
      </w:r>
      <w:r>
        <w:rPr>
          <w:spacing w:val="-1"/>
          <w:sz w:val="19"/>
        </w:rPr>
        <w:t> </w:t>
      </w:r>
      <w:r>
        <w:rPr>
          <w:sz w:val="19"/>
        </w:rPr>
        <w:t>signage,</w:t>
      </w:r>
      <w:r>
        <w:rPr>
          <w:spacing w:val="-1"/>
          <w:sz w:val="19"/>
        </w:rPr>
        <w:t> </w:t>
      </w:r>
      <w:r>
        <w:rPr>
          <w:sz w:val="19"/>
        </w:rPr>
        <w:t>street</w:t>
      </w:r>
      <w:r>
        <w:rPr>
          <w:spacing w:val="-2"/>
          <w:sz w:val="19"/>
        </w:rPr>
        <w:t> </w:t>
      </w:r>
      <w:r>
        <w:rPr>
          <w:sz w:val="19"/>
        </w:rPr>
        <w:t>furniture,</w:t>
      </w:r>
      <w:r>
        <w:rPr>
          <w:spacing w:val="-1"/>
          <w:sz w:val="19"/>
        </w:rPr>
        <w:t> </w:t>
      </w:r>
      <w:r>
        <w:rPr>
          <w:sz w:val="19"/>
        </w:rPr>
        <w:t>lighting</w:t>
      </w:r>
      <w:r>
        <w:rPr>
          <w:spacing w:val="-2"/>
          <w:sz w:val="19"/>
        </w:rPr>
        <w:t> </w:t>
      </w:r>
      <w:r>
        <w:rPr>
          <w:sz w:val="19"/>
        </w:rPr>
        <w:t>and</w:t>
      </w:r>
      <w:r>
        <w:rPr>
          <w:spacing w:val="-1"/>
          <w:sz w:val="19"/>
        </w:rPr>
        <w:t> </w:t>
      </w:r>
      <w:r>
        <w:rPr>
          <w:sz w:val="19"/>
        </w:rPr>
        <w:t>tree</w:t>
      </w:r>
      <w:r>
        <w:rPr>
          <w:spacing w:val="-1"/>
          <w:sz w:val="19"/>
        </w:rPr>
        <w:t> </w:t>
      </w:r>
      <w:r>
        <w:rPr>
          <w:sz w:val="19"/>
        </w:rPr>
        <w:t>planting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8" w:after="0"/>
        <w:ind w:left="402" w:right="341" w:hanging="284"/>
        <w:jc w:val="left"/>
        <w:rPr>
          <w:sz w:val="19"/>
        </w:rPr>
      </w:pPr>
      <w:r>
        <w:rPr>
          <w:sz w:val="19"/>
        </w:rPr>
        <w:t>Barwise Street</w:t>
      </w:r>
      <w:r>
        <w:rPr>
          <w:spacing w:val="1"/>
          <w:sz w:val="19"/>
        </w:rPr>
        <w:t> </w:t>
      </w:r>
      <w:r>
        <w:rPr>
          <w:sz w:val="19"/>
        </w:rPr>
        <w:t>works</w:t>
      </w:r>
      <w:r>
        <w:rPr>
          <w:spacing w:val="2"/>
          <w:sz w:val="19"/>
        </w:rPr>
        <w:t> </w:t>
      </w:r>
      <w:r>
        <w:rPr>
          <w:sz w:val="19"/>
        </w:rPr>
        <w:t>including paved</w:t>
      </w:r>
      <w:r>
        <w:rPr>
          <w:spacing w:val="1"/>
          <w:sz w:val="19"/>
        </w:rPr>
        <w:t> </w:t>
      </w:r>
      <w:r>
        <w:rPr>
          <w:sz w:val="19"/>
        </w:rPr>
        <w:t>footpaths</w:t>
      </w:r>
      <w:r>
        <w:rPr>
          <w:spacing w:val="3"/>
          <w:sz w:val="19"/>
        </w:rPr>
        <w:t> </w:t>
      </w:r>
      <w:r>
        <w:rPr>
          <w:sz w:val="19"/>
        </w:rPr>
        <w:t>and</w:t>
      </w:r>
      <w:r>
        <w:rPr>
          <w:spacing w:val="1"/>
          <w:sz w:val="19"/>
        </w:rPr>
        <w:t> </w:t>
      </w:r>
      <w:r>
        <w:rPr>
          <w:sz w:val="19"/>
        </w:rPr>
        <w:t>street</w:t>
      </w:r>
      <w:r>
        <w:rPr>
          <w:spacing w:val="1"/>
          <w:sz w:val="19"/>
        </w:rPr>
        <w:t> </w:t>
      </w:r>
      <w:r>
        <w:rPr>
          <w:sz w:val="19"/>
        </w:rPr>
        <w:t>surface,</w:t>
      </w:r>
      <w:r>
        <w:rPr>
          <w:spacing w:val="1"/>
          <w:sz w:val="19"/>
        </w:rPr>
        <w:t> </w:t>
      </w:r>
      <w:r>
        <w:rPr>
          <w:sz w:val="19"/>
        </w:rPr>
        <w:t>tree planting</w:t>
      </w:r>
      <w:r>
        <w:rPr>
          <w:spacing w:val="1"/>
          <w:sz w:val="19"/>
        </w:rPr>
        <w:t> </w:t>
      </w:r>
      <w:r>
        <w:rPr>
          <w:sz w:val="19"/>
        </w:rPr>
        <w:t>for</w:t>
      </w:r>
      <w:r>
        <w:rPr>
          <w:spacing w:val="1"/>
          <w:sz w:val="19"/>
        </w:rPr>
        <w:t> </w:t>
      </w:r>
      <w:r>
        <w:rPr>
          <w:sz w:val="19"/>
        </w:rPr>
        <w:t>shade,</w:t>
      </w:r>
      <w:r>
        <w:rPr>
          <w:spacing w:val="1"/>
          <w:sz w:val="19"/>
        </w:rPr>
        <w:t> </w:t>
      </w:r>
      <w:r>
        <w:rPr>
          <w:sz w:val="19"/>
        </w:rPr>
        <w:t>station</w:t>
      </w:r>
      <w:r>
        <w:rPr>
          <w:spacing w:val="-3"/>
          <w:sz w:val="19"/>
        </w:rPr>
        <w:t> </w:t>
      </w:r>
      <w:r>
        <w:rPr>
          <w:sz w:val="19"/>
        </w:rPr>
        <w:t>parking</w:t>
      </w:r>
      <w:r>
        <w:rPr>
          <w:spacing w:val="-2"/>
          <w:sz w:val="19"/>
        </w:rPr>
        <w:t> </w:t>
      </w:r>
      <w:r>
        <w:rPr>
          <w:sz w:val="19"/>
        </w:rPr>
        <w:t>bays</w:t>
      </w:r>
      <w:r>
        <w:rPr>
          <w:spacing w:val="-1"/>
          <w:sz w:val="19"/>
        </w:rPr>
        <w:t> </w:t>
      </w:r>
      <w:r>
        <w:rPr>
          <w:sz w:val="19"/>
        </w:rPr>
        <w:t>and</w:t>
      </w:r>
      <w:r>
        <w:rPr>
          <w:spacing w:val="-1"/>
          <w:sz w:val="19"/>
        </w:rPr>
        <w:t> </w:t>
      </w:r>
      <w:r>
        <w:rPr>
          <w:sz w:val="19"/>
        </w:rPr>
        <w:t>development</w:t>
      </w:r>
      <w:r>
        <w:rPr>
          <w:spacing w:val="-2"/>
          <w:sz w:val="19"/>
        </w:rPr>
        <w:t> </w:t>
      </w:r>
      <w:r>
        <w:rPr>
          <w:sz w:val="19"/>
        </w:rPr>
        <w:t>of</w:t>
      </w:r>
      <w:r>
        <w:rPr>
          <w:spacing w:val="-2"/>
          <w:sz w:val="19"/>
        </w:rPr>
        <w:t> </w:t>
      </w:r>
      <w:r>
        <w:rPr>
          <w:sz w:val="19"/>
        </w:rPr>
        <w:t>two</w:t>
      </w:r>
      <w:r>
        <w:rPr>
          <w:spacing w:val="-2"/>
          <w:sz w:val="19"/>
        </w:rPr>
        <w:t> </w:t>
      </w:r>
      <w:r>
        <w:rPr>
          <w:sz w:val="19"/>
        </w:rPr>
        <w:t>service</w:t>
      </w:r>
      <w:r>
        <w:rPr>
          <w:spacing w:val="-4"/>
          <w:sz w:val="19"/>
        </w:rPr>
        <w:t> </w:t>
      </w:r>
      <w:r>
        <w:rPr>
          <w:sz w:val="19"/>
        </w:rPr>
        <w:t>laneways,</w:t>
      </w:r>
      <w:r>
        <w:rPr>
          <w:spacing w:val="-2"/>
          <w:sz w:val="19"/>
        </w:rPr>
        <w:t> </w:t>
      </w:r>
      <w:r>
        <w:rPr>
          <w:sz w:val="19"/>
        </w:rPr>
        <w:t>one</w:t>
      </w:r>
      <w:r>
        <w:rPr>
          <w:spacing w:val="-1"/>
          <w:sz w:val="19"/>
        </w:rPr>
        <w:t> </w:t>
      </w:r>
      <w:r>
        <w:rPr>
          <w:sz w:val="19"/>
        </w:rPr>
        <w:t>servicing</w:t>
      </w:r>
      <w:r>
        <w:rPr>
          <w:spacing w:val="-2"/>
          <w:sz w:val="19"/>
        </w:rPr>
        <w:t> </w:t>
      </w:r>
      <w:r>
        <w:rPr>
          <w:sz w:val="19"/>
        </w:rPr>
        <w:t>the</w:t>
      </w:r>
      <w:r>
        <w:rPr>
          <w:spacing w:val="-2"/>
          <w:sz w:val="19"/>
        </w:rPr>
        <w:t> </w:t>
      </w:r>
      <w:r>
        <w:rPr>
          <w:sz w:val="19"/>
        </w:rPr>
        <w:t>rear</w:t>
      </w:r>
      <w:r>
        <w:rPr>
          <w:spacing w:val="-3"/>
          <w:sz w:val="19"/>
        </w:rPr>
        <w:t> </w:t>
      </w:r>
      <w:r>
        <w:rPr>
          <w:sz w:val="19"/>
        </w:rPr>
        <w:t>of</w:t>
      </w:r>
      <w:r>
        <w:rPr>
          <w:spacing w:val="-2"/>
          <w:sz w:val="19"/>
        </w:rPr>
        <w:t> </w:t>
      </w:r>
      <w:r>
        <w:rPr>
          <w:sz w:val="19"/>
        </w:rPr>
        <w:t>the</w:t>
      </w:r>
      <w:r>
        <w:rPr>
          <w:spacing w:val="-2"/>
          <w:sz w:val="19"/>
        </w:rPr>
        <w:t> </w:t>
      </w:r>
      <w:r>
        <w:rPr>
          <w:sz w:val="19"/>
        </w:rPr>
        <w:t>main</w:t>
      </w:r>
      <w:r>
        <w:rPr>
          <w:spacing w:val="-49"/>
          <w:sz w:val="19"/>
        </w:rPr>
        <w:t> </w:t>
      </w:r>
      <w:r>
        <w:rPr>
          <w:sz w:val="19"/>
        </w:rPr>
        <w:t>station</w:t>
      </w:r>
      <w:r>
        <w:rPr>
          <w:spacing w:val="-2"/>
          <w:sz w:val="19"/>
        </w:rPr>
        <w:t> </w:t>
      </w:r>
      <w:r>
        <w:rPr>
          <w:sz w:val="19"/>
        </w:rPr>
        <w:t>building (Station</w:t>
      </w:r>
      <w:r>
        <w:rPr>
          <w:spacing w:val="-2"/>
          <w:sz w:val="19"/>
        </w:rPr>
        <w:t> </w:t>
      </w:r>
      <w:r>
        <w:rPr>
          <w:sz w:val="19"/>
        </w:rPr>
        <w:t>Lane)</w:t>
      </w:r>
      <w:r>
        <w:rPr>
          <w:spacing w:val="-1"/>
          <w:sz w:val="19"/>
        </w:rPr>
        <w:t> </w:t>
      </w:r>
      <w:r>
        <w:rPr>
          <w:sz w:val="19"/>
        </w:rPr>
        <w:t>and</w:t>
      </w:r>
      <w:r>
        <w:rPr>
          <w:spacing w:val="-1"/>
          <w:sz w:val="19"/>
        </w:rPr>
        <w:t> </w:t>
      </w:r>
      <w:r>
        <w:rPr>
          <w:sz w:val="19"/>
        </w:rPr>
        <w:t>other</w:t>
      </w:r>
      <w:r>
        <w:rPr>
          <w:spacing w:val="-2"/>
          <w:sz w:val="19"/>
        </w:rPr>
        <w:t> </w:t>
      </w:r>
      <w:r>
        <w:rPr>
          <w:sz w:val="19"/>
        </w:rPr>
        <w:t>servicing</w:t>
      </w:r>
      <w:r>
        <w:rPr>
          <w:spacing w:val="-1"/>
          <w:sz w:val="19"/>
        </w:rPr>
        <w:t> </w:t>
      </w:r>
      <w:r>
        <w:rPr>
          <w:sz w:val="19"/>
        </w:rPr>
        <w:t>the Western</w:t>
      </w:r>
      <w:r>
        <w:rPr>
          <w:spacing w:val="-2"/>
          <w:sz w:val="19"/>
        </w:rPr>
        <w:t> </w:t>
      </w:r>
      <w:r>
        <w:rPr>
          <w:sz w:val="19"/>
        </w:rPr>
        <w:t>Building</w:t>
      </w:r>
      <w:r>
        <w:rPr>
          <w:spacing w:val="1"/>
          <w:sz w:val="19"/>
        </w:rPr>
        <w:t> </w:t>
      </w:r>
      <w:r>
        <w:rPr>
          <w:sz w:val="19"/>
        </w:rPr>
        <w:t>(Fogarty</w:t>
      </w:r>
      <w:r>
        <w:rPr>
          <w:spacing w:val="-1"/>
          <w:sz w:val="19"/>
        </w:rPr>
        <w:t> </w:t>
      </w:r>
      <w:r>
        <w:rPr>
          <w:sz w:val="19"/>
        </w:rPr>
        <w:t>Street)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9" w:after="0"/>
        <w:ind w:left="402" w:right="503" w:hanging="284"/>
        <w:jc w:val="left"/>
        <w:rPr>
          <w:sz w:val="19"/>
        </w:rPr>
      </w:pPr>
      <w:r>
        <w:rPr>
          <w:sz w:val="19"/>
        </w:rPr>
        <w:t>New signalised pedestrian road crossing and updated bicycle paths on the east side of Laurens</w:t>
      </w:r>
      <w:r>
        <w:rPr>
          <w:spacing w:val="-50"/>
          <w:sz w:val="19"/>
        </w:rPr>
        <w:t> </w:t>
      </w:r>
      <w:r>
        <w:rPr>
          <w:sz w:val="19"/>
        </w:rPr>
        <w:t>Street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8" w:after="0"/>
        <w:ind w:left="402" w:right="374" w:hanging="284"/>
        <w:jc w:val="left"/>
        <w:rPr>
          <w:sz w:val="19"/>
        </w:rPr>
      </w:pPr>
      <w:r>
        <w:rPr>
          <w:sz w:val="19"/>
        </w:rPr>
        <w:t>A new separated raised bicycle path on the west side of Laurens Street. Note the majority of the</w:t>
      </w:r>
      <w:r>
        <w:rPr>
          <w:spacing w:val="1"/>
          <w:sz w:val="19"/>
        </w:rPr>
        <w:t> </w:t>
      </w:r>
      <w:r>
        <w:rPr>
          <w:sz w:val="19"/>
        </w:rPr>
        <w:t>bicycle lanes within the CYP extent of works are two metres in width, however this reduces in</w:t>
      </w:r>
      <w:r>
        <w:rPr>
          <w:spacing w:val="1"/>
          <w:sz w:val="19"/>
        </w:rPr>
        <w:t> </w:t>
      </w:r>
      <w:r>
        <w:rPr>
          <w:sz w:val="19"/>
        </w:rPr>
        <w:t>width to 1.5 metres behind kerb along the southbound carriageway of Laurens Street to eliminate</w:t>
      </w:r>
      <w:r>
        <w:rPr>
          <w:spacing w:val="-50"/>
          <w:sz w:val="19"/>
        </w:rPr>
        <w:t> </w:t>
      </w:r>
      <w:r>
        <w:rPr>
          <w:sz w:val="19"/>
        </w:rPr>
        <w:t>dooring</w:t>
      </w:r>
      <w:r>
        <w:rPr>
          <w:spacing w:val="-2"/>
          <w:sz w:val="19"/>
        </w:rPr>
        <w:t> </w:t>
      </w:r>
      <w:r>
        <w:rPr>
          <w:sz w:val="19"/>
        </w:rPr>
        <w:t>issues between</w:t>
      </w:r>
      <w:r>
        <w:rPr>
          <w:spacing w:val="-2"/>
          <w:sz w:val="19"/>
        </w:rPr>
        <w:t> </w:t>
      </w:r>
      <w:r>
        <w:rPr>
          <w:sz w:val="19"/>
        </w:rPr>
        <w:t>the</w:t>
      </w:r>
      <w:r>
        <w:rPr>
          <w:spacing w:val="-2"/>
          <w:sz w:val="19"/>
        </w:rPr>
        <w:t> </w:t>
      </w:r>
      <w:r>
        <w:rPr>
          <w:sz w:val="19"/>
        </w:rPr>
        <w:t>bicycle</w:t>
      </w:r>
      <w:r>
        <w:rPr>
          <w:spacing w:val="-1"/>
          <w:sz w:val="19"/>
        </w:rPr>
        <w:t> </w:t>
      </w:r>
      <w:r>
        <w:rPr>
          <w:sz w:val="19"/>
        </w:rPr>
        <w:t>lane</w:t>
      </w:r>
      <w:r>
        <w:rPr>
          <w:spacing w:val="-1"/>
          <w:sz w:val="19"/>
        </w:rPr>
        <w:t> </w:t>
      </w:r>
      <w:r>
        <w:rPr>
          <w:sz w:val="19"/>
        </w:rPr>
        <w:t>and</w:t>
      </w:r>
      <w:r>
        <w:rPr>
          <w:spacing w:val="-1"/>
          <w:sz w:val="19"/>
        </w:rPr>
        <w:t> </w:t>
      </w:r>
      <w:r>
        <w:rPr>
          <w:sz w:val="19"/>
        </w:rPr>
        <w:t>the</w:t>
      </w:r>
      <w:r>
        <w:rPr>
          <w:spacing w:val="-2"/>
          <w:sz w:val="19"/>
        </w:rPr>
        <w:t> </w:t>
      </w:r>
      <w:r>
        <w:rPr>
          <w:sz w:val="19"/>
        </w:rPr>
        <w:t>taxi</w:t>
      </w:r>
      <w:r>
        <w:rPr>
          <w:spacing w:val="1"/>
          <w:sz w:val="19"/>
        </w:rPr>
        <w:t> </w:t>
      </w:r>
      <w:r>
        <w:rPr>
          <w:sz w:val="19"/>
        </w:rPr>
        <w:t>bays,</w:t>
      </w:r>
      <w:r>
        <w:rPr>
          <w:spacing w:val="-2"/>
          <w:sz w:val="19"/>
        </w:rPr>
        <w:t> </w:t>
      </w:r>
      <w:r>
        <w:rPr>
          <w:sz w:val="19"/>
        </w:rPr>
        <w:t>park</w:t>
      </w:r>
      <w:r>
        <w:rPr>
          <w:spacing w:val="-1"/>
          <w:sz w:val="19"/>
        </w:rPr>
        <w:t> </w:t>
      </w:r>
      <w:r>
        <w:rPr>
          <w:sz w:val="19"/>
        </w:rPr>
        <w:t>and</w:t>
      </w:r>
      <w:r>
        <w:rPr>
          <w:spacing w:val="-1"/>
          <w:sz w:val="19"/>
        </w:rPr>
        <w:t> </w:t>
      </w:r>
      <w:r>
        <w:rPr>
          <w:sz w:val="19"/>
        </w:rPr>
        <w:t>ride</w:t>
      </w:r>
      <w:r>
        <w:rPr>
          <w:spacing w:val="-1"/>
          <w:sz w:val="19"/>
        </w:rPr>
        <w:t> </w:t>
      </w:r>
      <w:r>
        <w:rPr>
          <w:sz w:val="19"/>
        </w:rPr>
        <w:t>bays</w:t>
      </w:r>
      <w:r>
        <w:rPr>
          <w:spacing w:val="-1"/>
          <w:sz w:val="19"/>
        </w:rPr>
        <w:t> </w:t>
      </w:r>
      <w:r>
        <w:rPr>
          <w:sz w:val="19"/>
        </w:rPr>
        <w:t>and</w:t>
      </w:r>
      <w:r>
        <w:rPr>
          <w:spacing w:val="-1"/>
          <w:sz w:val="19"/>
        </w:rPr>
        <w:t> </w:t>
      </w:r>
      <w:r>
        <w:rPr>
          <w:sz w:val="19"/>
        </w:rPr>
        <w:t>the</w:t>
      </w:r>
      <w:r>
        <w:rPr>
          <w:spacing w:val="-3"/>
          <w:sz w:val="19"/>
        </w:rPr>
        <w:t> </w:t>
      </w:r>
      <w:r>
        <w:rPr>
          <w:sz w:val="19"/>
        </w:rPr>
        <w:t>bus bay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0" w:after="0"/>
        <w:ind w:left="402" w:right="358" w:hanging="284"/>
        <w:jc w:val="left"/>
        <w:rPr>
          <w:sz w:val="19"/>
        </w:rPr>
      </w:pPr>
      <w:r>
        <w:rPr>
          <w:sz w:val="19"/>
        </w:rPr>
        <w:t>New grassed areas south of Barwise Street, west and south-west of the Day 1 station entry. Note</w:t>
      </w:r>
      <w:r>
        <w:rPr>
          <w:spacing w:val="-50"/>
          <w:sz w:val="19"/>
        </w:rPr>
        <w:t> </w:t>
      </w:r>
      <w:r>
        <w:rPr>
          <w:sz w:val="19"/>
        </w:rPr>
        <w:t>these areas were proposed as Flood Management Area in the previous Development Plan and</w:t>
      </w:r>
      <w:r>
        <w:rPr>
          <w:spacing w:val="1"/>
          <w:sz w:val="19"/>
        </w:rPr>
        <w:t> </w:t>
      </w:r>
      <w:r>
        <w:rPr>
          <w:sz w:val="19"/>
        </w:rPr>
        <w:t>will</w:t>
      </w:r>
      <w:r>
        <w:rPr>
          <w:spacing w:val="-1"/>
          <w:sz w:val="19"/>
        </w:rPr>
        <w:t> </w:t>
      </w:r>
      <w:r>
        <w:rPr>
          <w:sz w:val="19"/>
        </w:rPr>
        <w:t>not be</w:t>
      </w:r>
      <w:r>
        <w:rPr>
          <w:spacing w:val="-1"/>
          <w:sz w:val="19"/>
        </w:rPr>
        <w:t> </w:t>
      </w:r>
      <w:r>
        <w:rPr>
          <w:sz w:val="19"/>
        </w:rPr>
        <w:t>publicly accessible</w:t>
      </w:r>
      <w:r>
        <w:rPr>
          <w:spacing w:val="2"/>
          <w:sz w:val="19"/>
        </w:rPr>
        <w:t> </w:t>
      </w:r>
      <w:r>
        <w:rPr>
          <w:sz w:val="19"/>
        </w:rPr>
        <w:t>(refer</w:t>
      </w:r>
      <w:r>
        <w:rPr>
          <w:spacing w:val="-1"/>
          <w:sz w:val="19"/>
        </w:rPr>
        <w:t> </w:t>
      </w:r>
      <w:r>
        <w:rPr>
          <w:sz w:val="19"/>
        </w:rPr>
        <w:t>to</w:t>
      </w:r>
      <w:r>
        <w:rPr>
          <w:spacing w:val="-1"/>
          <w:sz w:val="19"/>
        </w:rPr>
        <w:t> </w:t>
      </w:r>
      <w:r>
        <w:rPr>
          <w:sz w:val="19"/>
        </w:rPr>
        <w:t>Section</w:t>
      </w:r>
      <w:r>
        <w:rPr>
          <w:spacing w:val="1"/>
          <w:sz w:val="19"/>
        </w:rPr>
        <w:t> </w:t>
      </w:r>
      <w:hyperlink w:history="true" w:anchor="_bookmark27">
        <w:r>
          <w:rPr>
            <w:sz w:val="19"/>
          </w:rPr>
          <w:t>4.3.2</w:t>
        </w:r>
      </w:hyperlink>
      <w:r>
        <w:rPr>
          <w:sz w:val="19"/>
        </w:rPr>
        <w:t>).</w:t>
      </w:r>
    </w:p>
    <w:p>
      <w:pPr>
        <w:pStyle w:val="BodyText"/>
        <w:spacing w:before="118"/>
        <w:ind w:left="118" w:right="670"/>
      </w:pPr>
      <w:r>
        <w:rPr/>
        <w:t>Arden Station is designed to accommodate potential future over-site development. However, any</w:t>
      </w:r>
      <w:r>
        <w:rPr>
          <w:spacing w:val="-50"/>
        </w:rPr>
        <w:t> </w:t>
      </w:r>
      <w:r>
        <w:rPr/>
        <w:t>future</w:t>
      </w:r>
      <w:r>
        <w:rPr>
          <w:spacing w:val="-2"/>
        </w:rPr>
        <w:t> </w:t>
      </w:r>
      <w:r>
        <w:rPr/>
        <w:t>over-site</w:t>
      </w:r>
      <w:r>
        <w:rPr>
          <w:spacing w:val="-1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will be</w:t>
      </w:r>
      <w:r>
        <w:rPr>
          <w:spacing w:val="-1"/>
        </w:rPr>
        <w:t> </w:t>
      </w:r>
      <w:r>
        <w:rPr/>
        <w:t>subject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separate,</w:t>
      </w:r>
      <w:r>
        <w:rPr>
          <w:spacing w:val="-1"/>
        </w:rPr>
        <w:t> </w:t>
      </w:r>
      <w:r>
        <w:rPr/>
        <w:t>future</w:t>
      </w:r>
      <w:r>
        <w:rPr>
          <w:spacing w:val="-1"/>
        </w:rPr>
        <w:t> </w:t>
      </w:r>
      <w:r>
        <w:rPr/>
        <w:t>planning</w:t>
      </w:r>
      <w:r>
        <w:rPr>
          <w:spacing w:val="-2"/>
        </w:rPr>
        <w:t> </w:t>
      </w:r>
      <w:r>
        <w:rPr/>
        <w:t>process.</w:t>
      </w:r>
    </w:p>
    <w:p>
      <w:pPr>
        <w:pStyle w:val="BodyText"/>
        <w:spacing w:before="120"/>
        <w:ind w:left="118" w:right="511"/>
      </w:pPr>
      <w:r>
        <w:rPr/>
        <w:t>A new traction power intake substation is required. This is covered in the Intake Substation</w:t>
      </w:r>
      <w:r>
        <w:rPr>
          <w:spacing w:val="1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Plan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was approved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Minister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Planning</w:t>
      </w:r>
      <w:r>
        <w:rPr>
          <w:spacing w:val="3"/>
        </w:rPr>
        <w:t> </w:t>
      </w:r>
      <w:r>
        <w:rPr/>
        <w:t>on</w:t>
      </w:r>
      <w:r>
        <w:rPr>
          <w:spacing w:val="-2"/>
        </w:rPr>
        <w:t> </w:t>
      </w:r>
      <w:r>
        <w:rPr/>
        <w:t>Thursday 26</w:t>
      </w:r>
      <w:r>
        <w:rPr>
          <w:spacing w:val="-2"/>
        </w:rPr>
        <w:t> </w:t>
      </w:r>
      <w:r>
        <w:rPr/>
        <w:t>March</w:t>
      </w:r>
      <w:r>
        <w:rPr>
          <w:spacing w:val="-2"/>
        </w:rPr>
        <w:t> </w:t>
      </w:r>
      <w:r>
        <w:rPr/>
        <w:t>2020.</w:t>
      </w:r>
    </w:p>
    <w:p>
      <w:pPr>
        <w:pStyle w:val="BodyText"/>
        <w:spacing w:before="120"/>
        <w:ind w:left="118" w:right="374"/>
      </w:pPr>
      <w:r>
        <w:rPr/>
        <w:t>This Development Plan presents the scope and extent of the built form of CYP’s works for the Arden</w:t>
      </w:r>
      <w:r>
        <w:rPr>
          <w:spacing w:val="-50"/>
        </w:rPr>
        <w:t> </w:t>
      </w:r>
      <w:r>
        <w:rPr/>
        <w:t>Station precinct with associated construction works to occur within the Project Land boundary (refer</w:t>
      </w:r>
      <w:r>
        <w:rPr>
          <w:spacing w:val="1"/>
        </w:rPr>
        <w:t> </w:t>
      </w:r>
      <w:r>
        <w:rPr/>
        <w:t>to plans in </w:t>
      </w:r>
      <w:hyperlink w:history="true" w:anchor="_bookmark0">
        <w:r>
          <w:rPr/>
          <w:t>Appendix A: Arden Station Precinct Site Layout Plan</w:t>
        </w:r>
      </w:hyperlink>
      <w:r>
        <w:rPr/>
        <w:t>) and construction impacts to be</w:t>
      </w:r>
      <w:r>
        <w:rPr>
          <w:spacing w:val="1"/>
        </w:rPr>
        <w:t> </w:t>
      </w:r>
      <w:r>
        <w:rPr/>
        <w:t>managed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accordance</w:t>
      </w:r>
      <w:r>
        <w:rPr>
          <w:spacing w:val="-2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approved</w:t>
      </w:r>
      <w:r>
        <w:rPr>
          <w:spacing w:val="-2"/>
        </w:rPr>
        <w:t> </w:t>
      </w:r>
      <w:r>
        <w:rPr/>
        <w:t>Environmental</w:t>
      </w:r>
      <w:r>
        <w:rPr>
          <w:spacing w:val="-3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Framework</w:t>
      </w:r>
      <w:r>
        <w:rPr>
          <w:spacing w:val="-1"/>
        </w:rPr>
        <w:t> </w:t>
      </w:r>
      <w:r>
        <w:rPr/>
        <w:t>(refer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Section</w:t>
      </w:r>
    </w:p>
    <w:p>
      <w:pPr>
        <w:pStyle w:val="BodyText"/>
        <w:spacing w:line="218" w:lineRule="exact"/>
        <w:ind w:left="118"/>
      </w:pPr>
      <w:hyperlink w:history="true" w:anchor="_bookmark45">
        <w:r>
          <w:rPr/>
          <w:t>4.4</w:t>
        </w:r>
        <w:r>
          <w:rPr>
            <w:spacing w:val="-2"/>
          </w:rPr>
          <w:t> </w:t>
        </w:r>
      </w:hyperlink>
      <w:r>
        <w:rPr/>
        <w:t>and</w:t>
      </w:r>
      <w:r>
        <w:rPr>
          <w:spacing w:val="-1"/>
        </w:rPr>
        <w:t> </w:t>
      </w:r>
      <w:r>
        <w:rPr/>
        <w:t>Appendix</w:t>
      </w:r>
      <w:r>
        <w:rPr>
          <w:spacing w:val="-2"/>
        </w:rPr>
        <w:t> </w:t>
      </w:r>
      <w:r>
        <w:rPr/>
        <w:t>F:</w:t>
      </w:r>
      <w:r>
        <w:rPr>
          <w:spacing w:val="-1"/>
        </w:rPr>
        <w:t> </w:t>
      </w:r>
      <w:r>
        <w:rPr/>
        <w:t>Arden</w:t>
      </w:r>
      <w:r>
        <w:rPr>
          <w:spacing w:val="-1"/>
        </w:rPr>
        <w:t> </w:t>
      </w:r>
      <w:r>
        <w:rPr/>
        <w:t>Station</w:t>
      </w:r>
      <w:r>
        <w:rPr>
          <w:spacing w:val="-1"/>
        </w:rPr>
        <w:t> </w:t>
      </w:r>
      <w:r>
        <w:rPr/>
        <w:t>Precinct</w:t>
      </w:r>
      <w:r>
        <w:rPr>
          <w:spacing w:val="-3"/>
        </w:rPr>
        <w:t> </w:t>
      </w:r>
      <w:r>
        <w:rPr/>
        <w:t>Environmental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Requirements assessment).</w:t>
      </w:r>
    </w:p>
    <w:p>
      <w:pPr>
        <w:pStyle w:val="BodyText"/>
        <w:spacing w:line="242" w:lineRule="auto" w:before="120"/>
        <w:ind w:left="118" w:right="522"/>
      </w:pPr>
      <w:r>
        <w:rPr/>
        <w:t>The</w:t>
      </w:r>
      <w:r>
        <w:rPr>
          <w:spacing w:val="-3"/>
        </w:rPr>
        <w:t> </w:t>
      </w:r>
      <w:r>
        <w:rPr/>
        <w:t>Arden</w:t>
      </w:r>
      <w:r>
        <w:rPr>
          <w:spacing w:val="-2"/>
        </w:rPr>
        <w:t> </w:t>
      </w:r>
      <w:r>
        <w:rPr/>
        <w:t>Station</w:t>
      </w:r>
      <w:r>
        <w:rPr>
          <w:spacing w:val="-2"/>
        </w:rPr>
        <w:t> </w:t>
      </w:r>
      <w:r>
        <w:rPr/>
        <w:t>precinct</w:t>
      </w:r>
      <w:r>
        <w:rPr>
          <w:spacing w:val="-2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works</w:t>
      </w:r>
      <w:r>
        <w:rPr>
          <w:spacing w:val="-2"/>
        </w:rPr>
        <w:t> </w:t>
      </w:r>
      <w:r>
        <w:rPr/>
        <w:t>area</w:t>
      </w:r>
      <w:r>
        <w:rPr>
          <w:spacing w:val="-3"/>
        </w:rPr>
        <w:t> </w:t>
      </w:r>
      <w:r>
        <w:rPr/>
        <w:t>generally</w:t>
      </w:r>
      <w:r>
        <w:rPr>
          <w:spacing w:val="-4"/>
        </w:rPr>
        <w:t> </w:t>
      </w:r>
      <w:r>
        <w:rPr/>
        <w:t>includes</w:t>
      </w:r>
      <w:r>
        <w:rPr>
          <w:spacing w:val="-1"/>
        </w:rPr>
        <w:t> </w:t>
      </w:r>
      <w:r>
        <w:rPr/>
        <w:t>land</w:t>
      </w:r>
      <w:r>
        <w:rPr>
          <w:spacing w:val="-2"/>
        </w:rPr>
        <w:t> </w:t>
      </w:r>
      <w:r>
        <w:rPr/>
        <w:t>south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Barwise</w:t>
      </w:r>
      <w:r>
        <w:rPr>
          <w:spacing w:val="-2"/>
        </w:rPr>
        <w:t> </w:t>
      </w:r>
      <w:r>
        <w:rPr/>
        <w:t>Street,</w:t>
      </w:r>
      <w:r>
        <w:rPr>
          <w:spacing w:val="-50"/>
        </w:rPr>
        <w:t> </w:t>
      </w:r>
      <w:r>
        <w:rPr/>
        <w:t>east and north of the rail reserve and west of Laurens Street. The associated works area also</w:t>
      </w:r>
      <w:r>
        <w:rPr>
          <w:spacing w:val="1"/>
        </w:rPr>
        <w:t> </w:t>
      </w:r>
      <w:r>
        <w:rPr/>
        <w:t>includes</w:t>
      </w:r>
      <w:r>
        <w:rPr>
          <w:spacing w:val="-1"/>
        </w:rPr>
        <w:t> </w:t>
      </w:r>
      <w:r>
        <w:rPr/>
        <w:t>the following</w:t>
      </w:r>
      <w:r>
        <w:rPr>
          <w:spacing w:val="-1"/>
        </w:rPr>
        <w:t> </w:t>
      </w:r>
      <w:r>
        <w:rPr/>
        <w:t>road</w:t>
      </w:r>
      <w:r>
        <w:rPr>
          <w:spacing w:val="-1"/>
        </w:rPr>
        <w:t> </w:t>
      </w:r>
      <w:r>
        <w:rPr/>
        <w:t>reserves: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8" w:after="0"/>
        <w:ind w:left="402" w:right="0" w:hanging="285"/>
        <w:jc w:val="left"/>
        <w:rPr>
          <w:sz w:val="19"/>
        </w:rPr>
      </w:pPr>
      <w:r>
        <w:rPr>
          <w:sz w:val="19"/>
        </w:rPr>
        <w:t>Barwise</w:t>
      </w:r>
      <w:r>
        <w:rPr>
          <w:spacing w:val="-3"/>
          <w:sz w:val="19"/>
        </w:rPr>
        <w:t> </w:t>
      </w:r>
      <w:r>
        <w:rPr>
          <w:sz w:val="19"/>
        </w:rPr>
        <w:t>Street</w:t>
      </w:r>
      <w:r>
        <w:rPr>
          <w:spacing w:val="-3"/>
          <w:sz w:val="19"/>
        </w:rPr>
        <w:t> </w:t>
      </w:r>
      <w:r>
        <w:rPr>
          <w:sz w:val="19"/>
        </w:rPr>
        <w:t>(entirety)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7" w:after="0"/>
        <w:ind w:left="402" w:right="0" w:hanging="285"/>
        <w:jc w:val="left"/>
        <w:rPr>
          <w:sz w:val="19"/>
        </w:rPr>
      </w:pPr>
      <w:r>
        <w:rPr>
          <w:sz w:val="19"/>
        </w:rPr>
        <w:t>Laurens</w:t>
      </w:r>
      <w:r>
        <w:rPr>
          <w:spacing w:val="-2"/>
          <w:sz w:val="19"/>
        </w:rPr>
        <w:t> </w:t>
      </w:r>
      <w:r>
        <w:rPr>
          <w:sz w:val="19"/>
        </w:rPr>
        <w:t>Street</w:t>
      </w:r>
      <w:r>
        <w:rPr>
          <w:spacing w:val="-3"/>
          <w:sz w:val="19"/>
        </w:rPr>
        <w:t> </w:t>
      </w:r>
      <w:r>
        <w:rPr>
          <w:sz w:val="19"/>
        </w:rPr>
        <w:t>from</w:t>
      </w:r>
      <w:r>
        <w:rPr>
          <w:spacing w:val="-2"/>
          <w:sz w:val="19"/>
        </w:rPr>
        <w:t> </w:t>
      </w:r>
      <w:r>
        <w:rPr>
          <w:sz w:val="19"/>
        </w:rPr>
        <w:t>approximately</w:t>
      </w:r>
      <w:r>
        <w:rPr>
          <w:spacing w:val="-2"/>
          <w:sz w:val="19"/>
        </w:rPr>
        <w:t> </w:t>
      </w:r>
      <w:r>
        <w:rPr>
          <w:sz w:val="19"/>
        </w:rPr>
        <w:t>Weston</w:t>
      </w:r>
      <w:r>
        <w:rPr>
          <w:spacing w:val="-4"/>
          <w:sz w:val="19"/>
        </w:rPr>
        <w:t> </w:t>
      </w:r>
      <w:r>
        <w:rPr>
          <w:sz w:val="19"/>
        </w:rPr>
        <w:t>Milling</w:t>
      </w:r>
      <w:r>
        <w:rPr>
          <w:spacing w:val="-3"/>
          <w:sz w:val="19"/>
        </w:rPr>
        <w:t> </w:t>
      </w:r>
      <w:r>
        <w:rPr>
          <w:sz w:val="19"/>
        </w:rPr>
        <w:t>to</w:t>
      </w:r>
      <w:r>
        <w:rPr>
          <w:spacing w:val="-2"/>
          <w:sz w:val="19"/>
        </w:rPr>
        <w:t> </w:t>
      </w:r>
      <w:r>
        <w:rPr>
          <w:sz w:val="19"/>
        </w:rPr>
        <w:t>Arden</w:t>
      </w:r>
      <w:r>
        <w:rPr>
          <w:spacing w:val="-3"/>
          <w:sz w:val="19"/>
        </w:rPr>
        <w:t> </w:t>
      </w:r>
      <w:r>
        <w:rPr>
          <w:sz w:val="19"/>
        </w:rPr>
        <w:t>Street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8" w:after="0"/>
        <w:ind w:left="402" w:right="0" w:hanging="285"/>
        <w:jc w:val="left"/>
        <w:rPr>
          <w:sz w:val="19"/>
        </w:rPr>
      </w:pPr>
      <w:r>
        <w:rPr>
          <w:sz w:val="19"/>
        </w:rPr>
        <w:t>Queensberry</w:t>
      </w:r>
      <w:r>
        <w:rPr>
          <w:spacing w:val="-2"/>
          <w:sz w:val="19"/>
        </w:rPr>
        <w:t> </w:t>
      </w:r>
      <w:r>
        <w:rPr>
          <w:sz w:val="19"/>
        </w:rPr>
        <w:t>Street</w:t>
      </w:r>
      <w:r>
        <w:rPr>
          <w:spacing w:val="-3"/>
          <w:sz w:val="19"/>
        </w:rPr>
        <w:t> </w:t>
      </w:r>
      <w:r>
        <w:rPr>
          <w:sz w:val="19"/>
        </w:rPr>
        <w:t>from</w:t>
      </w:r>
      <w:r>
        <w:rPr>
          <w:spacing w:val="-2"/>
          <w:sz w:val="19"/>
        </w:rPr>
        <w:t> </w:t>
      </w:r>
      <w:r>
        <w:rPr>
          <w:sz w:val="19"/>
        </w:rPr>
        <w:t>Laurens</w:t>
      </w:r>
      <w:r>
        <w:rPr>
          <w:spacing w:val="-1"/>
          <w:sz w:val="19"/>
        </w:rPr>
        <w:t> </w:t>
      </w:r>
      <w:r>
        <w:rPr>
          <w:sz w:val="19"/>
        </w:rPr>
        <w:t>Street</w:t>
      </w:r>
      <w:r>
        <w:rPr>
          <w:spacing w:val="-3"/>
          <w:sz w:val="19"/>
        </w:rPr>
        <w:t> </w:t>
      </w:r>
      <w:r>
        <w:rPr>
          <w:sz w:val="19"/>
        </w:rPr>
        <w:t>to</w:t>
      </w:r>
      <w:r>
        <w:rPr>
          <w:spacing w:val="-3"/>
          <w:sz w:val="19"/>
        </w:rPr>
        <w:t> </w:t>
      </w:r>
      <w:r>
        <w:rPr>
          <w:sz w:val="19"/>
        </w:rPr>
        <w:t>Munster</w:t>
      </w:r>
      <w:r>
        <w:rPr>
          <w:spacing w:val="-3"/>
          <w:sz w:val="19"/>
        </w:rPr>
        <w:t> </w:t>
      </w:r>
      <w:r>
        <w:rPr>
          <w:sz w:val="19"/>
        </w:rPr>
        <w:t>Terrace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0" w:after="0"/>
        <w:ind w:left="402" w:right="0" w:hanging="285"/>
        <w:jc w:val="left"/>
        <w:rPr>
          <w:sz w:val="19"/>
        </w:rPr>
      </w:pPr>
      <w:r>
        <w:rPr>
          <w:sz w:val="19"/>
        </w:rPr>
        <w:t>Arden</w:t>
      </w:r>
      <w:r>
        <w:rPr>
          <w:spacing w:val="-2"/>
          <w:sz w:val="19"/>
        </w:rPr>
        <w:t> </w:t>
      </w:r>
      <w:r>
        <w:rPr>
          <w:sz w:val="19"/>
        </w:rPr>
        <w:t>Street</w:t>
      </w:r>
      <w:r>
        <w:rPr>
          <w:spacing w:val="-3"/>
          <w:sz w:val="19"/>
        </w:rPr>
        <w:t> </w:t>
      </w:r>
      <w:r>
        <w:rPr>
          <w:sz w:val="19"/>
        </w:rPr>
        <w:t>from</w:t>
      </w:r>
      <w:r>
        <w:rPr>
          <w:spacing w:val="-1"/>
          <w:sz w:val="19"/>
        </w:rPr>
        <w:t> </w:t>
      </w:r>
      <w:r>
        <w:rPr>
          <w:sz w:val="19"/>
        </w:rPr>
        <w:t>Lloyd</w:t>
      </w:r>
      <w:r>
        <w:rPr>
          <w:spacing w:val="-3"/>
          <w:sz w:val="19"/>
        </w:rPr>
        <w:t> </w:t>
      </w:r>
      <w:r>
        <w:rPr>
          <w:sz w:val="19"/>
        </w:rPr>
        <w:t>Street</w:t>
      </w:r>
      <w:r>
        <w:rPr>
          <w:spacing w:val="-2"/>
          <w:sz w:val="19"/>
        </w:rPr>
        <w:t> </w:t>
      </w:r>
      <w:r>
        <w:rPr>
          <w:sz w:val="19"/>
        </w:rPr>
        <w:t>to</w:t>
      </w:r>
      <w:r>
        <w:rPr>
          <w:spacing w:val="-2"/>
          <w:sz w:val="19"/>
        </w:rPr>
        <w:t> </w:t>
      </w:r>
      <w:r>
        <w:rPr>
          <w:sz w:val="19"/>
        </w:rPr>
        <w:t>Langford</w:t>
      </w:r>
      <w:r>
        <w:rPr>
          <w:spacing w:val="-3"/>
          <w:sz w:val="19"/>
        </w:rPr>
        <w:t> </w:t>
      </w:r>
      <w:r>
        <w:rPr>
          <w:sz w:val="19"/>
        </w:rPr>
        <w:t>Street.</w:t>
      </w:r>
    </w:p>
    <w:p>
      <w:pPr>
        <w:pStyle w:val="BodyText"/>
        <w:spacing w:before="116"/>
        <w:ind w:left="118" w:right="342"/>
      </w:pPr>
      <w:r>
        <w:rPr/>
        <w:t>This associated works area is shown on the plan included in </w:t>
      </w:r>
      <w:hyperlink w:history="true" w:anchor="_bookmark0">
        <w:r>
          <w:rPr/>
          <w:t>Appendix A: Arden Station Precinct Site</w:t>
        </w:r>
      </w:hyperlink>
      <w:r>
        <w:rPr>
          <w:spacing w:val="-50"/>
        </w:rPr>
        <w:t> </w:t>
      </w:r>
      <w:hyperlink w:history="true" w:anchor="_bookmark0">
        <w:r>
          <w:rPr/>
          <w:t>Layout</w:t>
        </w:r>
        <w:r>
          <w:rPr>
            <w:spacing w:val="-1"/>
          </w:rPr>
          <w:t> </w:t>
        </w:r>
        <w:r>
          <w:rPr/>
          <w:t>Plan.</w:t>
        </w:r>
      </w:hyperlink>
    </w:p>
    <w:p>
      <w:pPr>
        <w:pStyle w:val="BodyText"/>
        <w:spacing w:before="120"/>
        <w:ind w:left="118" w:right="628"/>
      </w:pPr>
      <w:r>
        <w:rPr/>
        <w:t>As considered in the EES, the nature of works within the Arden Station precinct associated works</w:t>
      </w:r>
      <w:r>
        <w:rPr>
          <w:spacing w:val="-50"/>
        </w:rPr>
        <w:t> </w:t>
      </w:r>
      <w:r>
        <w:rPr/>
        <w:t>area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change</w:t>
      </w:r>
      <w:r>
        <w:rPr>
          <w:spacing w:val="-1"/>
        </w:rPr>
        <w:t> </w:t>
      </w:r>
      <w:r>
        <w:rPr/>
        <w:t>over</w:t>
      </w:r>
      <w:r>
        <w:rPr>
          <w:spacing w:val="-2"/>
        </w:rPr>
        <w:t> </w:t>
      </w:r>
      <w:r>
        <w:rPr/>
        <w:t>time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characterised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CYP</w:t>
      </w:r>
      <w:r>
        <w:rPr>
          <w:spacing w:val="-1"/>
        </w:rPr>
        <w:t> </w:t>
      </w:r>
      <w:r>
        <w:rPr/>
        <w:t>activities:</w:t>
      </w:r>
    </w:p>
    <w:p>
      <w:pPr>
        <w:spacing w:after="0"/>
        <w:sectPr>
          <w:pgSz w:w="11910" w:h="16840"/>
          <w:pgMar w:header="940" w:footer="445" w:top="1920" w:bottom="640" w:left="130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00" w:after="0"/>
        <w:ind w:left="402" w:right="326" w:hanging="284"/>
        <w:jc w:val="left"/>
        <w:rPr>
          <w:sz w:val="19"/>
        </w:rPr>
      </w:pPr>
      <w:r>
        <w:rPr>
          <w:sz w:val="19"/>
        </w:rPr>
        <w:t>Site establishment: Site establishment at Arden includes set-up of site offices and staff amenities,</w:t>
      </w:r>
      <w:r>
        <w:rPr>
          <w:spacing w:val="-50"/>
          <w:sz w:val="19"/>
        </w:rPr>
        <w:t> </w:t>
      </w:r>
      <w:r>
        <w:rPr>
          <w:sz w:val="19"/>
        </w:rPr>
        <w:t>laydown areas, and plant and equipment required for managing and receiving tunnelling spoil (i.e.</w:t>
      </w:r>
      <w:r>
        <w:rPr>
          <w:spacing w:val="-50"/>
          <w:sz w:val="19"/>
        </w:rPr>
        <w:t> </w:t>
      </w:r>
      <w:r>
        <w:rPr>
          <w:sz w:val="19"/>
        </w:rPr>
        <w:t>batch</w:t>
      </w:r>
      <w:r>
        <w:rPr>
          <w:spacing w:val="1"/>
          <w:sz w:val="19"/>
        </w:rPr>
        <w:t> </w:t>
      </w:r>
      <w:r>
        <w:rPr>
          <w:sz w:val="19"/>
        </w:rPr>
        <w:t>plant</w:t>
      </w:r>
      <w:r>
        <w:rPr>
          <w:spacing w:val="1"/>
          <w:sz w:val="19"/>
        </w:rPr>
        <w:t> </w:t>
      </w:r>
      <w:r>
        <w:rPr>
          <w:sz w:val="19"/>
        </w:rPr>
        <w:t>and</w:t>
      </w:r>
      <w:r>
        <w:rPr>
          <w:spacing w:val="1"/>
          <w:sz w:val="19"/>
        </w:rPr>
        <w:t> </w:t>
      </w:r>
      <w:r>
        <w:rPr>
          <w:sz w:val="19"/>
        </w:rPr>
        <w:t>separation</w:t>
      </w:r>
      <w:r>
        <w:rPr>
          <w:spacing w:val="1"/>
          <w:sz w:val="19"/>
        </w:rPr>
        <w:t> </w:t>
      </w:r>
      <w:r>
        <w:rPr>
          <w:sz w:val="19"/>
        </w:rPr>
        <w:t>plants,</w:t>
      </w:r>
      <w:r>
        <w:rPr>
          <w:spacing w:val="1"/>
          <w:sz w:val="19"/>
        </w:rPr>
        <w:t> </w:t>
      </w:r>
      <w:r>
        <w:rPr>
          <w:sz w:val="19"/>
        </w:rPr>
        <w:t>compressor</w:t>
      </w:r>
      <w:r>
        <w:rPr>
          <w:spacing w:val="2"/>
          <w:sz w:val="19"/>
        </w:rPr>
        <w:t> </w:t>
      </w:r>
      <w:r>
        <w:rPr>
          <w:sz w:val="19"/>
        </w:rPr>
        <w:t>station,</w:t>
      </w:r>
      <w:r>
        <w:rPr>
          <w:spacing w:val="1"/>
          <w:sz w:val="19"/>
        </w:rPr>
        <w:t> </w:t>
      </w:r>
      <w:r>
        <w:rPr>
          <w:sz w:val="19"/>
        </w:rPr>
        <w:t>water</w:t>
      </w:r>
      <w:r>
        <w:rPr>
          <w:spacing w:val="1"/>
          <w:sz w:val="19"/>
        </w:rPr>
        <w:t> </w:t>
      </w:r>
      <w:r>
        <w:rPr>
          <w:sz w:val="19"/>
        </w:rPr>
        <w:t>treatment</w:t>
      </w:r>
      <w:r>
        <w:rPr>
          <w:spacing w:val="1"/>
          <w:sz w:val="19"/>
        </w:rPr>
        <w:t> </w:t>
      </w:r>
      <w:r>
        <w:rPr>
          <w:sz w:val="19"/>
        </w:rPr>
        <w:t>plant,</w:t>
      </w:r>
      <w:r>
        <w:rPr>
          <w:spacing w:val="2"/>
          <w:sz w:val="19"/>
        </w:rPr>
        <w:t> </w:t>
      </w:r>
      <w:r>
        <w:rPr>
          <w:sz w:val="19"/>
        </w:rPr>
        <w:t>muck</w:t>
      </w:r>
      <w:r>
        <w:rPr>
          <w:spacing w:val="2"/>
          <w:sz w:val="19"/>
        </w:rPr>
        <w:t> </w:t>
      </w:r>
      <w:r>
        <w:rPr>
          <w:sz w:val="19"/>
        </w:rPr>
        <w:t>bins</w:t>
      </w:r>
      <w:r>
        <w:rPr>
          <w:spacing w:val="3"/>
          <w:sz w:val="19"/>
        </w:rPr>
        <w:t> </w:t>
      </w:r>
      <w:r>
        <w:rPr>
          <w:sz w:val="19"/>
        </w:rPr>
        <w:t>and</w:t>
      </w:r>
      <w:r>
        <w:rPr>
          <w:spacing w:val="1"/>
          <w:sz w:val="19"/>
        </w:rPr>
        <w:t> </w:t>
      </w:r>
      <w:r>
        <w:rPr>
          <w:sz w:val="19"/>
        </w:rPr>
        <w:t>muck loading facilities, fabrication sheds). Provision for flood water storage and tunnel air</w:t>
      </w:r>
      <w:r>
        <w:rPr>
          <w:spacing w:val="1"/>
          <w:sz w:val="19"/>
        </w:rPr>
        <w:t> </w:t>
      </w:r>
      <w:r>
        <w:rPr>
          <w:sz w:val="19"/>
        </w:rPr>
        <w:t>ventilation and extraction plant would also be located on site. The TBM launch site support</w:t>
      </w:r>
      <w:r>
        <w:rPr>
          <w:spacing w:val="1"/>
          <w:sz w:val="19"/>
        </w:rPr>
        <w:t> </w:t>
      </w:r>
      <w:r>
        <w:rPr>
          <w:sz w:val="19"/>
        </w:rPr>
        <w:t>services will include grouting plant, gantry cranes, spoil handling system, water treatment plant</w:t>
      </w:r>
      <w:r>
        <w:rPr>
          <w:spacing w:val="1"/>
          <w:sz w:val="19"/>
        </w:rPr>
        <w:t> </w:t>
      </w:r>
      <w:r>
        <w:rPr>
          <w:sz w:val="19"/>
        </w:rPr>
        <w:t>and</w:t>
      </w:r>
      <w:r>
        <w:rPr>
          <w:spacing w:val="-1"/>
          <w:sz w:val="19"/>
        </w:rPr>
        <w:t> </w:t>
      </w:r>
      <w:r>
        <w:rPr>
          <w:sz w:val="19"/>
        </w:rPr>
        <w:t>facilities</w:t>
      </w:r>
      <w:r>
        <w:rPr>
          <w:spacing w:val="1"/>
          <w:sz w:val="19"/>
        </w:rPr>
        <w:t> </w:t>
      </w:r>
      <w:r>
        <w:rPr>
          <w:sz w:val="19"/>
        </w:rPr>
        <w:t>to</w:t>
      </w:r>
      <w:r>
        <w:rPr>
          <w:spacing w:val="-1"/>
          <w:sz w:val="19"/>
        </w:rPr>
        <w:t> </w:t>
      </w:r>
      <w:r>
        <w:rPr>
          <w:sz w:val="19"/>
        </w:rPr>
        <w:t>assemble</w:t>
      </w:r>
      <w:r>
        <w:rPr>
          <w:spacing w:val="-1"/>
          <w:sz w:val="19"/>
        </w:rPr>
        <w:t> </w:t>
      </w:r>
      <w:r>
        <w:rPr>
          <w:sz w:val="19"/>
        </w:rPr>
        <w:t>the</w:t>
      </w:r>
      <w:r>
        <w:rPr>
          <w:spacing w:val="-2"/>
          <w:sz w:val="19"/>
        </w:rPr>
        <w:t> </w:t>
      </w:r>
      <w:r>
        <w:rPr>
          <w:sz w:val="19"/>
        </w:rPr>
        <w:t>TBM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0" w:after="0"/>
        <w:ind w:left="402" w:right="610" w:hanging="284"/>
        <w:jc w:val="left"/>
        <w:rPr>
          <w:sz w:val="19"/>
        </w:rPr>
      </w:pPr>
      <w:r>
        <w:rPr>
          <w:sz w:val="19"/>
        </w:rPr>
        <w:t>Civil / Structural: Piling (diaphragm walls) and excavation of the station box at Arden will be</w:t>
      </w:r>
      <w:r>
        <w:rPr>
          <w:spacing w:val="1"/>
          <w:sz w:val="19"/>
        </w:rPr>
        <w:t> </w:t>
      </w:r>
      <w:r>
        <w:rPr>
          <w:sz w:val="19"/>
        </w:rPr>
        <w:t>undertaken using a bottom-up, cut and cover method. The station will be constructed from the</w:t>
      </w:r>
      <w:r>
        <w:rPr>
          <w:spacing w:val="-50"/>
          <w:sz w:val="19"/>
        </w:rPr>
        <w:t> </w:t>
      </w:r>
      <w:r>
        <w:rPr>
          <w:sz w:val="19"/>
        </w:rPr>
        <w:t>base slab upwards, eventually restoring the surface above the excavation. During this process</w:t>
      </w:r>
      <w:r>
        <w:rPr>
          <w:spacing w:val="-50"/>
          <w:sz w:val="19"/>
        </w:rPr>
        <w:t> </w:t>
      </w:r>
      <w:r>
        <w:rPr>
          <w:sz w:val="19"/>
        </w:rPr>
        <w:t>sections of the station box excavation will be used to launch the TBM. The final phase of this</w:t>
      </w:r>
      <w:r>
        <w:rPr>
          <w:spacing w:val="1"/>
          <w:sz w:val="19"/>
        </w:rPr>
        <w:t> </w:t>
      </w:r>
      <w:r>
        <w:rPr>
          <w:sz w:val="19"/>
        </w:rPr>
        <w:t>stage includes associated road works, including tram works and bike and pedestrian</w:t>
      </w:r>
      <w:r>
        <w:rPr>
          <w:spacing w:val="1"/>
          <w:sz w:val="19"/>
        </w:rPr>
        <w:t> </w:t>
      </w:r>
      <w:r>
        <w:rPr>
          <w:sz w:val="19"/>
        </w:rPr>
        <w:t>infrastructure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8" w:after="0"/>
        <w:ind w:left="402" w:right="404" w:hanging="284"/>
        <w:jc w:val="left"/>
        <w:rPr>
          <w:sz w:val="19"/>
        </w:rPr>
      </w:pPr>
      <w:r>
        <w:rPr>
          <w:sz w:val="19"/>
        </w:rPr>
        <w:t>Fit out: This phase of the Project includes the fit out of station infrastructure, surface and</w:t>
      </w:r>
      <w:r>
        <w:rPr>
          <w:spacing w:val="1"/>
          <w:sz w:val="19"/>
        </w:rPr>
        <w:t> </w:t>
      </w:r>
      <w:r>
        <w:rPr>
          <w:sz w:val="19"/>
        </w:rPr>
        <w:t>subsurface levels, including ticket halls, station platforms, passenger access, emergency egress,</w:t>
      </w:r>
      <w:r>
        <w:rPr>
          <w:spacing w:val="-51"/>
          <w:sz w:val="19"/>
        </w:rPr>
        <w:t> </w:t>
      </w:r>
      <w:r>
        <w:rPr>
          <w:sz w:val="19"/>
        </w:rPr>
        <w:t>ventilation and smoke controls, staff rooms and equipment rooms. This stage of the Project also</w:t>
      </w:r>
      <w:r>
        <w:rPr>
          <w:spacing w:val="1"/>
          <w:sz w:val="19"/>
        </w:rPr>
        <w:t> </w:t>
      </w:r>
      <w:r>
        <w:rPr>
          <w:sz w:val="19"/>
        </w:rPr>
        <w:t>includes</w:t>
      </w:r>
      <w:r>
        <w:rPr>
          <w:spacing w:val="-1"/>
          <w:sz w:val="19"/>
        </w:rPr>
        <w:t> </w:t>
      </w:r>
      <w:r>
        <w:rPr>
          <w:sz w:val="19"/>
        </w:rPr>
        <w:t>the landscaping</w:t>
      </w:r>
      <w:r>
        <w:rPr>
          <w:spacing w:val="-1"/>
          <w:sz w:val="19"/>
        </w:rPr>
        <w:t> </w:t>
      </w:r>
      <w:r>
        <w:rPr>
          <w:sz w:val="19"/>
        </w:rPr>
        <w:t>of</w:t>
      </w:r>
      <w:r>
        <w:rPr>
          <w:spacing w:val="-1"/>
          <w:sz w:val="19"/>
        </w:rPr>
        <w:t> </w:t>
      </w:r>
      <w:r>
        <w:rPr>
          <w:sz w:val="19"/>
        </w:rPr>
        <w:t>the</w:t>
      </w:r>
      <w:r>
        <w:rPr>
          <w:spacing w:val="-1"/>
          <w:sz w:val="19"/>
        </w:rPr>
        <w:t> </w:t>
      </w:r>
      <w:r>
        <w:rPr>
          <w:sz w:val="19"/>
        </w:rPr>
        <w:t>station</w:t>
      </w:r>
      <w:r>
        <w:rPr>
          <w:spacing w:val="-1"/>
          <w:sz w:val="19"/>
        </w:rPr>
        <w:t> </w:t>
      </w:r>
      <w:r>
        <w:rPr>
          <w:sz w:val="19"/>
        </w:rPr>
        <w:t>precinct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9" w:after="0"/>
        <w:ind w:left="402" w:right="571" w:hanging="284"/>
        <w:jc w:val="left"/>
        <w:rPr>
          <w:sz w:val="19"/>
        </w:rPr>
      </w:pPr>
      <w:r>
        <w:rPr>
          <w:sz w:val="19"/>
        </w:rPr>
        <w:t>Mechanical, Electrical and Process: This phase of the Project includes the installation of power</w:t>
      </w:r>
      <w:r>
        <w:rPr>
          <w:spacing w:val="-50"/>
          <w:sz w:val="19"/>
        </w:rPr>
        <w:t> </w:t>
      </w:r>
      <w:r>
        <w:rPr>
          <w:sz w:val="19"/>
        </w:rPr>
        <w:t>and</w:t>
      </w:r>
      <w:r>
        <w:rPr>
          <w:spacing w:val="-1"/>
          <w:sz w:val="19"/>
        </w:rPr>
        <w:t> </w:t>
      </w:r>
      <w:r>
        <w:rPr>
          <w:sz w:val="19"/>
        </w:rPr>
        <w:t>electrical infrastructure</w:t>
      </w:r>
      <w:r>
        <w:rPr>
          <w:spacing w:val="-1"/>
          <w:sz w:val="19"/>
        </w:rPr>
        <w:t> </w:t>
      </w:r>
      <w:r>
        <w:rPr>
          <w:sz w:val="19"/>
        </w:rPr>
        <w:t>to</w:t>
      </w:r>
      <w:r>
        <w:rPr>
          <w:spacing w:val="-1"/>
          <w:sz w:val="19"/>
        </w:rPr>
        <w:t> </w:t>
      </w:r>
      <w:r>
        <w:rPr>
          <w:sz w:val="19"/>
        </w:rPr>
        <w:t>the station</w:t>
      </w:r>
      <w:r>
        <w:rPr>
          <w:spacing w:val="-2"/>
          <w:sz w:val="19"/>
        </w:rPr>
        <w:t> </w:t>
      </w:r>
      <w:r>
        <w:rPr>
          <w:sz w:val="19"/>
        </w:rPr>
        <w:t>and</w:t>
      </w:r>
      <w:r>
        <w:rPr>
          <w:spacing w:val="-1"/>
          <w:sz w:val="19"/>
        </w:rPr>
        <w:t> </w:t>
      </w:r>
      <w:r>
        <w:rPr>
          <w:sz w:val="19"/>
        </w:rPr>
        <w:t>platforms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8" w:after="0"/>
        <w:ind w:left="402" w:right="627" w:hanging="284"/>
        <w:jc w:val="both"/>
        <w:rPr>
          <w:sz w:val="19"/>
        </w:rPr>
      </w:pPr>
      <w:r>
        <w:rPr>
          <w:sz w:val="19"/>
        </w:rPr>
        <w:t>Testing and commissioning: These works ensure that all new station infrastructure, from ticket</w:t>
      </w:r>
      <w:r>
        <w:rPr>
          <w:spacing w:val="-50"/>
          <w:sz w:val="19"/>
        </w:rPr>
        <w:t> </w:t>
      </w:r>
      <w:r>
        <w:rPr>
          <w:sz w:val="19"/>
        </w:rPr>
        <w:t>gates and vertical transport to signalling and rolling stock (by others) meet the requirements of</w:t>
      </w:r>
      <w:r>
        <w:rPr>
          <w:spacing w:val="-51"/>
          <w:sz w:val="19"/>
        </w:rPr>
        <w:t> </w:t>
      </w:r>
      <w:r>
        <w:rPr>
          <w:sz w:val="19"/>
        </w:rPr>
        <w:t>Victorian</w:t>
      </w:r>
      <w:r>
        <w:rPr>
          <w:spacing w:val="-2"/>
          <w:sz w:val="19"/>
        </w:rPr>
        <w:t> </w:t>
      </w:r>
      <w:r>
        <w:rPr>
          <w:sz w:val="19"/>
        </w:rPr>
        <w:t>Rail Safety</w:t>
      </w:r>
      <w:r>
        <w:rPr>
          <w:spacing w:val="-1"/>
          <w:sz w:val="19"/>
        </w:rPr>
        <w:t> </w:t>
      </w:r>
      <w:r>
        <w:rPr>
          <w:sz w:val="19"/>
        </w:rPr>
        <w:t>legislation</w:t>
      </w:r>
      <w:r>
        <w:rPr>
          <w:spacing w:val="-1"/>
          <w:sz w:val="19"/>
        </w:rPr>
        <w:t> </w:t>
      </w:r>
      <w:r>
        <w:rPr>
          <w:sz w:val="19"/>
        </w:rPr>
        <w:t>and</w:t>
      </w:r>
      <w:r>
        <w:rPr>
          <w:spacing w:val="-1"/>
          <w:sz w:val="19"/>
        </w:rPr>
        <w:t> </w:t>
      </w:r>
      <w:r>
        <w:rPr>
          <w:sz w:val="19"/>
        </w:rPr>
        <w:t>is</w:t>
      </w:r>
      <w:r>
        <w:rPr>
          <w:spacing w:val="-1"/>
          <w:sz w:val="19"/>
        </w:rPr>
        <w:t> </w:t>
      </w:r>
      <w:r>
        <w:rPr>
          <w:sz w:val="19"/>
        </w:rPr>
        <w:t>fit</w:t>
      </w:r>
      <w:r>
        <w:rPr>
          <w:spacing w:val="-1"/>
          <w:sz w:val="19"/>
        </w:rPr>
        <w:t> </w:t>
      </w:r>
      <w:r>
        <w:rPr>
          <w:sz w:val="19"/>
        </w:rPr>
        <w:t>for</w:t>
      </w:r>
      <w:r>
        <w:rPr>
          <w:spacing w:val="-1"/>
          <w:sz w:val="19"/>
        </w:rPr>
        <w:t> </w:t>
      </w:r>
      <w:r>
        <w:rPr>
          <w:sz w:val="19"/>
        </w:rPr>
        <w:t>purpose</w:t>
      </w:r>
      <w:r>
        <w:rPr>
          <w:spacing w:val="-1"/>
          <w:sz w:val="19"/>
        </w:rPr>
        <w:t> </w:t>
      </w:r>
      <w:r>
        <w:rPr>
          <w:sz w:val="19"/>
        </w:rPr>
        <w:t>on Day 1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0" w:after="0"/>
        <w:ind w:left="402" w:right="395" w:hanging="284"/>
        <w:jc w:val="left"/>
        <w:rPr>
          <w:sz w:val="19"/>
        </w:rPr>
      </w:pPr>
      <w:r>
        <w:rPr>
          <w:sz w:val="19"/>
        </w:rPr>
        <w:t>Operation: The operational phase of the Project will include activities associated with the day to</w:t>
      </w:r>
      <w:r>
        <w:rPr>
          <w:spacing w:val="1"/>
          <w:sz w:val="19"/>
        </w:rPr>
        <w:t> </w:t>
      </w:r>
      <w:r>
        <w:rPr>
          <w:sz w:val="19"/>
        </w:rPr>
        <w:t>day operation of the train station, including but not limited to, train services (by others). CYP will</w:t>
      </w:r>
      <w:r>
        <w:rPr>
          <w:spacing w:val="1"/>
          <w:sz w:val="19"/>
        </w:rPr>
        <w:t> </w:t>
      </w:r>
      <w:r>
        <w:rPr>
          <w:sz w:val="19"/>
        </w:rPr>
        <w:t>undertake</w:t>
      </w:r>
      <w:r>
        <w:rPr>
          <w:spacing w:val="-4"/>
          <w:sz w:val="19"/>
        </w:rPr>
        <w:t> </w:t>
      </w:r>
      <w:r>
        <w:rPr>
          <w:sz w:val="19"/>
        </w:rPr>
        <w:t>preventative</w:t>
      </w:r>
      <w:r>
        <w:rPr>
          <w:spacing w:val="-3"/>
          <w:sz w:val="19"/>
        </w:rPr>
        <w:t> </w:t>
      </w:r>
      <w:r>
        <w:rPr>
          <w:sz w:val="19"/>
        </w:rPr>
        <w:t>and</w:t>
      </w:r>
      <w:r>
        <w:rPr>
          <w:spacing w:val="-3"/>
          <w:sz w:val="19"/>
        </w:rPr>
        <w:t> </w:t>
      </w:r>
      <w:r>
        <w:rPr>
          <w:sz w:val="19"/>
        </w:rPr>
        <w:t>corrective</w:t>
      </w:r>
      <w:r>
        <w:rPr>
          <w:spacing w:val="-3"/>
          <w:sz w:val="19"/>
        </w:rPr>
        <w:t> </w:t>
      </w:r>
      <w:r>
        <w:rPr>
          <w:sz w:val="19"/>
        </w:rPr>
        <w:t>maintenance</w:t>
      </w:r>
      <w:r>
        <w:rPr>
          <w:spacing w:val="-4"/>
          <w:sz w:val="19"/>
        </w:rPr>
        <w:t> </w:t>
      </w:r>
      <w:r>
        <w:rPr>
          <w:sz w:val="19"/>
        </w:rPr>
        <w:t>of</w:t>
      </w:r>
      <w:r>
        <w:rPr>
          <w:spacing w:val="-2"/>
          <w:sz w:val="19"/>
        </w:rPr>
        <w:t> </w:t>
      </w:r>
      <w:r>
        <w:rPr>
          <w:sz w:val="19"/>
        </w:rPr>
        <w:t>all</w:t>
      </w:r>
      <w:r>
        <w:rPr>
          <w:spacing w:val="-2"/>
          <w:sz w:val="19"/>
        </w:rPr>
        <w:t> </w:t>
      </w:r>
      <w:r>
        <w:rPr>
          <w:sz w:val="19"/>
        </w:rPr>
        <w:t>installed</w:t>
      </w:r>
      <w:r>
        <w:rPr>
          <w:spacing w:val="-3"/>
          <w:sz w:val="19"/>
        </w:rPr>
        <w:t> </w:t>
      </w:r>
      <w:r>
        <w:rPr>
          <w:sz w:val="19"/>
        </w:rPr>
        <w:t>assets</w:t>
      </w:r>
      <w:r>
        <w:rPr>
          <w:spacing w:val="-1"/>
          <w:sz w:val="19"/>
        </w:rPr>
        <w:t> </w:t>
      </w:r>
      <w:r>
        <w:rPr>
          <w:sz w:val="19"/>
        </w:rPr>
        <w:t>to</w:t>
      </w:r>
      <w:r>
        <w:rPr>
          <w:spacing w:val="-4"/>
          <w:sz w:val="19"/>
        </w:rPr>
        <w:t> </w:t>
      </w:r>
      <w:r>
        <w:rPr>
          <w:sz w:val="19"/>
        </w:rPr>
        <w:t>ensure</w:t>
      </w:r>
      <w:r>
        <w:rPr>
          <w:spacing w:val="-3"/>
          <w:sz w:val="19"/>
        </w:rPr>
        <w:t> </w:t>
      </w:r>
      <w:r>
        <w:rPr>
          <w:sz w:val="19"/>
        </w:rPr>
        <w:t>reliability</w:t>
      </w:r>
      <w:r>
        <w:rPr>
          <w:spacing w:val="-2"/>
          <w:sz w:val="19"/>
        </w:rPr>
        <w:t> </w:t>
      </w:r>
      <w:r>
        <w:rPr>
          <w:sz w:val="19"/>
        </w:rPr>
        <w:t>and</w:t>
      </w:r>
      <w:r>
        <w:rPr>
          <w:spacing w:val="-50"/>
          <w:sz w:val="19"/>
        </w:rPr>
        <w:t> </w:t>
      </w:r>
      <w:r>
        <w:rPr>
          <w:sz w:val="19"/>
        </w:rPr>
        <w:t>availability of station infrastructure for day to day operations. CYP will hand back, to government,</w:t>
      </w:r>
      <w:r>
        <w:rPr>
          <w:spacing w:val="-50"/>
          <w:sz w:val="19"/>
        </w:rPr>
        <w:t> </w:t>
      </w:r>
      <w:r>
        <w:rPr>
          <w:sz w:val="19"/>
        </w:rPr>
        <w:t>broader precinct assets to facilitate development of the Victorian Planning Authority’s draft Arden</w:t>
      </w:r>
      <w:r>
        <w:rPr>
          <w:spacing w:val="-50"/>
          <w:sz w:val="19"/>
        </w:rPr>
        <w:t> </w:t>
      </w:r>
      <w:r>
        <w:rPr>
          <w:sz w:val="19"/>
        </w:rPr>
        <w:t>Structure</w:t>
      </w:r>
      <w:r>
        <w:rPr>
          <w:spacing w:val="-2"/>
          <w:sz w:val="19"/>
        </w:rPr>
        <w:t> </w:t>
      </w:r>
      <w:r>
        <w:rPr>
          <w:sz w:val="19"/>
        </w:rPr>
        <w:t>Plan (2020).</w:t>
      </w:r>
    </w:p>
    <w:p>
      <w:pPr>
        <w:pStyle w:val="BodyText"/>
        <w:spacing w:before="118"/>
        <w:ind w:left="118" w:right="374"/>
      </w:pPr>
      <w:r>
        <w:rPr/>
        <w:t>To manage potential impacts, CYP has prepared an Environmental Management System,</w:t>
      </w:r>
      <w:r>
        <w:rPr>
          <w:spacing w:val="1"/>
        </w:rPr>
        <w:t> </w:t>
      </w:r>
      <w:r>
        <w:rPr/>
        <w:t>Construction Environmental Management Plan and Operations Environmental Management Plan.</w:t>
      </w:r>
      <w:r>
        <w:rPr>
          <w:spacing w:val="1"/>
        </w:rPr>
        <w:t> </w:t>
      </w:r>
      <w:r>
        <w:rPr/>
        <w:t>The aspect-specific control measures are identified in a series of specific management plans with</w:t>
      </w:r>
      <w:r>
        <w:rPr>
          <w:spacing w:val="1"/>
        </w:rPr>
        <w:t> </w:t>
      </w:r>
      <w:r>
        <w:rPr/>
        <w:t>precinct specific controls identified in a Site Environmental Implementation Plan. This has been</w:t>
      </w:r>
      <w:r>
        <w:rPr>
          <w:spacing w:val="1"/>
        </w:rPr>
        <w:t> </w:t>
      </w:r>
      <w:r>
        <w:rPr/>
        <w:t>approved by RPV and the Project’s Independent Reviewer, and was subject to separate stakeholder</w:t>
      </w:r>
      <w:r>
        <w:rPr>
          <w:spacing w:val="-50"/>
        </w:rPr>
        <w:t> </w:t>
      </w:r>
      <w:r>
        <w:rPr/>
        <w:t>consultation requirements and reviewed by the Independent Environmental Auditor, including</w:t>
      </w:r>
      <w:r>
        <w:rPr>
          <w:spacing w:val="1"/>
        </w:rPr>
        <w:t> </w:t>
      </w:r>
      <w:r>
        <w:rPr/>
        <w:t>quarterly</w:t>
      </w:r>
      <w:r>
        <w:rPr>
          <w:spacing w:val="-1"/>
        </w:rPr>
        <w:t> </w:t>
      </w:r>
      <w:r>
        <w:rPr/>
        <w:t>audits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throughout</w:t>
      </w:r>
      <w:r>
        <w:rPr>
          <w:spacing w:val="-1"/>
        </w:rPr>
        <w:t> </w:t>
      </w:r>
      <w:r>
        <w:rPr/>
        <w:t>construction.</w:t>
      </w:r>
    </w:p>
    <w:p>
      <w:pPr>
        <w:spacing w:after="0"/>
        <w:sectPr>
          <w:pgSz w:w="11910" w:h="16840"/>
          <w:pgMar w:header="940" w:footer="445" w:top="1920" w:bottom="640" w:left="1300" w:right="1680"/>
        </w:sectPr>
      </w:pPr>
    </w:p>
    <w:p>
      <w:pPr>
        <w:pStyle w:val="BodyText"/>
        <w:ind w:left="116"/>
        <w:rPr>
          <w:sz w:val="20"/>
        </w:rPr>
      </w:pPr>
      <w:r>
        <w:rPr>
          <w:sz w:val="20"/>
        </w:rPr>
        <w:drawing>
          <wp:inline distT="0" distB="0" distL="0" distR="0">
            <wp:extent cx="9371961" cy="658368"/>
            <wp:effectExtent l="0" t="0" r="0" b="0"/>
            <wp:docPr id="2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1961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900430</wp:posOffset>
            </wp:positionH>
            <wp:positionV relativeFrom="paragraph">
              <wp:posOffset>176148</wp:posOffset>
            </wp:positionV>
            <wp:extent cx="7075770" cy="4764785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5770" cy="476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0"/>
        <w:ind w:left="498" w:right="0" w:firstLine="0"/>
        <w:jc w:val="left"/>
        <w:rPr>
          <w:sz w:val="18"/>
        </w:rPr>
      </w:pPr>
      <w:bookmarkStart w:name="_bookmark18" w:id="67"/>
      <w:bookmarkEnd w:id="67"/>
      <w:r>
        <w:rPr/>
      </w:r>
      <w:r>
        <w:rPr>
          <w:color w:val="6C6C6C"/>
          <w:sz w:val="18"/>
        </w:rPr>
        <w:t>Figure</w:t>
      </w:r>
      <w:r>
        <w:rPr>
          <w:color w:val="6C6C6C"/>
          <w:spacing w:val="-3"/>
          <w:sz w:val="18"/>
        </w:rPr>
        <w:t> </w:t>
      </w:r>
      <w:r>
        <w:rPr>
          <w:color w:val="6C6C6C"/>
          <w:sz w:val="18"/>
        </w:rPr>
        <w:t>4</w:t>
      </w:r>
      <w:r>
        <w:rPr>
          <w:color w:val="6C6C6C"/>
          <w:spacing w:val="-1"/>
          <w:sz w:val="18"/>
        </w:rPr>
        <w:t> </w:t>
      </w:r>
      <w:r>
        <w:rPr>
          <w:color w:val="6C6C6C"/>
          <w:sz w:val="18"/>
        </w:rPr>
        <w:t>-</w:t>
      </w:r>
      <w:r>
        <w:rPr>
          <w:color w:val="6C6C6C"/>
          <w:spacing w:val="-2"/>
          <w:sz w:val="18"/>
        </w:rPr>
        <w:t> </w:t>
      </w:r>
      <w:r>
        <w:rPr>
          <w:color w:val="6C6C6C"/>
          <w:sz w:val="18"/>
        </w:rPr>
        <w:t>Arden</w:t>
      </w:r>
      <w:r>
        <w:rPr>
          <w:color w:val="6C6C6C"/>
          <w:spacing w:val="-2"/>
          <w:sz w:val="18"/>
        </w:rPr>
        <w:t> </w:t>
      </w:r>
      <w:r>
        <w:rPr>
          <w:color w:val="6C6C6C"/>
          <w:sz w:val="18"/>
        </w:rPr>
        <w:t>Station</w:t>
      </w:r>
      <w:r>
        <w:rPr>
          <w:color w:val="6C6C6C"/>
          <w:spacing w:val="-1"/>
          <w:sz w:val="18"/>
        </w:rPr>
        <w:t> </w:t>
      </w:r>
      <w:r>
        <w:rPr>
          <w:color w:val="6C6C6C"/>
          <w:sz w:val="18"/>
        </w:rPr>
        <w:t>precinct</w:t>
      </w:r>
      <w:r>
        <w:rPr>
          <w:color w:val="6C6C6C"/>
          <w:spacing w:val="-2"/>
          <w:sz w:val="18"/>
        </w:rPr>
        <w:t> </w:t>
      </w:r>
      <w:r>
        <w:rPr>
          <w:color w:val="6C6C6C"/>
          <w:sz w:val="18"/>
        </w:rPr>
        <w:t>surface works</w:t>
      </w:r>
    </w:p>
    <w:p>
      <w:pPr>
        <w:spacing w:after="0"/>
        <w:jc w:val="left"/>
        <w:rPr>
          <w:sz w:val="18"/>
        </w:rPr>
        <w:sectPr>
          <w:headerReference w:type="default" r:id="rId21"/>
          <w:footerReference w:type="default" r:id="rId22"/>
          <w:pgSz w:w="16840" w:h="11910" w:orient="landscape"/>
          <w:pgMar w:header="0" w:footer="445" w:top="720" w:bottom="640" w:left="92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1"/>
        <w:numPr>
          <w:ilvl w:val="0"/>
          <w:numId w:val="5"/>
        </w:numPr>
        <w:tabs>
          <w:tab w:pos="686" w:val="left" w:leader="none"/>
        </w:tabs>
        <w:spacing w:line="240" w:lineRule="auto" w:before="88" w:after="0"/>
        <w:ind w:left="685" w:right="0" w:hanging="568"/>
        <w:jc w:val="left"/>
      </w:pPr>
      <w:bookmarkStart w:name="_bookmark19" w:id="68"/>
      <w:bookmarkEnd w:id="68"/>
      <w:r>
        <w:rPr/>
      </w:r>
      <w:bookmarkStart w:name="_bookmark19" w:id="69"/>
      <w:bookmarkEnd w:id="69"/>
      <w:r>
        <w:rPr>
          <w:color w:val="00BBE9"/>
        </w:rPr>
        <w:t>DES</w:t>
      </w:r>
      <w:r>
        <w:rPr>
          <w:color w:val="00BBE9"/>
        </w:rPr>
        <w:t>IGN</w:t>
      </w:r>
      <w:r>
        <w:rPr>
          <w:color w:val="00BBE9"/>
          <w:spacing w:val="1"/>
        </w:rPr>
        <w:t> </w:t>
      </w:r>
      <w:r>
        <w:rPr>
          <w:color w:val="00BBE9"/>
        </w:rPr>
        <w:t>RESPONSE</w:t>
      </w:r>
    </w:p>
    <w:p>
      <w:pPr>
        <w:pStyle w:val="BodyText"/>
        <w:spacing w:before="8"/>
        <w:rPr>
          <w:sz w:val="41"/>
        </w:rPr>
      </w:pPr>
    </w:p>
    <w:p>
      <w:pPr>
        <w:pStyle w:val="Heading2"/>
        <w:numPr>
          <w:ilvl w:val="1"/>
          <w:numId w:val="5"/>
        </w:numPr>
        <w:tabs>
          <w:tab w:pos="827" w:val="left" w:leader="none"/>
        </w:tabs>
        <w:spacing w:line="240" w:lineRule="auto" w:before="0" w:after="0"/>
        <w:ind w:left="826" w:right="0" w:hanging="709"/>
        <w:jc w:val="left"/>
      </w:pPr>
      <w:bookmarkStart w:name="_bookmark20" w:id="70"/>
      <w:bookmarkEnd w:id="70"/>
      <w:r>
        <w:rPr/>
      </w:r>
      <w:bookmarkStart w:name="_bookmark20" w:id="71"/>
      <w:bookmarkEnd w:id="71"/>
      <w:r>
        <w:rPr>
          <w:color w:val="00BBE9"/>
        </w:rPr>
        <w:t>DES</w:t>
      </w:r>
      <w:r>
        <w:rPr>
          <w:color w:val="00BBE9"/>
        </w:rPr>
        <w:t>IGN</w:t>
      </w:r>
      <w:r>
        <w:rPr>
          <w:color w:val="00BBE9"/>
          <w:spacing w:val="-9"/>
        </w:rPr>
        <w:t> </w:t>
      </w:r>
      <w:r>
        <w:rPr>
          <w:color w:val="00BBE9"/>
        </w:rPr>
        <w:t>DEVELOPMENT</w:t>
      </w:r>
    </w:p>
    <w:p>
      <w:pPr>
        <w:pStyle w:val="BodyText"/>
        <w:spacing w:before="119"/>
        <w:ind w:left="118" w:right="986"/>
      </w:pPr>
      <w:r>
        <w:rPr/>
        <w:t>The Project’s design has been developed through an iterative process informed by phases of</w:t>
      </w:r>
      <w:r>
        <w:rPr>
          <w:spacing w:val="-50"/>
        </w:rPr>
        <w:t> </w:t>
      </w:r>
      <w:r>
        <w:rPr/>
        <w:t>specialist</w:t>
      </w:r>
      <w:r>
        <w:rPr>
          <w:spacing w:val="-3"/>
        </w:rPr>
        <w:t> </w:t>
      </w:r>
      <w:r>
        <w:rPr/>
        <w:t>technical assessment</w:t>
      </w:r>
      <w:r>
        <w:rPr>
          <w:spacing w:val="-3"/>
        </w:rPr>
        <w:t> </w:t>
      </w:r>
      <w:r>
        <w:rPr/>
        <w:t>integrated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stakeholder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community engagement.</w:t>
      </w:r>
    </w:p>
    <w:p>
      <w:pPr>
        <w:pStyle w:val="BodyText"/>
        <w:spacing w:before="119"/>
        <w:ind w:left="118" w:right="912"/>
      </w:pPr>
      <w:r>
        <w:rPr/>
        <w:t>In 2016, RPV publicly exhibited the Project concept design in the EES and as a draft Planning</w:t>
      </w:r>
      <w:r>
        <w:rPr>
          <w:spacing w:val="-50"/>
        </w:rPr>
        <w:t> </w:t>
      </w:r>
      <w:r>
        <w:rPr/>
        <w:t>Scheme</w:t>
      </w:r>
      <w:r>
        <w:rPr>
          <w:spacing w:val="-2"/>
        </w:rPr>
        <w:t> </w:t>
      </w:r>
      <w:r>
        <w:rPr/>
        <w:t>Amendment.</w:t>
      </w:r>
    </w:p>
    <w:p>
      <w:pPr>
        <w:pStyle w:val="BodyText"/>
        <w:spacing w:before="121"/>
        <w:ind w:left="118" w:right="595"/>
      </w:pPr>
      <w:r>
        <w:rPr/>
        <w:t>CYP’s design development has been informed by the approved Planning Scheme Amendment, in</w:t>
      </w:r>
      <w:r>
        <w:rPr>
          <w:spacing w:val="-50"/>
        </w:rPr>
        <w:t> </w:t>
      </w:r>
      <w:r>
        <w:rPr/>
        <w:t>particular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Incorporated</w:t>
      </w:r>
      <w:r>
        <w:rPr>
          <w:spacing w:val="-1"/>
        </w:rPr>
        <w:t> </w:t>
      </w:r>
      <w:r>
        <w:rPr/>
        <w:t>Document</w:t>
      </w:r>
      <w:r>
        <w:rPr>
          <w:spacing w:val="-2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led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Minister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Planning</w:t>
      </w:r>
      <w:r>
        <w:rPr>
          <w:spacing w:val="-2"/>
        </w:rPr>
        <w:t> </w:t>
      </w:r>
      <w:r>
        <w:rPr/>
        <w:t>approving: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9" w:after="0"/>
        <w:ind w:left="402" w:right="332" w:hanging="284"/>
        <w:jc w:val="left"/>
        <w:rPr>
          <w:sz w:val="19"/>
        </w:rPr>
      </w:pPr>
      <w:r>
        <w:rPr>
          <w:sz w:val="19"/>
        </w:rPr>
        <w:t>RPV’s Urban Design Strategy – the Project must be designed in accordance with the approved</w:t>
      </w:r>
      <w:r>
        <w:rPr>
          <w:spacing w:val="1"/>
          <w:sz w:val="19"/>
        </w:rPr>
        <w:t> </w:t>
      </w:r>
      <w:r>
        <w:rPr>
          <w:sz w:val="19"/>
        </w:rPr>
        <w:t>Urban Design Strategy. Developed by RPV with input from the OVGA, local councils and key</w:t>
      </w:r>
      <w:r>
        <w:rPr>
          <w:spacing w:val="1"/>
          <w:sz w:val="19"/>
        </w:rPr>
        <w:t> </w:t>
      </w:r>
      <w:r>
        <w:rPr>
          <w:sz w:val="19"/>
        </w:rPr>
        <w:t>stakeholders,</w:t>
      </w:r>
      <w:r>
        <w:rPr>
          <w:spacing w:val="-4"/>
          <w:sz w:val="19"/>
        </w:rPr>
        <w:t> </w:t>
      </w:r>
      <w:r>
        <w:rPr>
          <w:sz w:val="19"/>
        </w:rPr>
        <w:t>the</w:t>
      </w:r>
      <w:r>
        <w:rPr>
          <w:spacing w:val="-2"/>
          <w:sz w:val="19"/>
        </w:rPr>
        <w:t> </w:t>
      </w:r>
      <w:r>
        <w:rPr>
          <w:sz w:val="19"/>
        </w:rPr>
        <w:t>Urban</w:t>
      </w:r>
      <w:r>
        <w:rPr>
          <w:spacing w:val="-2"/>
          <w:sz w:val="19"/>
        </w:rPr>
        <w:t> </w:t>
      </w:r>
      <w:r>
        <w:rPr>
          <w:sz w:val="19"/>
        </w:rPr>
        <w:t>Design</w:t>
      </w:r>
      <w:r>
        <w:rPr>
          <w:spacing w:val="-3"/>
          <w:sz w:val="19"/>
        </w:rPr>
        <w:t> </w:t>
      </w:r>
      <w:r>
        <w:rPr>
          <w:sz w:val="19"/>
        </w:rPr>
        <w:t>Strategy</w:t>
      </w:r>
      <w:r>
        <w:rPr>
          <w:spacing w:val="-2"/>
          <w:sz w:val="19"/>
        </w:rPr>
        <w:t> </w:t>
      </w:r>
      <w:r>
        <w:rPr>
          <w:sz w:val="19"/>
        </w:rPr>
        <w:t>sets</w:t>
      </w:r>
      <w:r>
        <w:rPr>
          <w:spacing w:val="-1"/>
          <w:sz w:val="19"/>
        </w:rPr>
        <w:t> </w:t>
      </w:r>
      <w:r>
        <w:rPr>
          <w:sz w:val="19"/>
        </w:rPr>
        <w:t>out</w:t>
      </w:r>
      <w:r>
        <w:rPr>
          <w:spacing w:val="-2"/>
          <w:sz w:val="19"/>
        </w:rPr>
        <w:t> </w:t>
      </w:r>
      <w:r>
        <w:rPr>
          <w:sz w:val="19"/>
        </w:rPr>
        <w:t>the</w:t>
      </w:r>
      <w:r>
        <w:rPr>
          <w:spacing w:val="-3"/>
          <w:sz w:val="19"/>
        </w:rPr>
        <w:t> </w:t>
      </w:r>
      <w:r>
        <w:rPr>
          <w:sz w:val="19"/>
        </w:rPr>
        <w:t>design</w:t>
      </w:r>
      <w:r>
        <w:rPr>
          <w:spacing w:val="-3"/>
          <w:sz w:val="19"/>
        </w:rPr>
        <w:t> </w:t>
      </w:r>
      <w:r>
        <w:rPr>
          <w:sz w:val="19"/>
        </w:rPr>
        <w:t>vision,</w:t>
      </w:r>
      <w:r>
        <w:rPr>
          <w:spacing w:val="-3"/>
          <w:sz w:val="19"/>
        </w:rPr>
        <w:t> </w:t>
      </w:r>
      <w:r>
        <w:rPr>
          <w:sz w:val="19"/>
        </w:rPr>
        <w:t>key</w:t>
      </w:r>
      <w:r>
        <w:rPr>
          <w:spacing w:val="-1"/>
          <w:sz w:val="19"/>
        </w:rPr>
        <w:t> </w:t>
      </w:r>
      <w:r>
        <w:rPr>
          <w:sz w:val="19"/>
        </w:rPr>
        <w:t>directions,</w:t>
      </w:r>
      <w:r>
        <w:rPr>
          <w:spacing w:val="-3"/>
          <w:sz w:val="19"/>
        </w:rPr>
        <w:t> </w:t>
      </w:r>
      <w:r>
        <w:rPr>
          <w:sz w:val="19"/>
        </w:rPr>
        <w:t>objectives</w:t>
      </w:r>
      <w:r>
        <w:rPr>
          <w:spacing w:val="-2"/>
          <w:sz w:val="19"/>
        </w:rPr>
        <w:t> </w:t>
      </w:r>
      <w:r>
        <w:rPr>
          <w:sz w:val="19"/>
        </w:rPr>
        <w:t>and</w:t>
      </w:r>
      <w:r>
        <w:rPr>
          <w:spacing w:val="-50"/>
          <w:sz w:val="19"/>
        </w:rPr>
        <w:t> </w:t>
      </w:r>
      <w:r>
        <w:rPr>
          <w:sz w:val="19"/>
        </w:rPr>
        <w:t>design</w:t>
      </w:r>
      <w:r>
        <w:rPr>
          <w:spacing w:val="-2"/>
          <w:sz w:val="19"/>
        </w:rPr>
        <w:t> </w:t>
      </w:r>
      <w:r>
        <w:rPr>
          <w:sz w:val="19"/>
        </w:rPr>
        <w:t>guidelines</w:t>
      </w:r>
      <w:r>
        <w:rPr>
          <w:spacing w:val="1"/>
          <w:sz w:val="19"/>
        </w:rPr>
        <w:t> </w:t>
      </w:r>
      <w:r>
        <w:rPr>
          <w:sz w:val="19"/>
        </w:rPr>
        <w:t>across the Project</w:t>
      </w:r>
      <w:r>
        <w:rPr>
          <w:spacing w:val="-1"/>
          <w:sz w:val="19"/>
        </w:rPr>
        <w:t> </w:t>
      </w:r>
      <w:r>
        <w:rPr>
          <w:sz w:val="19"/>
        </w:rPr>
        <w:t>and for</w:t>
      </w:r>
      <w:r>
        <w:rPr>
          <w:spacing w:val="-1"/>
          <w:sz w:val="19"/>
        </w:rPr>
        <w:t> </w:t>
      </w:r>
      <w:r>
        <w:rPr>
          <w:sz w:val="19"/>
        </w:rPr>
        <w:t>each</w:t>
      </w:r>
      <w:r>
        <w:rPr>
          <w:spacing w:val="-2"/>
          <w:sz w:val="19"/>
        </w:rPr>
        <w:t> </w:t>
      </w:r>
      <w:r>
        <w:rPr>
          <w:sz w:val="19"/>
        </w:rPr>
        <w:t>precinct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0" w:after="0"/>
        <w:ind w:left="402" w:right="475" w:hanging="284"/>
        <w:jc w:val="left"/>
        <w:rPr>
          <w:sz w:val="19"/>
        </w:rPr>
      </w:pPr>
      <w:r>
        <w:rPr>
          <w:sz w:val="19"/>
        </w:rPr>
        <w:t>RPV’s Environmental Management Framework – the Project must be designed in accordance</w:t>
      </w:r>
      <w:r>
        <w:rPr>
          <w:spacing w:val="1"/>
          <w:sz w:val="19"/>
        </w:rPr>
        <w:t> </w:t>
      </w:r>
      <w:r>
        <w:rPr>
          <w:sz w:val="19"/>
        </w:rPr>
        <w:t>with the approved Environmental Management Framework, which provides a transparent and</w:t>
      </w:r>
      <w:r>
        <w:rPr>
          <w:spacing w:val="1"/>
          <w:sz w:val="19"/>
        </w:rPr>
        <w:t> </w:t>
      </w:r>
      <w:r>
        <w:rPr>
          <w:sz w:val="19"/>
        </w:rPr>
        <w:t>integrated governance framework to manage the environmental aspects of the Project. This</w:t>
      </w:r>
      <w:r>
        <w:rPr>
          <w:spacing w:val="1"/>
          <w:sz w:val="19"/>
        </w:rPr>
        <w:t> </w:t>
      </w:r>
      <w:r>
        <w:rPr>
          <w:sz w:val="19"/>
        </w:rPr>
        <w:t>framework includes Environmental Performance Requirements (EPRs), which are performance-</w:t>
      </w:r>
      <w:r>
        <w:rPr>
          <w:spacing w:val="-50"/>
          <w:sz w:val="19"/>
        </w:rPr>
        <w:t> </w:t>
      </w:r>
      <w:r>
        <w:rPr>
          <w:sz w:val="19"/>
        </w:rPr>
        <w:t>based management requirements, and provides clear accountabilities for the delivery and</w:t>
      </w:r>
      <w:r>
        <w:rPr>
          <w:spacing w:val="1"/>
          <w:sz w:val="19"/>
        </w:rPr>
        <w:t> </w:t>
      </w:r>
      <w:r>
        <w:rPr>
          <w:sz w:val="19"/>
        </w:rPr>
        <w:t>monitoring of the EPRs so that the environmental effects of the Project are appropriately</w:t>
      </w:r>
      <w:r>
        <w:rPr>
          <w:spacing w:val="1"/>
          <w:sz w:val="19"/>
        </w:rPr>
        <w:t> </w:t>
      </w:r>
      <w:r>
        <w:rPr>
          <w:sz w:val="19"/>
        </w:rPr>
        <w:t>managed.</w:t>
      </w:r>
    </w:p>
    <w:p>
      <w:pPr>
        <w:pStyle w:val="BodyText"/>
        <w:spacing w:before="118"/>
        <w:ind w:left="118" w:right="627"/>
      </w:pPr>
      <w:r>
        <w:rPr/>
        <w:t>This is reflected in the design presented in this Arden Station Precinct Development Plan with the</w:t>
      </w:r>
      <w:r>
        <w:rPr>
          <w:spacing w:val="-50"/>
        </w:rPr>
        <w:t> </w:t>
      </w:r>
      <w:r>
        <w:rPr/>
        <w:t>following sections explaining how this design is in accordance with the design guidelines from the</w:t>
      </w:r>
      <w:r>
        <w:rPr>
          <w:spacing w:val="-50"/>
        </w:rPr>
        <w:t> </w:t>
      </w:r>
      <w:r>
        <w:rPr/>
        <w:t>Urban Design Strategy, and Environmental Performance Requirements from the Environmental</w:t>
      </w:r>
      <w:r>
        <w:rPr>
          <w:spacing w:val="1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Framework.</w:t>
      </w:r>
    </w:p>
    <w:p>
      <w:pPr>
        <w:pStyle w:val="BodyText"/>
        <w:spacing w:before="120"/>
        <w:ind w:left="118" w:right="396"/>
      </w:pPr>
      <w:r>
        <w:rPr/>
        <w:t>The previous version of this Arden Station Precinct Development Plan was approved by the Minister</w:t>
      </w:r>
      <w:r>
        <w:rPr>
          <w:spacing w:val="-50"/>
        </w:rPr>
        <w:t> </w:t>
      </w:r>
      <w:r>
        <w:rPr/>
        <w:t>for Planning on Thursday 8 March 2018. Following an iterative consultation period during detailed</w:t>
      </w:r>
      <w:r>
        <w:rPr>
          <w:spacing w:val="1"/>
        </w:rPr>
        <w:t> </w:t>
      </w:r>
      <w:r>
        <w:rPr/>
        <w:t>design, amendments to the architectural layout, landscape design and public realm components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</w:t>
      </w:r>
      <w:r>
        <w:rPr>
          <w:spacing w:val="-1"/>
        </w:rPr>
        <w:t> </w:t>
      </w:r>
      <w:r>
        <w:rPr/>
        <w:t>include: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3" w:after="0"/>
        <w:ind w:left="402" w:right="0" w:hanging="285"/>
        <w:jc w:val="left"/>
        <w:rPr>
          <w:sz w:val="19"/>
        </w:rPr>
      </w:pPr>
      <w:r>
        <w:rPr>
          <w:sz w:val="19"/>
        </w:rPr>
        <w:t>Architectural</w:t>
      </w:r>
      <w:r>
        <w:rPr>
          <w:spacing w:val="-2"/>
          <w:sz w:val="19"/>
        </w:rPr>
        <w:t> </w:t>
      </w:r>
      <w:r>
        <w:rPr>
          <w:sz w:val="19"/>
        </w:rPr>
        <w:t>layout</w:t>
      </w:r>
      <w:r>
        <w:rPr>
          <w:spacing w:val="-2"/>
          <w:sz w:val="19"/>
        </w:rPr>
        <w:t> </w:t>
      </w:r>
      <w:r>
        <w:rPr>
          <w:sz w:val="19"/>
        </w:rPr>
        <w:t>and</w:t>
      </w:r>
      <w:r>
        <w:rPr>
          <w:spacing w:val="-2"/>
          <w:sz w:val="19"/>
        </w:rPr>
        <w:t> </w:t>
      </w:r>
      <w:r>
        <w:rPr>
          <w:sz w:val="19"/>
        </w:rPr>
        <w:t>design:</w:t>
      </w:r>
    </w:p>
    <w:p>
      <w:pPr>
        <w:pStyle w:val="ListParagraph"/>
        <w:numPr>
          <w:ilvl w:val="1"/>
          <w:numId w:val="9"/>
        </w:numPr>
        <w:tabs>
          <w:tab w:pos="686" w:val="left" w:leader="none"/>
        </w:tabs>
        <w:spacing w:line="240" w:lineRule="auto" w:before="116" w:after="0"/>
        <w:ind w:left="685" w:right="950" w:hanging="284"/>
        <w:jc w:val="left"/>
        <w:rPr>
          <w:sz w:val="19"/>
        </w:rPr>
      </w:pPr>
      <w:r>
        <w:rPr>
          <w:sz w:val="19"/>
        </w:rPr>
        <w:t>Reduced number of ground concourse entry arches from 16 to 15 as part of the design</w:t>
      </w:r>
      <w:r>
        <w:rPr>
          <w:spacing w:val="-50"/>
          <w:sz w:val="19"/>
        </w:rPr>
        <w:t> </w:t>
      </w:r>
      <w:r>
        <w:rPr>
          <w:sz w:val="19"/>
        </w:rPr>
        <w:t>development. This</w:t>
      </w:r>
      <w:r>
        <w:rPr>
          <w:spacing w:val="-3"/>
          <w:sz w:val="19"/>
        </w:rPr>
        <w:t> </w:t>
      </w:r>
      <w:r>
        <w:rPr>
          <w:sz w:val="19"/>
        </w:rPr>
        <w:t>change</w:t>
      </w:r>
      <w:r>
        <w:rPr>
          <w:spacing w:val="-2"/>
          <w:sz w:val="19"/>
        </w:rPr>
        <w:t> </w:t>
      </w:r>
      <w:r>
        <w:rPr>
          <w:sz w:val="19"/>
        </w:rPr>
        <w:t>has</w:t>
      </w:r>
      <w:r>
        <w:rPr>
          <w:spacing w:val="-1"/>
          <w:sz w:val="19"/>
        </w:rPr>
        <w:t> </w:t>
      </w:r>
      <w:r>
        <w:rPr>
          <w:sz w:val="19"/>
        </w:rPr>
        <w:t>not</w:t>
      </w:r>
      <w:r>
        <w:rPr>
          <w:spacing w:val="-1"/>
          <w:sz w:val="19"/>
        </w:rPr>
        <w:t> </w:t>
      </w:r>
      <w:r>
        <w:rPr>
          <w:sz w:val="19"/>
        </w:rPr>
        <w:t>altered</w:t>
      </w:r>
      <w:r>
        <w:rPr>
          <w:spacing w:val="-2"/>
          <w:sz w:val="19"/>
        </w:rPr>
        <w:t> </w:t>
      </w:r>
      <w:r>
        <w:rPr>
          <w:sz w:val="19"/>
        </w:rPr>
        <w:t>the</w:t>
      </w:r>
      <w:r>
        <w:rPr>
          <w:spacing w:val="-2"/>
          <w:sz w:val="19"/>
        </w:rPr>
        <w:t> </w:t>
      </w:r>
      <w:r>
        <w:rPr>
          <w:sz w:val="19"/>
        </w:rPr>
        <w:t>building</w:t>
      </w:r>
      <w:r>
        <w:rPr>
          <w:spacing w:val="-2"/>
          <w:sz w:val="19"/>
        </w:rPr>
        <w:t> </w:t>
      </w:r>
      <w:r>
        <w:rPr>
          <w:sz w:val="19"/>
        </w:rPr>
        <w:t>footprint</w:t>
      </w:r>
      <w:r>
        <w:rPr>
          <w:spacing w:val="2"/>
          <w:sz w:val="19"/>
        </w:rPr>
        <w:t> </w:t>
      </w:r>
      <w:r>
        <w:rPr>
          <w:sz w:val="19"/>
        </w:rPr>
        <w:t>(refer</w:t>
      </w:r>
      <w:r>
        <w:rPr>
          <w:spacing w:val="-2"/>
          <w:sz w:val="19"/>
        </w:rPr>
        <w:t> </w:t>
      </w:r>
      <w:r>
        <w:rPr>
          <w:sz w:val="19"/>
        </w:rPr>
        <w:t>to</w:t>
      </w:r>
      <w:r>
        <w:rPr>
          <w:spacing w:val="-2"/>
          <w:sz w:val="19"/>
        </w:rPr>
        <w:t> </w:t>
      </w:r>
      <w:r>
        <w:rPr>
          <w:sz w:val="19"/>
        </w:rPr>
        <w:t>Section </w:t>
      </w:r>
      <w:hyperlink w:history="true" w:anchor="_bookmark26">
        <w:r>
          <w:rPr>
            <w:sz w:val="19"/>
          </w:rPr>
          <w:t>4.3.1</w:t>
        </w:r>
      </w:hyperlink>
      <w:r>
        <w:rPr>
          <w:sz w:val="19"/>
        </w:rPr>
        <w:t>)</w:t>
      </w:r>
    </w:p>
    <w:p>
      <w:pPr>
        <w:pStyle w:val="ListParagraph"/>
        <w:numPr>
          <w:ilvl w:val="1"/>
          <w:numId w:val="9"/>
        </w:numPr>
        <w:tabs>
          <w:tab w:pos="686" w:val="left" w:leader="none"/>
        </w:tabs>
        <w:spacing w:line="240" w:lineRule="auto" w:before="120" w:after="0"/>
        <w:ind w:left="685" w:right="329" w:hanging="284"/>
        <w:jc w:val="left"/>
        <w:rPr>
          <w:sz w:val="19"/>
        </w:rPr>
      </w:pPr>
      <w:r>
        <w:rPr>
          <w:sz w:val="19"/>
        </w:rPr>
        <w:t>Improved pedestrian movement by re-orientating the ticket gates from a north-south alignment</w:t>
      </w:r>
      <w:r>
        <w:rPr>
          <w:spacing w:val="-50"/>
          <w:sz w:val="19"/>
        </w:rPr>
        <w:t> </w:t>
      </w:r>
      <w:r>
        <w:rPr>
          <w:sz w:val="19"/>
        </w:rPr>
        <w:t>to a north-west south-east alignment, in response to the expected pedestrian traffic from the</w:t>
      </w:r>
      <w:r>
        <w:rPr>
          <w:spacing w:val="1"/>
          <w:sz w:val="19"/>
        </w:rPr>
        <w:t> </w:t>
      </w:r>
      <w:r>
        <w:rPr>
          <w:sz w:val="19"/>
        </w:rPr>
        <w:t>west</w:t>
      </w:r>
      <w:r>
        <w:rPr>
          <w:spacing w:val="-1"/>
          <w:sz w:val="19"/>
        </w:rPr>
        <w:t> </w:t>
      </w:r>
      <w:r>
        <w:rPr>
          <w:sz w:val="19"/>
        </w:rPr>
        <w:t>(refer</w:t>
      </w:r>
      <w:r>
        <w:rPr>
          <w:spacing w:val="-1"/>
          <w:sz w:val="19"/>
        </w:rPr>
        <w:t> </w:t>
      </w:r>
      <w:r>
        <w:rPr>
          <w:sz w:val="19"/>
        </w:rPr>
        <w:t>to</w:t>
      </w:r>
      <w:r>
        <w:rPr>
          <w:spacing w:val="-1"/>
          <w:sz w:val="19"/>
        </w:rPr>
        <w:t> </w:t>
      </w:r>
      <w:r>
        <w:rPr>
          <w:sz w:val="19"/>
        </w:rPr>
        <w:t>Section</w:t>
      </w:r>
      <w:r>
        <w:rPr>
          <w:spacing w:val="1"/>
          <w:sz w:val="19"/>
        </w:rPr>
        <w:t> </w:t>
      </w:r>
      <w:hyperlink w:history="true" w:anchor="_bookmark34">
        <w:r>
          <w:rPr>
            <w:sz w:val="19"/>
          </w:rPr>
          <w:t>4.3.4.2</w:t>
        </w:r>
      </w:hyperlink>
      <w:r>
        <w:rPr>
          <w:sz w:val="19"/>
        </w:rPr>
        <w:t>)</w:t>
      </w:r>
    </w:p>
    <w:p>
      <w:pPr>
        <w:pStyle w:val="ListParagraph"/>
        <w:numPr>
          <w:ilvl w:val="1"/>
          <w:numId w:val="9"/>
        </w:numPr>
        <w:tabs>
          <w:tab w:pos="686" w:val="left" w:leader="none"/>
        </w:tabs>
        <w:spacing w:line="240" w:lineRule="auto" w:before="120" w:after="0"/>
        <w:ind w:left="685" w:right="348" w:hanging="284"/>
        <w:jc w:val="both"/>
        <w:rPr>
          <w:sz w:val="19"/>
        </w:rPr>
      </w:pPr>
      <w:r>
        <w:rPr>
          <w:sz w:val="19"/>
        </w:rPr>
        <w:t>Improved sightlines from the customer service centre, achieved through re-arranging the retail</w:t>
      </w:r>
      <w:r>
        <w:rPr>
          <w:spacing w:val="-50"/>
          <w:sz w:val="19"/>
        </w:rPr>
        <w:t> </w:t>
      </w:r>
      <w:r>
        <w:rPr>
          <w:sz w:val="19"/>
        </w:rPr>
        <w:t>units and ‘Changing Places’ in accordance with MTM’s requirements (refer to Sections </w:t>
      </w:r>
      <w:hyperlink w:history="true" w:anchor="_bookmark32">
        <w:r>
          <w:rPr>
            <w:sz w:val="19"/>
          </w:rPr>
          <w:t>4.3.4.1</w:t>
        </w:r>
      </w:hyperlink>
      <w:r>
        <w:rPr>
          <w:spacing w:val="-50"/>
          <w:sz w:val="19"/>
        </w:rPr>
        <w:t> </w:t>
      </w:r>
      <w:r>
        <w:rPr>
          <w:sz w:val="19"/>
        </w:rPr>
        <w:t>and</w:t>
      </w:r>
      <w:r>
        <w:rPr>
          <w:spacing w:val="-1"/>
          <w:sz w:val="19"/>
        </w:rPr>
        <w:t> </w:t>
      </w:r>
      <w:hyperlink w:history="true" w:anchor="_bookmark44">
        <w:r>
          <w:rPr>
            <w:sz w:val="19"/>
          </w:rPr>
          <w:t>4.3.9</w:t>
        </w:r>
      </w:hyperlink>
      <w:r>
        <w:rPr>
          <w:sz w:val="19"/>
        </w:rPr>
        <w:t>)</w:t>
      </w:r>
    </w:p>
    <w:p>
      <w:pPr>
        <w:pStyle w:val="ListParagraph"/>
        <w:numPr>
          <w:ilvl w:val="1"/>
          <w:numId w:val="9"/>
        </w:numPr>
        <w:tabs>
          <w:tab w:pos="686" w:val="left" w:leader="none"/>
        </w:tabs>
        <w:spacing w:line="240" w:lineRule="auto" w:before="120" w:after="0"/>
        <w:ind w:left="685" w:right="900" w:hanging="284"/>
        <w:jc w:val="left"/>
        <w:rPr>
          <w:sz w:val="19"/>
        </w:rPr>
      </w:pPr>
      <w:r>
        <w:rPr>
          <w:sz w:val="19"/>
        </w:rPr>
        <w:t>Enhanced flood protection by raising the northern retail terrace and the interfacing retail</w:t>
      </w:r>
      <w:r>
        <w:rPr>
          <w:spacing w:val="-50"/>
          <w:sz w:val="19"/>
        </w:rPr>
        <w:t> </w:t>
      </w:r>
      <w:r>
        <w:rPr>
          <w:sz w:val="19"/>
        </w:rPr>
        <w:t>entrances as part</w:t>
      </w:r>
      <w:r>
        <w:rPr>
          <w:spacing w:val="-1"/>
          <w:sz w:val="19"/>
        </w:rPr>
        <w:t> </w:t>
      </w:r>
      <w:r>
        <w:rPr>
          <w:sz w:val="19"/>
        </w:rPr>
        <w:t>of</w:t>
      </w:r>
      <w:r>
        <w:rPr>
          <w:spacing w:val="-1"/>
          <w:sz w:val="19"/>
        </w:rPr>
        <w:t> </w:t>
      </w:r>
      <w:r>
        <w:rPr>
          <w:sz w:val="19"/>
        </w:rPr>
        <w:t>the</w:t>
      </w:r>
      <w:r>
        <w:rPr>
          <w:spacing w:val="-1"/>
          <w:sz w:val="19"/>
        </w:rPr>
        <w:t> </w:t>
      </w:r>
      <w:r>
        <w:rPr>
          <w:sz w:val="19"/>
        </w:rPr>
        <w:t>architectural design</w:t>
      </w:r>
      <w:r>
        <w:rPr>
          <w:spacing w:val="-2"/>
          <w:sz w:val="19"/>
        </w:rPr>
        <w:t> </w:t>
      </w:r>
      <w:r>
        <w:rPr>
          <w:sz w:val="19"/>
        </w:rPr>
        <w:t>development</w:t>
      </w:r>
      <w:r>
        <w:rPr>
          <w:spacing w:val="1"/>
          <w:sz w:val="19"/>
        </w:rPr>
        <w:t> </w:t>
      </w:r>
      <w:r>
        <w:rPr>
          <w:sz w:val="19"/>
        </w:rPr>
        <w:t>(refer</w:t>
      </w:r>
      <w:r>
        <w:rPr>
          <w:spacing w:val="-2"/>
          <w:sz w:val="19"/>
        </w:rPr>
        <w:t> </w:t>
      </w:r>
      <w:r>
        <w:rPr>
          <w:sz w:val="19"/>
        </w:rPr>
        <w:t>to</w:t>
      </w:r>
      <w:r>
        <w:rPr>
          <w:spacing w:val="-1"/>
          <w:sz w:val="19"/>
        </w:rPr>
        <w:t> </w:t>
      </w:r>
      <w:r>
        <w:rPr>
          <w:sz w:val="19"/>
        </w:rPr>
        <w:t>Section </w:t>
      </w:r>
      <w:hyperlink w:history="true" w:anchor="_bookmark26">
        <w:r>
          <w:rPr>
            <w:sz w:val="19"/>
          </w:rPr>
          <w:t>4.3.1</w:t>
        </w:r>
      </w:hyperlink>
      <w:r>
        <w:rPr>
          <w:sz w:val="19"/>
        </w:rPr>
        <w:t>)</w:t>
      </w:r>
    </w:p>
    <w:p>
      <w:pPr>
        <w:pStyle w:val="ListParagraph"/>
        <w:numPr>
          <w:ilvl w:val="1"/>
          <w:numId w:val="9"/>
        </w:numPr>
        <w:tabs>
          <w:tab w:pos="686" w:val="left" w:leader="none"/>
        </w:tabs>
        <w:spacing w:line="240" w:lineRule="auto" w:before="120" w:after="0"/>
        <w:ind w:left="685" w:right="791" w:hanging="284"/>
        <w:jc w:val="left"/>
        <w:rPr>
          <w:sz w:val="19"/>
        </w:rPr>
      </w:pPr>
      <w:r>
        <w:rPr>
          <w:sz w:val="19"/>
        </w:rPr>
        <w:t>Changes to the materials and finishes of the Western Building and skylights, informed by</w:t>
      </w:r>
      <w:r>
        <w:rPr>
          <w:spacing w:val="-50"/>
          <w:sz w:val="19"/>
        </w:rPr>
        <w:t> </w:t>
      </w:r>
      <w:r>
        <w:rPr>
          <w:sz w:val="19"/>
        </w:rPr>
        <w:t>consultation</w:t>
      </w:r>
      <w:r>
        <w:rPr>
          <w:spacing w:val="-3"/>
          <w:sz w:val="19"/>
        </w:rPr>
        <w:t> </w:t>
      </w:r>
      <w:r>
        <w:rPr>
          <w:sz w:val="19"/>
        </w:rPr>
        <w:t>with</w:t>
      </w:r>
      <w:r>
        <w:rPr>
          <w:spacing w:val="-1"/>
          <w:sz w:val="19"/>
        </w:rPr>
        <w:t> </w:t>
      </w:r>
      <w:r>
        <w:rPr>
          <w:sz w:val="19"/>
        </w:rPr>
        <w:t>the</w:t>
      </w:r>
      <w:r>
        <w:rPr>
          <w:spacing w:val="-1"/>
          <w:sz w:val="19"/>
        </w:rPr>
        <w:t> </w:t>
      </w:r>
      <w:r>
        <w:rPr>
          <w:sz w:val="19"/>
        </w:rPr>
        <w:t>Victorian</w:t>
      </w:r>
      <w:r>
        <w:rPr>
          <w:spacing w:val="-3"/>
          <w:sz w:val="19"/>
        </w:rPr>
        <w:t> </w:t>
      </w:r>
      <w:r>
        <w:rPr>
          <w:sz w:val="19"/>
        </w:rPr>
        <w:t>Planning</w:t>
      </w:r>
      <w:r>
        <w:rPr>
          <w:spacing w:val="-3"/>
          <w:sz w:val="19"/>
        </w:rPr>
        <w:t> </w:t>
      </w:r>
      <w:r>
        <w:rPr>
          <w:sz w:val="19"/>
        </w:rPr>
        <w:t>Authority</w:t>
      </w:r>
      <w:r>
        <w:rPr>
          <w:spacing w:val="2"/>
          <w:sz w:val="19"/>
        </w:rPr>
        <w:t> </w:t>
      </w:r>
      <w:r>
        <w:rPr>
          <w:sz w:val="19"/>
        </w:rPr>
        <w:t>and</w:t>
      </w:r>
      <w:r>
        <w:rPr>
          <w:spacing w:val="-2"/>
          <w:sz w:val="19"/>
        </w:rPr>
        <w:t> </w:t>
      </w:r>
      <w:r>
        <w:rPr>
          <w:sz w:val="19"/>
        </w:rPr>
        <w:t>the</w:t>
      </w:r>
      <w:r>
        <w:rPr>
          <w:spacing w:val="-5"/>
          <w:sz w:val="19"/>
        </w:rPr>
        <w:t> </w:t>
      </w:r>
      <w:r>
        <w:rPr>
          <w:sz w:val="19"/>
        </w:rPr>
        <w:t>OVGA</w:t>
      </w:r>
      <w:r>
        <w:rPr>
          <w:spacing w:val="-1"/>
          <w:sz w:val="19"/>
        </w:rPr>
        <w:t> </w:t>
      </w:r>
      <w:r>
        <w:rPr>
          <w:sz w:val="19"/>
        </w:rPr>
        <w:t>(refer</w:t>
      </w:r>
      <w:r>
        <w:rPr>
          <w:spacing w:val="-3"/>
          <w:sz w:val="19"/>
        </w:rPr>
        <w:t> </w:t>
      </w:r>
      <w:r>
        <w:rPr>
          <w:sz w:val="19"/>
        </w:rPr>
        <w:t>to</w:t>
      </w:r>
      <w:r>
        <w:rPr>
          <w:spacing w:val="-2"/>
          <w:sz w:val="19"/>
        </w:rPr>
        <w:t> </w:t>
      </w:r>
      <w:r>
        <w:rPr>
          <w:sz w:val="19"/>
        </w:rPr>
        <w:t>Section</w:t>
      </w:r>
      <w:r>
        <w:rPr>
          <w:spacing w:val="-1"/>
          <w:sz w:val="19"/>
        </w:rPr>
        <w:t> </w:t>
      </w:r>
      <w:hyperlink w:history="true" w:anchor="_bookmark43">
        <w:r>
          <w:rPr>
            <w:sz w:val="19"/>
          </w:rPr>
          <w:t>4.3.8</w:t>
        </w:r>
      </w:hyperlink>
      <w:r>
        <w:rPr>
          <w:sz w:val="19"/>
        </w:rPr>
        <w:t>)</w:t>
      </w:r>
    </w:p>
    <w:p>
      <w:pPr>
        <w:pStyle w:val="ListParagraph"/>
        <w:numPr>
          <w:ilvl w:val="1"/>
          <w:numId w:val="9"/>
        </w:numPr>
        <w:tabs>
          <w:tab w:pos="686" w:val="left" w:leader="none"/>
        </w:tabs>
        <w:spacing w:line="240" w:lineRule="auto" w:before="120" w:after="0"/>
        <w:ind w:left="685" w:right="312" w:hanging="284"/>
        <w:jc w:val="left"/>
        <w:rPr>
          <w:sz w:val="19"/>
        </w:rPr>
      </w:pPr>
      <w:r>
        <w:rPr>
          <w:sz w:val="19"/>
        </w:rPr>
        <w:t>Changes</w:t>
      </w:r>
      <w:r>
        <w:rPr>
          <w:spacing w:val="-1"/>
          <w:sz w:val="19"/>
        </w:rPr>
        <w:t> </w:t>
      </w:r>
      <w:r>
        <w:rPr>
          <w:sz w:val="19"/>
        </w:rPr>
        <w:t>to</w:t>
      </w:r>
      <w:r>
        <w:rPr>
          <w:spacing w:val="-3"/>
          <w:sz w:val="19"/>
        </w:rPr>
        <w:t> </w:t>
      </w:r>
      <w:r>
        <w:rPr>
          <w:sz w:val="19"/>
        </w:rPr>
        <w:t>the</w:t>
      </w:r>
      <w:r>
        <w:rPr>
          <w:spacing w:val="-2"/>
          <w:sz w:val="19"/>
        </w:rPr>
        <w:t> </w:t>
      </w:r>
      <w:r>
        <w:rPr>
          <w:sz w:val="19"/>
        </w:rPr>
        <w:t>ground</w:t>
      </w:r>
      <w:r>
        <w:rPr>
          <w:spacing w:val="-3"/>
          <w:sz w:val="19"/>
        </w:rPr>
        <w:t> </w:t>
      </w:r>
      <w:r>
        <w:rPr>
          <w:sz w:val="19"/>
        </w:rPr>
        <w:t>level</w:t>
      </w:r>
      <w:r>
        <w:rPr>
          <w:spacing w:val="-4"/>
          <w:sz w:val="19"/>
        </w:rPr>
        <w:t> </w:t>
      </w:r>
      <w:r>
        <w:rPr>
          <w:sz w:val="19"/>
        </w:rPr>
        <w:t>around</w:t>
      </w:r>
      <w:r>
        <w:rPr>
          <w:spacing w:val="-2"/>
          <w:sz w:val="19"/>
        </w:rPr>
        <w:t> </w:t>
      </w:r>
      <w:r>
        <w:rPr>
          <w:sz w:val="19"/>
        </w:rPr>
        <w:t>the</w:t>
      </w:r>
      <w:r>
        <w:rPr>
          <w:spacing w:val="-2"/>
          <w:sz w:val="19"/>
        </w:rPr>
        <w:t> </w:t>
      </w:r>
      <w:r>
        <w:rPr>
          <w:sz w:val="19"/>
        </w:rPr>
        <w:t>skylights.</w:t>
      </w:r>
      <w:r>
        <w:rPr>
          <w:spacing w:val="-3"/>
          <w:sz w:val="19"/>
        </w:rPr>
        <w:t> </w:t>
      </w:r>
      <w:r>
        <w:rPr>
          <w:sz w:val="19"/>
        </w:rPr>
        <w:t>The</w:t>
      </w:r>
      <w:r>
        <w:rPr>
          <w:spacing w:val="-2"/>
          <w:sz w:val="19"/>
        </w:rPr>
        <w:t> </w:t>
      </w:r>
      <w:r>
        <w:rPr>
          <w:sz w:val="19"/>
        </w:rPr>
        <w:t>previous</w:t>
      </w:r>
      <w:r>
        <w:rPr>
          <w:spacing w:val="-1"/>
          <w:sz w:val="19"/>
        </w:rPr>
        <w:t> </w:t>
      </w:r>
      <w:r>
        <w:rPr>
          <w:sz w:val="19"/>
        </w:rPr>
        <w:t>Development</w:t>
      </w:r>
      <w:r>
        <w:rPr>
          <w:spacing w:val="-3"/>
          <w:sz w:val="19"/>
        </w:rPr>
        <w:t> </w:t>
      </w:r>
      <w:r>
        <w:rPr>
          <w:sz w:val="19"/>
        </w:rPr>
        <w:t>Plan</w:t>
      </w:r>
      <w:r>
        <w:rPr>
          <w:spacing w:val="-3"/>
          <w:sz w:val="19"/>
        </w:rPr>
        <w:t> </w:t>
      </w:r>
      <w:r>
        <w:rPr>
          <w:sz w:val="19"/>
        </w:rPr>
        <w:t>submission</w:t>
      </w:r>
      <w:r>
        <w:rPr>
          <w:spacing w:val="-50"/>
          <w:sz w:val="19"/>
        </w:rPr>
        <w:t> </w:t>
      </w:r>
      <w:r>
        <w:rPr>
          <w:sz w:val="19"/>
        </w:rPr>
        <w:t>had ground level raising locally around the skylight. The design for ground level is now</w:t>
      </w:r>
      <w:r>
        <w:rPr>
          <w:spacing w:val="1"/>
          <w:sz w:val="19"/>
        </w:rPr>
        <w:t> </w:t>
      </w:r>
      <w:r>
        <w:rPr>
          <w:sz w:val="19"/>
        </w:rPr>
        <w:t>relatively flat, allowing for the skylights to appear raised. This has increased public safety and</w:t>
      </w:r>
      <w:r>
        <w:rPr>
          <w:spacing w:val="1"/>
          <w:sz w:val="19"/>
        </w:rPr>
        <w:t> </w:t>
      </w:r>
      <w:r>
        <w:rPr>
          <w:sz w:val="19"/>
        </w:rPr>
        <w:t>security, as well as providing a cleaner Day 1 interface for future development as part of the</w:t>
      </w:r>
      <w:r>
        <w:rPr>
          <w:spacing w:val="1"/>
          <w:sz w:val="19"/>
        </w:rPr>
        <w:t> </w:t>
      </w:r>
      <w:r>
        <w:rPr>
          <w:sz w:val="19"/>
        </w:rPr>
        <w:t>draft</w:t>
      </w:r>
      <w:r>
        <w:rPr>
          <w:spacing w:val="-2"/>
          <w:sz w:val="19"/>
        </w:rPr>
        <w:t> </w:t>
      </w:r>
      <w:r>
        <w:rPr>
          <w:sz w:val="19"/>
        </w:rPr>
        <w:t>Arden Structure</w:t>
      </w:r>
      <w:r>
        <w:rPr>
          <w:spacing w:val="-1"/>
          <w:sz w:val="19"/>
        </w:rPr>
        <w:t> </w:t>
      </w:r>
      <w:r>
        <w:rPr>
          <w:sz w:val="19"/>
        </w:rPr>
        <w:t>Plan</w:t>
      </w:r>
      <w:r>
        <w:rPr>
          <w:spacing w:val="-1"/>
          <w:sz w:val="19"/>
        </w:rPr>
        <w:t> </w:t>
      </w:r>
      <w:r>
        <w:rPr>
          <w:sz w:val="19"/>
        </w:rPr>
        <w:t>(2020)</w:t>
      </w:r>
      <w:r>
        <w:rPr>
          <w:spacing w:val="-1"/>
          <w:sz w:val="19"/>
        </w:rPr>
        <w:t> </w:t>
      </w:r>
      <w:r>
        <w:rPr>
          <w:sz w:val="19"/>
        </w:rPr>
        <w:t>(refer</w:t>
      </w:r>
      <w:r>
        <w:rPr>
          <w:spacing w:val="-1"/>
          <w:sz w:val="19"/>
        </w:rPr>
        <w:t> </w:t>
      </w:r>
      <w:r>
        <w:rPr>
          <w:sz w:val="19"/>
        </w:rPr>
        <w:t>to</w:t>
      </w:r>
      <w:r>
        <w:rPr>
          <w:spacing w:val="-1"/>
          <w:sz w:val="19"/>
        </w:rPr>
        <w:t> </w:t>
      </w:r>
      <w:r>
        <w:rPr>
          <w:sz w:val="19"/>
        </w:rPr>
        <w:t>Section</w:t>
      </w:r>
      <w:r>
        <w:rPr>
          <w:spacing w:val="3"/>
          <w:sz w:val="19"/>
        </w:rPr>
        <w:t> </w:t>
      </w:r>
      <w:hyperlink w:history="true" w:anchor="_bookmark26">
        <w:r>
          <w:rPr>
            <w:sz w:val="19"/>
          </w:rPr>
          <w:t>4.3.1</w:t>
        </w:r>
      </w:hyperlink>
      <w:r>
        <w:rPr>
          <w:sz w:val="19"/>
        </w:rPr>
        <w:t>)</w:t>
      </w:r>
    </w:p>
    <w:p>
      <w:pPr>
        <w:spacing w:after="0" w:line="240" w:lineRule="auto"/>
        <w:jc w:val="left"/>
        <w:rPr>
          <w:sz w:val="19"/>
        </w:rPr>
        <w:sectPr>
          <w:headerReference w:type="default" r:id="rId24"/>
          <w:footerReference w:type="default" r:id="rId25"/>
          <w:pgSz w:w="11910" w:h="16840"/>
          <w:pgMar w:header="899" w:footer="445" w:top="1860" w:bottom="640" w:left="1300" w:right="1680"/>
          <w:pgNumType w:start="3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00" w:after="0"/>
        <w:ind w:left="402" w:right="0" w:hanging="285"/>
        <w:jc w:val="left"/>
        <w:rPr>
          <w:sz w:val="19"/>
        </w:rPr>
      </w:pPr>
      <w:r>
        <w:rPr>
          <w:sz w:val="19"/>
        </w:rPr>
        <w:t>Landscape</w:t>
      </w:r>
      <w:r>
        <w:rPr>
          <w:spacing w:val="-2"/>
          <w:sz w:val="19"/>
        </w:rPr>
        <w:t> </w:t>
      </w:r>
      <w:r>
        <w:rPr>
          <w:sz w:val="19"/>
        </w:rPr>
        <w:t>design</w:t>
      </w:r>
      <w:r>
        <w:rPr>
          <w:spacing w:val="-2"/>
          <w:sz w:val="19"/>
        </w:rPr>
        <w:t> </w:t>
      </w:r>
      <w:r>
        <w:rPr>
          <w:sz w:val="19"/>
        </w:rPr>
        <w:t>and public realm</w:t>
      </w:r>
      <w:r>
        <w:rPr>
          <w:spacing w:val="-2"/>
          <w:sz w:val="19"/>
        </w:rPr>
        <w:t> </w:t>
      </w:r>
      <w:r>
        <w:rPr>
          <w:sz w:val="19"/>
        </w:rPr>
        <w:t>components:</w:t>
      </w:r>
    </w:p>
    <w:p>
      <w:pPr>
        <w:pStyle w:val="ListParagraph"/>
        <w:numPr>
          <w:ilvl w:val="1"/>
          <w:numId w:val="9"/>
        </w:numPr>
        <w:tabs>
          <w:tab w:pos="686" w:val="left" w:leader="none"/>
        </w:tabs>
        <w:spacing w:line="240" w:lineRule="auto" w:before="116" w:after="0"/>
        <w:ind w:left="685" w:right="316" w:hanging="284"/>
        <w:jc w:val="left"/>
        <w:rPr>
          <w:sz w:val="19"/>
        </w:rPr>
      </w:pPr>
      <w:r>
        <w:rPr>
          <w:sz w:val="19"/>
        </w:rPr>
        <w:t>Incorporation of a separated raised bicycle path on the west side of Laurens Street, developed</w:t>
      </w:r>
      <w:r>
        <w:rPr>
          <w:spacing w:val="-50"/>
          <w:sz w:val="19"/>
        </w:rPr>
        <w:t> </w:t>
      </w:r>
      <w:r>
        <w:rPr>
          <w:sz w:val="19"/>
        </w:rPr>
        <w:t>in</w:t>
      </w:r>
      <w:r>
        <w:rPr>
          <w:spacing w:val="-1"/>
          <w:sz w:val="19"/>
        </w:rPr>
        <w:t> </w:t>
      </w:r>
      <w:r>
        <w:rPr>
          <w:sz w:val="19"/>
        </w:rPr>
        <w:t>consultation with</w:t>
      </w:r>
      <w:r>
        <w:rPr>
          <w:spacing w:val="2"/>
          <w:sz w:val="19"/>
        </w:rPr>
        <w:t> </w:t>
      </w:r>
      <w:r>
        <w:rPr>
          <w:sz w:val="19"/>
        </w:rPr>
        <w:t>the</w:t>
      </w:r>
      <w:r>
        <w:rPr>
          <w:spacing w:val="1"/>
          <w:sz w:val="19"/>
        </w:rPr>
        <w:t> </w:t>
      </w:r>
      <w:r>
        <w:rPr>
          <w:sz w:val="19"/>
        </w:rPr>
        <w:t>Victorian Planning Authority</w:t>
      </w:r>
      <w:r>
        <w:rPr>
          <w:spacing w:val="4"/>
          <w:sz w:val="19"/>
        </w:rPr>
        <w:t> </w:t>
      </w:r>
      <w:r>
        <w:rPr>
          <w:sz w:val="19"/>
        </w:rPr>
        <w:t>and</w:t>
      </w:r>
      <w:r>
        <w:rPr>
          <w:spacing w:val="-1"/>
          <w:sz w:val="19"/>
        </w:rPr>
        <w:t> </w:t>
      </w:r>
      <w:r>
        <w:rPr>
          <w:sz w:val="19"/>
        </w:rPr>
        <w:t>City</w:t>
      </w:r>
      <w:r>
        <w:rPr>
          <w:spacing w:val="2"/>
          <w:sz w:val="19"/>
        </w:rPr>
        <w:t> </w:t>
      </w:r>
      <w:r>
        <w:rPr>
          <w:sz w:val="19"/>
        </w:rPr>
        <w:t>of Melbourne.</w:t>
      </w:r>
      <w:r>
        <w:rPr>
          <w:spacing w:val="1"/>
          <w:sz w:val="19"/>
        </w:rPr>
        <w:t> </w:t>
      </w:r>
      <w:r>
        <w:rPr>
          <w:sz w:val="19"/>
        </w:rPr>
        <w:t>Note the majority</w:t>
      </w:r>
      <w:r>
        <w:rPr>
          <w:spacing w:val="1"/>
          <w:sz w:val="19"/>
        </w:rPr>
        <w:t> </w:t>
      </w:r>
      <w:r>
        <w:rPr>
          <w:sz w:val="19"/>
        </w:rPr>
        <w:t>of the bicycle lanes within the CYP extent of works are two metres in width, however this</w:t>
      </w:r>
      <w:r>
        <w:rPr>
          <w:spacing w:val="1"/>
          <w:sz w:val="19"/>
        </w:rPr>
        <w:t> </w:t>
      </w:r>
      <w:r>
        <w:rPr>
          <w:sz w:val="19"/>
        </w:rPr>
        <w:t>reduces in width to 1.5 metres behind kerb along the southbound carriageway of Laurens</w:t>
      </w:r>
      <w:r>
        <w:rPr>
          <w:spacing w:val="1"/>
          <w:sz w:val="19"/>
        </w:rPr>
        <w:t> </w:t>
      </w:r>
      <w:r>
        <w:rPr>
          <w:sz w:val="19"/>
        </w:rPr>
        <w:t>Street to eliminate dooring issues between the bicycle lane and the taxi bays, park and ride</w:t>
      </w:r>
      <w:r>
        <w:rPr>
          <w:spacing w:val="1"/>
          <w:sz w:val="19"/>
        </w:rPr>
        <w:t> </w:t>
      </w:r>
      <w:r>
        <w:rPr>
          <w:sz w:val="19"/>
        </w:rPr>
        <w:t>bays</w:t>
      </w:r>
      <w:r>
        <w:rPr>
          <w:spacing w:val="-1"/>
          <w:sz w:val="19"/>
        </w:rPr>
        <w:t> </w:t>
      </w:r>
      <w:r>
        <w:rPr>
          <w:sz w:val="19"/>
        </w:rPr>
        <w:t>and the bus</w:t>
      </w:r>
      <w:r>
        <w:rPr>
          <w:spacing w:val="1"/>
          <w:sz w:val="19"/>
        </w:rPr>
        <w:t> </w:t>
      </w:r>
      <w:r>
        <w:rPr>
          <w:sz w:val="19"/>
        </w:rPr>
        <w:t>bay</w:t>
      </w:r>
      <w:r>
        <w:rPr>
          <w:spacing w:val="3"/>
          <w:sz w:val="19"/>
        </w:rPr>
        <w:t> </w:t>
      </w:r>
      <w:r>
        <w:rPr>
          <w:sz w:val="19"/>
        </w:rPr>
        <w:t>(refer</w:t>
      </w:r>
      <w:r>
        <w:rPr>
          <w:spacing w:val="-1"/>
          <w:sz w:val="19"/>
        </w:rPr>
        <w:t> </w:t>
      </w:r>
      <w:r>
        <w:rPr>
          <w:sz w:val="19"/>
        </w:rPr>
        <w:t>to</w:t>
      </w:r>
      <w:r>
        <w:rPr>
          <w:spacing w:val="-1"/>
          <w:sz w:val="19"/>
        </w:rPr>
        <w:t> </w:t>
      </w:r>
      <w:r>
        <w:rPr>
          <w:sz w:val="19"/>
        </w:rPr>
        <w:t>Section</w:t>
      </w:r>
      <w:r>
        <w:rPr>
          <w:spacing w:val="1"/>
          <w:sz w:val="19"/>
        </w:rPr>
        <w:t> </w:t>
      </w:r>
      <w:hyperlink w:history="true" w:anchor="_bookmark36">
        <w:r>
          <w:rPr>
            <w:sz w:val="19"/>
          </w:rPr>
          <w:t>4.3.4.3</w:t>
        </w:r>
      </w:hyperlink>
      <w:r>
        <w:rPr>
          <w:sz w:val="19"/>
        </w:rPr>
        <w:t>)</w:t>
      </w:r>
    </w:p>
    <w:p>
      <w:pPr>
        <w:pStyle w:val="ListParagraph"/>
        <w:numPr>
          <w:ilvl w:val="1"/>
          <w:numId w:val="9"/>
        </w:numPr>
        <w:tabs>
          <w:tab w:pos="686" w:val="left" w:leader="none"/>
        </w:tabs>
        <w:spacing w:line="240" w:lineRule="auto" w:before="122" w:after="0"/>
        <w:ind w:left="685" w:right="581" w:hanging="284"/>
        <w:jc w:val="left"/>
        <w:rPr>
          <w:sz w:val="19"/>
        </w:rPr>
      </w:pPr>
      <w:r>
        <w:rPr>
          <w:sz w:val="19"/>
        </w:rPr>
        <w:t>Space provision for an additional 200 future bike parking spaces located near the proposed</w:t>
      </w:r>
      <w:r>
        <w:rPr>
          <w:spacing w:val="-50"/>
          <w:sz w:val="19"/>
        </w:rPr>
        <w:t> </w:t>
      </w:r>
      <w:r>
        <w:rPr>
          <w:sz w:val="19"/>
        </w:rPr>
        <w:t>future</w:t>
      </w:r>
      <w:r>
        <w:rPr>
          <w:spacing w:val="-2"/>
          <w:sz w:val="19"/>
        </w:rPr>
        <w:t> </w:t>
      </w:r>
      <w:r>
        <w:rPr>
          <w:sz w:val="19"/>
        </w:rPr>
        <w:t>station</w:t>
      </w:r>
      <w:r>
        <w:rPr>
          <w:spacing w:val="-1"/>
          <w:sz w:val="19"/>
        </w:rPr>
        <w:t> </w:t>
      </w:r>
      <w:r>
        <w:rPr>
          <w:sz w:val="19"/>
        </w:rPr>
        <w:t>entries,</w:t>
      </w:r>
      <w:r>
        <w:rPr>
          <w:spacing w:val="-1"/>
          <w:sz w:val="19"/>
        </w:rPr>
        <w:t> </w:t>
      </w:r>
      <w:r>
        <w:rPr>
          <w:sz w:val="19"/>
        </w:rPr>
        <w:t>west</w:t>
      </w:r>
      <w:r>
        <w:rPr>
          <w:spacing w:val="-2"/>
          <w:sz w:val="19"/>
        </w:rPr>
        <w:t> </w:t>
      </w:r>
      <w:r>
        <w:rPr>
          <w:sz w:val="19"/>
        </w:rPr>
        <w:t>of</w:t>
      </w:r>
      <w:r>
        <w:rPr>
          <w:spacing w:val="-2"/>
          <w:sz w:val="19"/>
        </w:rPr>
        <w:t> </w:t>
      </w:r>
      <w:r>
        <w:rPr>
          <w:sz w:val="19"/>
        </w:rPr>
        <w:t>the</w:t>
      </w:r>
      <w:r>
        <w:rPr>
          <w:spacing w:val="-1"/>
          <w:sz w:val="19"/>
        </w:rPr>
        <w:t> </w:t>
      </w:r>
      <w:r>
        <w:rPr>
          <w:sz w:val="19"/>
        </w:rPr>
        <w:t>station</w:t>
      </w:r>
      <w:r>
        <w:rPr>
          <w:spacing w:val="-2"/>
          <w:sz w:val="19"/>
        </w:rPr>
        <w:t> </w:t>
      </w:r>
      <w:r>
        <w:rPr>
          <w:sz w:val="19"/>
        </w:rPr>
        <w:t>building</w:t>
      </w:r>
      <w:r>
        <w:rPr>
          <w:spacing w:val="2"/>
          <w:sz w:val="19"/>
        </w:rPr>
        <w:t> </w:t>
      </w:r>
      <w:r>
        <w:rPr>
          <w:sz w:val="19"/>
        </w:rPr>
        <w:t>(refer</w:t>
      </w:r>
      <w:r>
        <w:rPr>
          <w:spacing w:val="-2"/>
          <w:sz w:val="19"/>
        </w:rPr>
        <w:t> </w:t>
      </w:r>
      <w:r>
        <w:rPr>
          <w:sz w:val="19"/>
        </w:rPr>
        <w:t>to</w:t>
      </w:r>
      <w:r>
        <w:rPr>
          <w:spacing w:val="-1"/>
          <w:sz w:val="19"/>
        </w:rPr>
        <w:t> </w:t>
      </w:r>
      <w:r>
        <w:rPr>
          <w:sz w:val="19"/>
        </w:rPr>
        <w:t>Section </w:t>
      </w:r>
      <w:hyperlink w:history="true" w:anchor="_bookmark36">
        <w:r>
          <w:rPr>
            <w:sz w:val="19"/>
          </w:rPr>
          <w:t>4.3.4.3</w:t>
        </w:r>
        <w:r>
          <w:rPr>
            <w:spacing w:val="-2"/>
            <w:sz w:val="19"/>
          </w:rPr>
          <w:t> </w:t>
        </w:r>
      </w:hyperlink>
      <w:r>
        <w:rPr>
          <w:sz w:val="19"/>
        </w:rPr>
        <w:t>and </w:t>
      </w:r>
      <w:hyperlink w:history="true" w:anchor="_bookmark37">
        <w:r>
          <w:rPr>
            <w:sz w:val="18"/>
          </w:rPr>
          <w:t>Figure</w:t>
        </w:r>
        <w:r>
          <w:rPr>
            <w:spacing w:val="-2"/>
            <w:sz w:val="18"/>
          </w:rPr>
          <w:t> </w:t>
        </w:r>
        <w:r>
          <w:rPr>
            <w:sz w:val="18"/>
          </w:rPr>
          <w:t>9</w:t>
        </w:r>
      </w:hyperlink>
      <w:r>
        <w:rPr>
          <w:sz w:val="19"/>
        </w:rPr>
        <w:t>)</w:t>
      </w:r>
    </w:p>
    <w:p>
      <w:pPr>
        <w:pStyle w:val="ListParagraph"/>
        <w:numPr>
          <w:ilvl w:val="1"/>
          <w:numId w:val="9"/>
        </w:numPr>
        <w:tabs>
          <w:tab w:pos="686" w:val="left" w:leader="none"/>
        </w:tabs>
        <w:spacing w:line="240" w:lineRule="auto" w:before="120" w:after="0"/>
        <w:ind w:left="685" w:right="360" w:hanging="284"/>
        <w:jc w:val="left"/>
        <w:rPr>
          <w:sz w:val="19"/>
        </w:rPr>
      </w:pPr>
      <w:r>
        <w:rPr>
          <w:sz w:val="19"/>
        </w:rPr>
        <w:t>Relocation of the Melbourne bike share stands from Laurens Lane to Laurens Street, near the</w:t>
      </w:r>
      <w:r>
        <w:rPr>
          <w:spacing w:val="-50"/>
          <w:sz w:val="19"/>
        </w:rPr>
        <w:t> </w:t>
      </w:r>
      <w:r>
        <w:rPr>
          <w:sz w:val="19"/>
        </w:rPr>
        <w:t>station</w:t>
      </w:r>
      <w:r>
        <w:rPr>
          <w:spacing w:val="-2"/>
          <w:sz w:val="19"/>
        </w:rPr>
        <w:t> </w:t>
      </w:r>
      <w:r>
        <w:rPr>
          <w:sz w:val="19"/>
        </w:rPr>
        <w:t>entry DDA ramp</w:t>
      </w:r>
      <w:r>
        <w:rPr>
          <w:spacing w:val="2"/>
          <w:sz w:val="19"/>
        </w:rPr>
        <w:t> </w:t>
      </w:r>
      <w:r>
        <w:rPr>
          <w:sz w:val="19"/>
        </w:rPr>
        <w:t>(refer</w:t>
      </w:r>
      <w:r>
        <w:rPr>
          <w:spacing w:val="-1"/>
          <w:sz w:val="19"/>
        </w:rPr>
        <w:t> </w:t>
      </w:r>
      <w:r>
        <w:rPr>
          <w:sz w:val="19"/>
        </w:rPr>
        <w:t>to</w:t>
      </w:r>
      <w:r>
        <w:rPr>
          <w:spacing w:val="-1"/>
          <w:sz w:val="19"/>
        </w:rPr>
        <w:t> </w:t>
      </w:r>
      <w:r>
        <w:rPr>
          <w:sz w:val="19"/>
        </w:rPr>
        <w:t>Section </w:t>
      </w:r>
      <w:hyperlink w:history="true" w:anchor="_bookmark36">
        <w:r>
          <w:rPr>
            <w:sz w:val="19"/>
          </w:rPr>
          <w:t>4.3.4.3</w:t>
        </w:r>
        <w:r>
          <w:rPr>
            <w:spacing w:val="-1"/>
            <w:sz w:val="19"/>
          </w:rPr>
          <w:t> </w:t>
        </w:r>
      </w:hyperlink>
      <w:r>
        <w:rPr>
          <w:sz w:val="19"/>
        </w:rPr>
        <w:t>and </w:t>
      </w:r>
      <w:hyperlink w:history="true" w:anchor="_bookmark37">
        <w:r>
          <w:rPr>
            <w:sz w:val="18"/>
          </w:rPr>
          <w:t>Figure</w:t>
        </w:r>
        <w:r>
          <w:rPr>
            <w:spacing w:val="1"/>
            <w:sz w:val="18"/>
          </w:rPr>
          <w:t> </w:t>
        </w:r>
        <w:r>
          <w:rPr>
            <w:sz w:val="18"/>
          </w:rPr>
          <w:t>9</w:t>
        </w:r>
      </w:hyperlink>
      <w:r>
        <w:rPr>
          <w:sz w:val="19"/>
        </w:rPr>
        <w:t>)</w:t>
      </w:r>
    </w:p>
    <w:p>
      <w:pPr>
        <w:pStyle w:val="ListParagraph"/>
        <w:numPr>
          <w:ilvl w:val="1"/>
          <w:numId w:val="9"/>
        </w:numPr>
        <w:tabs>
          <w:tab w:pos="688" w:val="left" w:leader="none"/>
        </w:tabs>
        <w:spacing w:line="240" w:lineRule="auto" w:before="120" w:after="0"/>
        <w:ind w:left="687" w:right="389" w:hanging="286"/>
        <w:jc w:val="left"/>
        <w:rPr>
          <w:sz w:val="19"/>
        </w:rPr>
      </w:pPr>
      <w:r>
        <w:rPr>
          <w:sz w:val="19"/>
        </w:rPr>
        <w:t>More equitable access and intuitive wayfinding, achieved by relocating the proposed DDA</w:t>
      </w:r>
      <w:r>
        <w:rPr>
          <w:spacing w:val="1"/>
          <w:sz w:val="19"/>
        </w:rPr>
        <w:t> </w:t>
      </w:r>
      <w:r>
        <w:rPr>
          <w:sz w:val="19"/>
        </w:rPr>
        <w:t>access to front of house on Laurens Street and adding additional stairs and a DDA access</w:t>
      </w:r>
      <w:r>
        <w:rPr>
          <w:spacing w:val="1"/>
          <w:sz w:val="19"/>
        </w:rPr>
        <w:t> </w:t>
      </w:r>
      <w:r>
        <w:rPr>
          <w:sz w:val="19"/>
        </w:rPr>
        <w:t>ramp on the south-west corner of the station building, to provide access to Station Lane (refer</w:t>
      </w:r>
      <w:r>
        <w:rPr>
          <w:spacing w:val="-50"/>
          <w:sz w:val="19"/>
        </w:rPr>
        <w:t> </w:t>
      </w:r>
      <w:r>
        <w:rPr>
          <w:sz w:val="19"/>
        </w:rPr>
        <w:t>to</w:t>
      </w:r>
      <w:r>
        <w:rPr>
          <w:spacing w:val="-2"/>
          <w:sz w:val="19"/>
        </w:rPr>
        <w:t> </w:t>
      </w:r>
      <w:r>
        <w:rPr>
          <w:sz w:val="19"/>
        </w:rPr>
        <w:t>Section </w:t>
      </w:r>
      <w:hyperlink w:history="true" w:anchor="_bookmark32">
        <w:r>
          <w:rPr>
            <w:sz w:val="19"/>
          </w:rPr>
          <w:t>4.3.4.1</w:t>
        </w:r>
      </w:hyperlink>
      <w:r>
        <w:rPr>
          <w:sz w:val="19"/>
        </w:rPr>
        <w:t>)</w:t>
      </w:r>
    </w:p>
    <w:p>
      <w:pPr>
        <w:pStyle w:val="ListParagraph"/>
        <w:numPr>
          <w:ilvl w:val="1"/>
          <w:numId w:val="9"/>
        </w:numPr>
        <w:tabs>
          <w:tab w:pos="688" w:val="left" w:leader="none"/>
        </w:tabs>
        <w:spacing w:line="240" w:lineRule="auto" w:before="120" w:after="0"/>
        <w:ind w:left="687" w:right="315" w:hanging="286"/>
        <w:jc w:val="left"/>
        <w:rPr>
          <w:sz w:val="19"/>
        </w:rPr>
      </w:pPr>
      <w:r>
        <w:rPr>
          <w:sz w:val="19"/>
        </w:rPr>
        <w:t>Relocation</w:t>
      </w:r>
      <w:r>
        <w:rPr>
          <w:spacing w:val="-1"/>
          <w:sz w:val="19"/>
        </w:rPr>
        <w:t> </w:t>
      </w:r>
      <w:r>
        <w:rPr>
          <w:sz w:val="19"/>
        </w:rPr>
        <w:t>of several</w:t>
      </w:r>
      <w:r>
        <w:rPr>
          <w:spacing w:val="1"/>
          <w:sz w:val="19"/>
        </w:rPr>
        <w:t> </w:t>
      </w:r>
      <w:r>
        <w:rPr>
          <w:sz w:val="19"/>
        </w:rPr>
        <w:t>parking</w:t>
      </w:r>
      <w:r>
        <w:rPr>
          <w:spacing w:val="-2"/>
          <w:sz w:val="19"/>
        </w:rPr>
        <w:t> </w:t>
      </w:r>
      <w:r>
        <w:rPr>
          <w:sz w:val="19"/>
        </w:rPr>
        <w:t>spaces,</w:t>
      </w:r>
      <w:r>
        <w:rPr>
          <w:spacing w:val="-2"/>
          <w:sz w:val="19"/>
        </w:rPr>
        <w:t> </w:t>
      </w:r>
      <w:r>
        <w:rPr>
          <w:sz w:val="19"/>
        </w:rPr>
        <w:t>including moving two</w:t>
      </w:r>
      <w:r>
        <w:rPr>
          <w:spacing w:val="5"/>
          <w:sz w:val="19"/>
        </w:rPr>
        <w:t> </w:t>
      </w:r>
      <w:r>
        <w:rPr>
          <w:sz w:val="19"/>
        </w:rPr>
        <w:t>universal</w:t>
      </w:r>
      <w:r>
        <w:rPr>
          <w:spacing w:val="2"/>
          <w:sz w:val="19"/>
        </w:rPr>
        <w:t> </w:t>
      </w:r>
      <w:r>
        <w:rPr>
          <w:sz w:val="19"/>
        </w:rPr>
        <w:t>access</w:t>
      </w:r>
      <w:r>
        <w:rPr>
          <w:spacing w:val="1"/>
          <w:sz w:val="19"/>
        </w:rPr>
        <w:t> </w:t>
      </w:r>
      <w:r>
        <w:rPr>
          <w:sz w:val="19"/>
        </w:rPr>
        <w:t>vehicle</w:t>
      </w:r>
      <w:r>
        <w:rPr>
          <w:spacing w:val="3"/>
          <w:sz w:val="19"/>
        </w:rPr>
        <w:t> </w:t>
      </w:r>
      <w:r>
        <w:rPr>
          <w:sz w:val="19"/>
        </w:rPr>
        <w:t>bays</w:t>
      </w:r>
      <w:r>
        <w:rPr>
          <w:spacing w:val="1"/>
          <w:sz w:val="19"/>
        </w:rPr>
        <w:t> </w:t>
      </w:r>
      <w:r>
        <w:rPr>
          <w:sz w:val="19"/>
        </w:rPr>
        <w:t>west</w:t>
      </w:r>
      <w:r>
        <w:rPr>
          <w:spacing w:val="1"/>
          <w:sz w:val="19"/>
        </w:rPr>
        <w:t> </w:t>
      </w:r>
      <w:r>
        <w:rPr>
          <w:sz w:val="19"/>
        </w:rPr>
        <w:t>on</w:t>
      </w:r>
      <w:r>
        <w:rPr>
          <w:spacing w:val="1"/>
          <w:sz w:val="19"/>
        </w:rPr>
        <w:t> </w:t>
      </w:r>
      <w:r>
        <w:rPr>
          <w:sz w:val="19"/>
        </w:rPr>
        <w:t>Barwise</w:t>
      </w:r>
      <w:r>
        <w:rPr>
          <w:spacing w:val="1"/>
          <w:sz w:val="19"/>
        </w:rPr>
        <w:t> </w:t>
      </w:r>
      <w:r>
        <w:rPr>
          <w:sz w:val="19"/>
        </w:rPr>
        <w:t>Street</w:t>
      </w:r>
      <w:r>
        <w:rPr>
          <w:spacing w:val="3"/>
          <w:sz w:val="19"/>
        </w:rPr>
        <w:t> </w:t>
      </w:r>
      <w:r>
        <w:rPr>
          <w:sz w:val="19"/>
        </w:rPr>
        <w:t>(towards</w:t>
      </w:r>
      <w:r>
        <w:rPr>
          <w:spacing w:val="2"/>
          <w:sz w:val="19"/>
        </w:rPr>
        <w:t> </w:t>
      </w:r>
      <w:r>
        <w:rPr>
          <w:sz w:val="19"/>
        </w:rPr>
        <w:t>Station</w:t>
      </w:r>
      <w:r>
        <w:rPr>
          <w:spacing w:val="1"/>
          <w:sz w:val="19"/>
        </w:rPr>
        <w:t> </w:t>
      </w:r>
      <w:r>
        <w:rPr>
          <w:sz w:val="19"/>
        </w:rPr>
        <w:t>Lane)</w:t>
      </w:r>
      <w:r>
        <w:rPr>
          <w:spacing w:val="1"/>
          <w:sz w:val="19"/>
        </w:rPr>
        <w:t> </w:t>
      </w:r>
      <w:r>
        <w:rPr>
          <w:sz w:val="19"/>
        </w:rPr>
        <w:t>and</w:t>
      </w:r>
      <w:r>
        <w:rPr>
          <w:spacing w:val="2"/>
          <w:sz w:val="19"/>
        </w:rPr>
        <w:t> </w:t>
      </w:r>
      <w:r>
        <w:rPr>
          <w:sz w:val="19"/>
        </w:rPr>
        <w:t>moving</w:t>
      </w:r>
      <w:r>
        <w:rPr>
          <w:spacing w:val="1"/>
          <w:sz w:val="19"/>
        </w:rPr>
        <w:t> </w:t>
      </w:r>
      <w:r>
        <w:rPr>
          <w:sz w:val="19"/>
        </w:rPr>
        <w:t>the MTM</w:t>
      </w:r>
      <w:r>
        <w:rPr>
          <w:spacing w:val="1"/>
          <w:sz w:val="19"/>
        </w:rPr>
        <w:t> </w:t>
      </w:r>
      <w:r>
        <w:rPr>
          <w:sz w:val="19"/>
        </w:rPr>
        <w:t>staff</w:t>
      </w:r>
      <w:r>
        <w:rPr>
          <w:spacing w:val="1"/>
          <w:sz w:val="19"/>
        </w:rPr>
        <w:t> </w:t>
      </w:r>
      <w:r>
        <w:rPr>
          <w:sz w:val="19"/>
        </w:rPr>
        <w:t>parking</w:t>
      </w:r>
      <w:r>
        <w:rPr>
          <w:spacing w:val="1"/>
          <w:sz w:val="19"/>
        </w:rPr>
        <w:t> </w:t>
      </w:r>
      <w:r>
        <w:rPr>
          <w:sz w:val="19"/>
        </w:rPr>
        <w:t>bays</w:t>
      </w:r>
      <w:r>
        <w:rPr>
          <w:spacing w:val="2"/>
          <w:sz w:val="19"/>
        </w:rPr>
        <w:t> </w:t>
      </w:r>
      <w:r>
        <w:rPr>
          <w:sz w:val="19"/>
        </w:rPr>
        <w:t>east</w:t>
      </w:r>
      <w:r>
        <w:rPr>
          <w:spacing w:val="1"/>
          <w:sz w:val="19"/>
        </w:rPr>
        <w:t> </w:t>
      </w:r>
      <w:r>
        <w:rPr>
          <w:sz w:val="19"/>
        </w:rPr>
        <w:t>on Barwise Street (towards Laurens Street). In addition, two loading bays have been relocated</w:t>
      </w:r>
      <w:r>
        <w:rPr>
          <w:spacing w:val="-50"/>
          <w:sz w:val="19"/>
        </w:rPr>
        <w:t> </w:t>
      </w:r>
      <w:r>
        <w:rPr>
          <w:sz w:val="19"/>
        </w:rPr>
        <w:t>from</w:t>
      </w:r>
      <w:r>
        <w:rPr>
          <w:spacing w:val="-1"/>
          <w:sz w:val="19"/>
        </w:rPr>
        <w:t> </w:t>
      </w:r>
      <w:r>
        <w:rPr>
          <w:sz w:val="19"/>
        </w:rPr>
        <w:t>Laurens</w:t>
      </w:r>
      <w:r>
        <w:rPr>
          <w:spacing w:val="1"/>
          <w:sz w:val="19"/>
        </w:rPr>
        <w:t> </w:t>
      </w:r>
      <w:r>
        <w:rPr>
          <w:sz w:val="19"/>
        </w:rPr>
        <w:t>Street</w:t>
      </w:r>
      <w:r>
        <w:rPr>
          <w:spacing w:val="-1"/>
          <w:sz w:val="19"/>
        </w:rPr>
        <w:t> </w:t>
      </w:r>
      <w:r>
        <w:rPr>
          <w:sz w:val="19"/>
        </w:rPr>
        <w:t>north</w:t>
      </w:r>
      <w:r>
        <w:rPr>
          <w:spacing w:val="-2"/>
          <w:sz w:val="19"/>
        </w:rPr>
        <w:t> </w:t>
      </w:r>
      <w:r>
        <w:rPr>
          <w:sz w:val="19"/>
        </w:rPr>
        <w:t>to</w:t>
      </w:r>
      <w:r>
        <w:rPr>
          <w:spacing w:val="2"/>
          <w:sz w:val="19"/>
        </w:rPr>
        <w:t> </w:t>
      </w:r>
      <w:r>
        <w:rPr>
          <w:sz w:val="19"/>
        </w:rPr>
        <w:t>Barwise</w:t>
      </w:r>
      <w:r>
        <w:rPr>
          <w:spacing w:val="-1"/>
          <w:sz w:val="19"/>
        </w:rPr>
        <w:t> </w:t>
      </w:r>
      <w:r>
        <w:rPr>
          <w:sz w:val="19"/>
        </w:rPr>
        <w:t>Street</w:t>
      </w:r>
      <w:r>
        <w:rPr>
          <w:spacing w:val="-1"/>
          <w:sz w:val="19"/>
        </w:rPr>
        <w:t> </w:t>
      </w:r>
      <w:r>
        <w:rPr>
          <w:sz w:val="19"/>
        </w:rPr>
        <w:t>east</w:t>
      </w:r>
      <w:r>
        <w:rPr>
          <w:spacing w:val="1"/>
          <w:sz w:val="19"/>
        </w:rPr>
        <w:t> </w:t>
      </w:r>
      <w:r>
        <w:rPr>
          <w:sz w:val="19"/>
        </w:rPr>
        <w:t>(refer</w:t>
      </w:r>
      <w:r>
        <w:rPr>
          <w:spacing w:val="-1"/>
          <w:sz w:val="19"/>
        </w:rPr>
        <w:t> </w:t>
      </w:r>
      <w:r>
        <w:rPr>
          <w:sz w:val="19"/>
        </w:rPr>
        <w:t>to</w:t>
      </w:r>
      <w:r>
        <w:rPr>
          <w:spacing w:val="2"/>
          <w:sz w:val="19"/>
        </w:rPr>
        <w:t> </w:t>
      </w:r>
      <w:hyperlink w:history="true" w:anchor="_bookmark37">
        <w:r>
          <w:rPr>
            <w:sz w:val="18"/>
          </w:rPr>
          <w:t>Figure</w:t>
        </w:r>
        <w:r>
          <w:rPr>
            <w:spacing w:val="-1"/>
            <w:sz w:val="18"/>
          </w:rPr>
          <w:t> </w:t>
        </w:r>
        <w:r>
          <w:rPr>
            <w:sz w:val="18"/>
          </w:rPr>
          <w:t>9</w:t>
        </w:r>
      </w:hyperlink>
      <w:r>
        <w:rPr>
          <w:sz w:val="19"/>
        </w:rPr>
        <w:t>)</w:t>
      </w:r>
    </w:p>
    <w:p>
      <w:pPr>
        <w:pStyle w:val="ListParagraph"/>
        <w:numPr>
          <w:ilvl w:val="1"/>
          <w:numId w:val="9"/>
        </w:numPr>
        <w:tabs>
          <w:tab w:pos="688" w:val="left" w:leader="none"/>
        </w:tabs>
        <w:spacing w:line="240" w:lineRule="auto" w:before="120" w:after="0"/>
        <w:ind w:left="687" w:right="470" w:hanging="286"/>
        <w:jc w:val="left"/>
        <w:rPr>
          <w:sz w:val="19"/>
        </w:rPr>
      </w:pPr>
      <w:r>
        <w:rPr>
          <w:sz w:val="19"/>
        </w:rPr>
        <w:t>Replacement of the undercover bike station that was proposed on the south-west corner of</w:t>
      </w:r>
      <w:r>
        <w:rPr>
          <w:spacing w:val="1"/>
          <w:sz w:val="19"/>
        </w:rPr>
        <w:t> </w:t>
      </w:r>
      <w:r>
        <w:rPr>
          <w:sz w:val="19"/>
        </w:rPr>
        <w:t>the station building with a DDA ramp and stairs (off Station Lane) providing access to the</w:t>
      </w:r>
      <w:r>
        <w:rPr>
          <w:spacing w:val="1"/>
          <w:sz w:val="19"/>
        </w:rPr>
        <w:t> </w:t>
      </w:r>
      <w:r>
        <w:rPr>
          <w:sz w:val="19"/>
        </w:rPr>
        <w:t>station. The total number of bicycle parking spaces has remained unchanged due to the</w:t>
      </w:r>
      <w:r>
        <w:rPr>
          <w:spacing w:val="1"/>
          <w:sz w:val="19"/>
        </w:rPr>
        <w:t> </w:t>
      </w:r>
      <w:r>
        <w:rPr>
          <w:sz w:val="19"/>
        </w:rPr>
        <w:t>proposed additional bike parking spaces on Station Lane and Laurens Lane (refer to Section</w:t>
      </w:r>
      <w:r>
        <w:rPr>
          <w:spacing w:val="-50"/>
          <w:sz w:val="19"/>
        </w:rPr>
        <w:t> </w:t>
      </w:r>
      <w:hyperlink w:history="true" w:anchor="_bookmark36">
        <w:r>
          <w:rPr>
            <w:sz w:val="19"/>
          </w:rPr>
          <w:t>4.3.4.3</w:t>
        </w:r>
      </w:hyperlink>
      <w:r>
        <w:rPr>
          <w:sz w:val="19"/>
        </w:rPr>
        <w:t>)</w:t>
      </w:r>
    </w:p>
    <w:p>
      <w:pPr>
        <w:pStyle w:val="ListParagraph"/>
        <w:numPr>
          <w:ilvl w:val="1"/>
          <w:numId w:val="9"/>
        </w:numPr>
        <w:tabs>
          <w:tab w:pos="686" w:val="left" w:leader="none"/>
        </w:tabs>
        <w:spacing w:line="240" w:lineRule="auto" w:before="120" w:after="0"/>
        <w:ind w:left="685" w:right="420" w:hanging="284"/>
        <w:jc w:val="left"/>
        <w:rPr>
          <w:sz w:val="19"/>
        </w:rPr>
      </w:pPr>
      <w:r>
        <w:rPr>
          <w:sz w:val="19"/>
        </w:rPr>
        <w:t>Increased total road reserve width of Station Lane to better accommodate the potential future</w:t>
      </w:r>
      <w:r>
        <w:rPr>
          <w:spacing w:val="-50"/>
          <w:sz w:val="19"/>
        </w:rPr>
        <w:t> </w:t>
      </w:r>
      <w:r>
        <w:rPr>
          <w:sz w:val="19"/>
        </w:rPr>
        <w:t>entry to the station and pedestrian access. This was requested by the Victorian Planning</w:t>
      </w:r>
      <w:r>
        <w:rPr>
          <w:spacing w:val="1"/>
          <w:sz w:val="19"/>
        </w:rPr>
        <w:t> </w:t>
      </w:r>
      <w:r>
        <w:rPr>
          <w:sz w:val="19"/>
        </w:rPr>
        <w:t>Authority and City</w:t>
      </w:r>
      <w:r>
        <w:rPr>
          <w:spacing w:val="1"/>
          <w:sz w:val="19"/>
        </w:rPr>
        <w:t> </w:t>
      </w:r>
      <w:r>
        <w:rPr>
          <w:sz w:val="19"/>
        </w:rPr>
        <w:t>of</w:t>
      </w:r>
      <w:r>
        <w:rPr>
          <w:spacing w:val="-1"/>
          <w:sz w:val="19"/>
        </w:rPr>
        <w:t> </w:t>
      </w:r>
      <w:r>
        <w:rPr>
          <w:sz w:val="19"/>
        </w:rPr>
        <w:t>Melbourne (refer</w:t>
      </w:r>
      <w:r>
        <w:rPr>
          <w:spacing w:val="-1"/>
          <w:sz w:val="19"/>
        </w:rPr>
        <w:t> </w:t>
      </w:r>
      <w:r>
        <w:rPr>
          <w:sz w:val="19"/>
        </w:rPr>
        <w:t>to</w:t>
      </w:r>
      <w:r>
        <w:rPr>
          <w:spacing w:val="-1"/>
          <w:sz w:val="19"/>
        </w:rPr>
        <w:t> </w:t>
      </w:r>
      <w:r>
        <w:rPr>
          <w:sz w:val="19"/>
        </w:rPr>
        <w:t>Section</w:t>
      </w:r>
      <w:r>
        <w:rPr>
          <w:spacing w:val="1"/>
          <w:sz w:val="19"/>
        </w:rPr>
        <w:t> </w:t>
      </w:r>
      <w:hyperlink w:history="true" w:anchor="_bookmark34">
        <w:r>
          <w:rPr>
            <w:sz w:val="19"/>
          </w:rPr>
          <w:t>4.3.4.2</w:t>
        </w:r>
      </w:hyperlink>
      <w:r>
        <w:rPr>
          <w:sz w:val="19"/>
        </w:rPr>
        <w:t>)</w:t>
      </w:r>
    </w:p>
    <w:p>
      <w:pPr>
        <w:pStyle w:val="ListParagraph"/>
        <w:numPr>
          <w:ilvl w:val="1"/>
          <w:numId w:val="9"/>
        </w:numPr>
        <w:tabs>
          <w:tab w:pos="686" w:val="left" w:leader="none"/>
        </w:tabs>
        <w:spacing w:line="240" w:lineRule="auto" w:before="119" w:after="0"/>
        <w:ind w:left="685" w:right="487" w:hanging="284"/>
        <w:jc w:val="left"/>
        <w:rPr>
          <w:sz w:val="19"/>
        </w:rPr>
      </w:pPr>
      <w:r>
        <w:rPr>
          <w:sz w:val="19"/>
        </w:rPr>
        <w:t>Improved public realm features, such as additional Water Sensitive Urban Design (WSUD)</w:t>
      </w:r>
      <w:r>
        <w:rPr>
          <w:spacing w:val="1"/>
          <w:sz w:val="19"/>
        </w:rPr>
        <w:t> </w:t>
      </w:r>
      <w:r>
        <w:rPr>
          <w:sz w:val="19"/>
        </w:rPr>
        <w:t>features (including a long linear sunken garden), trees, bike hoops and public seating areas</w:t>
      </w:r>
      <w:r>
        <w:rPr>
          <w:spacing w:val="1"/>
          <w:sz w:val="19"/>
        </w:rPr>
        <w:t> </w:t>
      </w:r>
      <w:r>
        <w:rPr>
          <w:sz w:val="19"/>
        </w:rPr>
        <w:t>on Station Lane, as shown in the amended precinct public realm plans in Appendix D: Arden</w:t>
      </w:r>
      <w:r>
        <w:rPr>
          <w:spacing w:val="-50"/>
          <w:sz w:val="19"/>
        </w:rPr>
        <w:t> </w:t>
      </w:r>
      <w:r>
        <w:rPr>
          <w:sz w:val="19"/>
        </w:rPr>
        <w:t>Station</w:t>
      </w:r>
      <w:r>
        <w:rPr>
          <w:spacing w:val="-1"/>
          <w:sz w:val="19"/>
        </w:rPr>
        <w:t> </w:t>
      </w:r>
      <w:r>
        <w:rPr>
          <w:sz w:val="19"/>
        </w:rPr>
        <w:t>Precinct</w:t>
      </w:r>
      <w:r>
        <w:rPr>
          <w:spacing w:val="-1"/>
          <w:sz w:val="19"/>
        </w:rPr>
        <w:t> </w:t>
      </w:r>
      <w:r>
        <w:rPr>
          <w:sz w:val="19"/>
        </w:rPr>
        <w:t>Public</w:t>
      </w:r>
      <w:r>
        <w:rPr>
          <w:spacing w:val="-1"/>
          <w:sz w:val="19"/>
        </w:rPr>
        <w:t> </w:t>
      </w:r>
      <w:r>
        <w:rPr>
          <w:sz w:val="19"/>
        </w:rPr>
        <w:t>Realm</w:t>
      </w:r>
      <w:r>
        <w:rPr>
          <w:spacing w:val="-1"/>
          <w:sz w:val="19"/>
        </w:rPr>
        <w:t> </w:t>
      </w:r>
      <w:r>
        <w:rPr>
          <w:sz w:val="19"/>
        </w:rPr>
        <w:t>Plans</w:t>
      </w:r>
      <w:r>
        <w:rPr>
          <w:spacing w:val="4"/>
          <w:sz w:val="19"/>
        </w:rPr>
        <w:t> </w:t>
      </w:r>
      <w:r>
        <w:rPr>
          <w:sz w:val="19"/>
        </w:rPr>
        <w:t>(refer</w:t>
      </w:r>
      <w:r>
        <w:rPr>
          <w:spacing w:val="-2"/>
          <w:sz w:val="19"/>
        </w:rPr>
        <w:t> </w:t>
      </w:r>
      <w:r>
        <w:rPr>
          <w:sz w:val="19"/>
        </w:rPr>
        <w:t>also to</w:t>
      </w:r>
      <w:r>
        <w:rPr>
          <w:spacing w:val="-1"/>
          <w:sz w:val="19"/>
        </w:rPr>
        <w:t> </w:t>
      </w:r>
      <w:r>
        <w:rPr>
          <w:sz w:val="19"/>
        </w:rPr>
        <w:t>Section </w:t>
      </w:r>
      <w:hyperlink w:history="true" w:anchor="_bookmark29">
        <w:r>
          <w:rPr>
            <w:sz w:val="19"/>
          </w:rPr>
          <w:t>4.3.3</w:t>
        </w:r>
      </w:hyperlink>
      <w:r>
        <w:rPr>
          <w:sz w:val="19"/>
        </w:rPr>
        <w:t>)</w:t>
      </w:r>
    </w:p>
    <w:p>
      <w:pPr>
        <w:pStyle w:val="ListParagraph"/>
        <w:numPr>
          <w:ilvl w:val="1"/>
          <w:numId w:val="9"/>
        </w:numPr>
        <w:tabs>
          <w:tab w:pos="686" w:val="left" w:leader="none"/>
        </w:tabs>
        <w:spacing w:line="242" w:lineRule="auto" w:before="120" w:after="0"/>
        <w:ind w:left="685" w:right="308" w:hanging="284"/>
        <w:jc w:val="left"/>
        <w:rPr>
          <w:sz w:val="19"/>
        </w:rPr>
      </w:pPr>
      <w:r>
        <w:rPr>
          <w:sz w:val="19"/>
        </w:rPr>
        <w:t>Increased extent of public realm around the Western Building by revising the kerb alignment of</w:t>
      </w:r>
      <w:r>
        <w:rPr>
          <w:spacing w:val="-50"/>
          <w:sz w:val="19"/>
        </w:rPr>
        <w:t> </w:t>
      </w:r>
      <w:r>
        <w:rPr>
          <w:sz w:val="19"/>
        </w:rPr>
        <w:t>Station Lane, as depicted in the amended precinct public realm plans in Appendix D: Arden</w:t>
      </w:r>
      <w:r>
        <w:rPr>
          <w:spacing w:val="1"/>
          <w:sz w:val="19"/>
        </w:rPr>
        <w:t> </w:t>
      </w:r>
      <w:r>
        <w:rPr>
          <w:sz w:val="19"/>
        </w:rPr>
        <w:t>Station</w:t>
      </w:r>
      <w:r>
        <w:rPr>
          <w:spacing w:val="-1"/>
          <w:sz w:val="19"/>
        </w:rPr>
        <w:t> </w:t>
      </w:r>
      <w:r>
        <w:rPr>
          <w:sz w:val="19"/>
        </w:rPr>
        <w:t>Precinct</w:t>
      </w:r>
      <w:r>
        <w:rPr>
          <w:spacing w:val="-1"/>
          <w:sz w:val="19"/>
        </w:rPr>
        <w:t> </w:t>
      </w:r>
      <w:r>
        <w:rPr>
          <w:sz w:val="19"/>
        </w:rPr>
        <w:t>Public</w:t>
      </w:r>
      <w:r>
        <w:rPr>
          <w:spacing w:val="-1"/>
          <w:sz w:val="19"/>
        </w:rPr>
        <w:t> </w:t>
      </w:r>
      <w:r>
        <w:rPr>
          <w:sz w:val="19"/>
        </w:rPr>
        <w:t>Realm</w:t>
      </w:r>
      <w:r>
        <w:rPr>
          <w:spacing w:val="-1"/>
          <w:sz w:val="19"/>
        </w:rPr>
        <w:t> </w:t>
      </w:r>
      <w:r>
        <w:rPr>
          <w:sz w:val="19"/>
        </w:rPr>
        <w:t>Plans</w:t>
      </w:r>
      <w:r>
        <w:rPr>
          <w:spacing w:val="4"/>
          <w:sz w:val="19"/>
        </w:rPr>
        <w:t> </w:t>
      </w:r>
      <w:r>
        <w:rPr>
          <w:sz w:val="19"/>
        </w:rPr>
        <w:t>(refer</w:t>
      </w:r>
      <w:r>
        <w:rPr>
          <w:spacing w:val="-2"/>
          <w:sz w:val="19"/>
        </w:rPr>
        <w:t> </w:t>
      </w:r>
      <w:r>
        <w:rPr>
          <w:sz w:val="19"/>
        </w:rPr>
        <w:t>also to</w:t>
      </w:r>
      <w:r>
        <w:rPr>
          <w:spacing w:val="-2"/>
          <w:sz w:val="19"/>
        </w:rPr>
        <w:t> </w:t>
      </w:r>
      <w:r>
        <w:rPr>
          <w:sz w:val="19"/>
        </w:rPr>
        <w:t>Section</w:t>
      </w:r>
      <w:r>
        <w:rPr>
          <w:spacing w:val="1"/>
          <w:sz w:val="19"/>
        </w:rPr>
        <w:t> </w:t>
      </w:r>
      <w:hyperlink w:history="true" w:anchor="_bookmark34">
        <w:r>
          <w:rPr>
            <w:sz w:val="19"/>
          </w:rPr>
          <w:t>4.3.4.2</w:t>
        </w:r>
      </w:hyperlink>
      <w:r>
        <w:rPr>
          <w:sz w:val="19"/>
        </w:rPr>
        <w:t>)</w:t>
      </w:r>
    </w:p>
    <w:p>
      <w:pPr>
        <w:pStyle w:val="ListParagraph"/>
        <w:numPr>
          <w:ilvl w:val="1"/>
          <w:numId w:val="9"/>
        </w:numPr>
        <w:tabs>
          <w:tab w:pos="686" w:val="left" w:leader="none"/>
        </w:tabs>
        <w:spacing w:line="240" w:lineRule="auto" w:before="116" w:after="0"/>
        <w:ind w:left="685" w:right="454" w:hanging="284"/>
        <w:jc w:val="left"/>
        <w:rPr>
          <w:sz w:val="19"/>
        </w:rPr>
      </w:pPr>
      <w:r>
        <w:rPr>
          <w:sz w:val="19"/>
        </w:rPr>
        <w:t>Design development of Laurens Lane to include fire booster relocation, increased plinth</w:t>
      </w:r>
      <w:r>
        <w:rPr>
          <w:spacing w:val="1"/>
          <w:sz w:val="19"/>
        </w:rPr>
        <w:t> </w:t>
      </w:r>
      <w:r>
        <w:rPr>
          <w:sz w:val="19"/>
        </w:rPr>
        <w:t>terrace area and adjustments to the stair alignment to better address access requirements to</w:t>
      </w:r>
      <w:r>
        <w:rPr>
          <w:spacing w:val="-50"/>
          <w:sz w:val="19"/>
        </w:rPr>
        <w:t> </w:t>
      </w:r>
      <w:r>
        <w:rPr>
          <w:sz w:val="19"/>
        </w:rPr>
        <w:t>station services, increased scale of WSUD and garden beds and re-arrangement of street</w:t>
      </w:r>
      <w:r>
        <w:rPr>
          <w:spacing w:val="1"/>
          <w:sz w:val="19"/>
        </w:rPr>
        <w:t> </w:t>
      </w:r>
      <w:r>
        <w:rPr>
          <w:sz w:val="19"/>
        </w:rPr>
        <w:t>furniture as shown in the amended precinct public realm plans in Appendix D: Arden Station</w:t>
      </w:r>
      <w:r>
        <w:rPr>
          <w:spacing w:val="1"/>
          <w:sz w:val="19"/>
        </w:rPr>
        <w:t> </w:t>
      </w:r>
      <w:r>
        <w:rPr>
          <w:sz w:val="19"/>
        </w:rPr>
        <w:t>Precinct</w:t>
      </w:r>
      <w:r>
        <w:rPr>
          <w:spacing w:val="-2"/>
          <w:sz w:val="19"/>
        </w:rPr>
        <w:t> </w:t>
      </w:r>
      <w:r>
        <w:rPr>
          <w:sz w:val="19"/>
        </w:rPr>
        <w:t>Public Realm</w:t>
      </w:r>
      <w:r>
        <w:rPr>
          <w:spacing w:val="-1"/>
          <w:sz w:val="19"/>
        </w:rPr>
        <w:t> </w:t>
      </w:r>
      <w:r>
        <w:rPr>
          <w:sz w:val="19"/>
        </w:rPr>
        <w:t>Plans (refer</w:t>
      </w:r>
      <w:r>
        <w:rPr>
          <w:spacing w:val="-1"/>
          <w:sz w:val="19"/>
        </w:rPr>
        <w:t> </w:t>
      </w:r>
      <w:r>
        <w:rPr>
          <w:sz w:val="19"/>
        </w:rPr>
        <w:t>also to</w:t>
      </w:r>
      <w:r>
        <w:rPr>
          <w:spacing w:val="-1"/>
          <w:sz w:val="19"/>
        </w:rPr>
        <w:t> </w:t>
      </w:r>
      <w:r>
        <w:rPr>
          <w:sz w:val="19"/>
        </w:rPr>
        <w:t>Section </w:t>
      </w:r>
      <w:hyperlink w:history="true" w:anchor="_bookmark34">
        <w:r>
          <w:rPr>
            <w:sz w:val="19"/>
          </w:rPr>
          <w:t>4.3.4.2</w:t>
        </w:r>
      </w:hyperlink>
      <w:r>
        <w:rPr>
          <w:sz w:val="19"/>
        </w:rPr>
        <w:t>)</w:t>
      </w:r>
    </w:p>
    <w:p>
      <w:pPr>
        <w:pStyle w:val="ListParagraph"/>
        <w:numPr>
          <w:ilvl w:val="1"/>
          <w:numId w:val="9"/>
        </w:numPr>
        <w:tabs>
          <w:tab w:pos="686" w:val="left" w:leader="none"/>
        </w:tabs>
        <w:spacing w:line="240" w:lineRule="auto" w:before="120" w:after="0"/>
        <w:ind w:left="685" w:right="390" w:hanging="284"/>
        <w:jc w:val="left"/>
        <w:rPr>
          <w:sz w:val="19"/>
        </w:rPr>
      </w:pPr>
      <w:r>
        <w:rPr>
          <w:sz w:val="19"/>
        </w:rPr>
        <w:t>Barwise Street plinth terrace has been introduced as part of raising the northern retail terrace</w:t>
      </w:r>
      <w:r>
        <w:rPr>
          <w:spacing w:val="-50"/>
          <w:sz w:val="19"/>
        </w:rPr>
        <w:t> </w:t>
      </w:r>
      <w:r>
        <w:rPr>
          <w:sz w:val="19"/>
        </w:rPr>
        <w:t>to further address flood protection (refer to Section </w:t>
      </w:r>
      <w:hyperlink w:history="true" w:anchor="_bookmark26">
        <w:r>
          <w:rPr>
            <w:sz w:val="19"/>
          </w:rPr>
          <w:t>4.3.1</w:t>
        </w:r>
      </w:hyperlink>
      <w:r>
        <w:rPr>
          <w:sz w:val="19"/>
        </w:rPr>
        <w:t>). Accordingly, ramps and stairs have</w:t>
      </w:r>
      <w:r>
        <w:rPr>
          <w:spacing w:val="-50"/>
          <w:sz w:val="19"/>
        </w:rPr>
        <w:t> </w:t>
      </w:r>
      <w:r>
        <w:rPr>
          <w:sz w:val="19"/>
        </w:rPr>
        <w:t>been adjusted to provide better access to the retail units, shown on the amended precinct</w:t>
      </w:r>
      <w:r>
        <w:rPr>
          <w:spacing w:val="1"/>
          <w:sz w:val="19"/>
        </w:rPr>
        <w:t> </w:t>
      </w:r>
      <w:r>
        <w:rPr>
          <w:sz w:val="19"/>
        </w:rPr>
        <w:t>public</w:t>
      </w:r>
      <w:r>
        <w:rPr>
          <w:spacing w:val="-1"/>
          <w:sz w:val="19"/>
        </w:rPr>
        <w:t> </w:t>
      </w:r>
      <w:r>
        <w:rPr>
          <w:sz w:val="19"/>
        </w:rPr>
        <w:t>realm</w:t>
      </w:r>
      <w:r>
        <w:rPr>
          <w:spacing w:val="-2"/>
          <w:sz w:val="19"/>
        </w:rPr>
        <w:t> </w:t>
      </w:r>
      <w:r>
        <w:rPr>
          <w:sz w:val="19"/>
        </w:rPr>
        <w:t>plans</w:t>
      </w:r>
      <w:r>
        <w:rPr>
          <w:spacing w:val="1"/>
          <w:sz w:val="19"/>
        </w:rPr>
        <w:t> </w:t>
      </w:r>
      <w:r>
        <w:rPr>
          <w:sz w:val="19"/>
        </w:rPr>
        <w:t>in Appendix D:</w:t>
      </w:r>
      <w:r>
        <w:rPr>
          <w:spacing w:val="-2"/>
          <w:sz w:val="19"/>
        </w:rPr>
        <w:t> </w:t>
      </w:r>
      <w:r>
        <w:rPr>
          <w:sz w:val="19"/>
        </w:rPr>
        <w:t>Arden</w:t>
      </w:r>
      <w:r>
        <w:rPr>
          <w:spacing w:val="1"/>
          <w:sz w:val="19"/>
        </w:rPr>
        <w:t> </w:t>
      </w:r>
      <w:r>
        <w:rPr>
          <w:sz w:val="19"/>
        </w:rPr>
        <w:t>Station Precinct</w:t>
      </w:r>
      <w:r>
        <w:rPr>
          <w:spacing w:val="-4"/>
          <w:sz w:val="19"/>
        </w:rPr>
        <w:t> </w:t>
      </w:r>
      <w:r>
        <w:rPr>
          <w:sz w:val="19"/>
        </w:rPr>
        <w:t>Public Realm</w:t>
      </w:r>
      <w:r>
        <w:rPr>
          <w:spacing w:val="-2"/>
          <w:sz w:val="19"/>
        </w:rPr>
        <w:t> </w:t>
      </w:r>
      <w:r>
        <w:rPr>
          <w:sz w:val="19"/>
        </w:rPr>
        <w:t>Plans</w:t>
      </w:r>
    </w:p>
    <w:p>
      <w:pPr>
        <w:pStyle w:val="ListParagraph"/>
        <w:numPr>
          <w:ilvl w:val="1"/>
          <w:numId w:val="9"/>
        </w:numPr>
        <w:tabs>
          <w:tab w:pos="686" w:val="left" w:leader="none"/>
        </w:tabs>
        <w:spacing w:line="240" w:lineRule="auto" w:before="120" w:after="0"/>
        <w:ind w:left="685" w:right="368" w:hanging="284"/>
        <w:jc w:val="left"/>
        <w:rPr>
          <w:sz w:val="19"/>
        </w:rPr>
      </w:pPr>
      <w:r>
        <w:rPr>
          <w:sz w:val="19"/>
        </w:rPr>
        <w:t>Incorporation of linear garden beds (including a rain garden) at the northern edge of the</w:t>
      </w:r>
      <w:r>
        <w:rPr>
          <w:spacing w:val="1"/>
          <w:sz w:val="19"/>
        </w:rPr>
        <w:t> </w:t>
      </w:r>
      <w:r>
        <w:rPr>
          <w:sz w:val="19"/>
        </w:rPr>
        <w:t>proposed outdoor dining area on Barwise Street. This is proposed to clearly define the</w:t>
      </w:r>
      <w:r>
        <w:rPr>
          <w:spacing w:val="1"/>
          <w:sz w:val="19"/>
        </w:rPr>
        <w:t> </w:t>
      </w:r>
      <w:r>
        <w:rPr>
          <w:sz w:val="19"/>
        </w:rPr>
        <w:t>pedestrian avenue and retail spill out/ outdoor dining, reflected in the amended precinct public</w:t>
      </w:r>
      <w:r>
        <w:rPr>
          <w:spacing w:val="-50"/>
          <w:sz w:val="19"/>
        </w:rPr>
        <w:t> </w:t>
      </w:r>
      <w:r>
        <w:rPr>
          <w:sz w:val="19"/>
        </w:rPr>
        <w:t>realm</w:t>
      </w:r>
      <w:r>
        <w:rPr>
          <w:spacing w:val="-2"/>
          <w:sz w:val="19"/>
        </w:rPr>
        <w:t> </w:t>
      </w:r>
      <w:r>
        <w:rPr>
          <w:sz w:val="19"/>
        </w:rPr>
        <w:t>plans</w:t>
      </w:r>
      <w:r>
        <w:rPr>
          <w:spacing w:val="1"/>
          <w:sz w:val="19"/>
        </w:rPr>
        <w:t> </w:t>
      </w:r>
      <w:r>
        <w:rPr>
          <w:sz w:val="19"/>
        </w:rPr>
        <w:t>in Appendix D:</w:t>
      </w:r>
      <w:r>
        <w:rPr>
          <w:spacing w:val="-1"/>
          <w:sz w:val="19"/>
        </w:rPr>
        <w:t> </w:t>
      </w:r>
      <w:r>
        <w:rPr>
          <w:sz w:val="19"/>
        </w:rPr>
        <w:t>Arden</w:t>
      </w:r>
      <w:r>
        <w:rPr>
          <w:spacing w:val="1"/>
          <w:sz w:val="19"/>
        </w:rPr>
        <w:t> </w:t>
      </w:r>
      <w:r>
        <w:rPr>
          <w:sz w:val="19"/>
        </w:rPr>
        <w:t>Station Precinct</w:t>
      </w:r>
      <w:r>
        <w:rPr>
          <w:spacing w:val="-1"/>
          <w:sz w:val="19"/>
        </w:rPr>
        <w:t> </w:t>
      </w:r>
      <w:r>
        <w:rPr>
          <w:sz w:val="19"/>
        </w:rPr>
        <w:t>Public</w:t>
      </w:r>
      <w:r>
        <w:rPr>
          <w:spacing w:val="-3"/>
          <w:sz w:val="19"/>
        </w:rPr>
        <w:t> </w:t>
      </w:r>
      <w:r>
        <w:rPr>
          <w:sz w:val="19"/>
        </w:rPr>
        <w:t>Realm</w:t>
      </w:r>
      <w:r>
        <w:rPr>
          <w:spacing w:val="-1"/>
          <w:sz w:val="19"/>
        </w:rPr>
        <w:t> </w:t>
      </w:r>
      <w:r>
        <w:rPr>
          <w:sz w:val="19"/>
        </w:rPr>
        <w:t>Plans</w:t>
      </w:r>
    </w:p>
    <w:p>
      <w:pPr>
        <w:pStyle w:val="ListParagraph"/>
        <w:numPr>
          <w:ilvl w:val="1"/>
          <w:numId w:val="9"/>
        </w:numPr>
        <w:tabs>
          <w:tab w:pos="686" w:val="left" w:leader="none"/>
        </w:tabs>
        <w:spacing w:line="240" w:lineRule="auto" w:before="119" w:after="0"/>
        <w:ind w:left="685" w:right="307" w:hanging="284"/>
        <w:jc w:val="left"/>
        <w:rPr>
          <w:sz w:val="19"/>
        </w:rPr>
      </w:pPr>
      <w:r>
        <w:rPr>
          <w:sz w:val="19"/>
        </w:rPr>
        <w:t>The flood management areas that were proposed in the previous Development Plan</w:t>
      </w:r>
      <w:r>
        <w:rPr>
          <w:spacing w:val="1"/>
          <w:sz w:val="19"/>
        </w:rPr>
        <w:t> </w:t>
      </w:r>
      <w:r>
        <w:rPr>
          <w:sz w:val="19"/>
        </w:rPr>
        <w:t>submission have been maintained as grassed areas through design development, in</w:t>
      </w:r>
      <w:r>
        <w:rPr>
          <w:spacing w:val="1"/>
          <w:sz w:val="19"/>
        </w:rPr>
        <w:t> </w:t>
      </w:r>
      <w:r>
        <w:rPr>
          <w:sz w:val="19"/>
        </w:rPr>
        <w:t>consultation</w:t>
      </w:r>
      <w:r>
        <w:rPr>
          <w:spacing w:val="-3"/>
          <w:sz w:val="19"/>
        </w:rPr>
        <w:t> </w:t>
      </w:r>
      <w:r>
        <w:rPr>
          <w:sz w:val="19"/>
        </w:rPr>
        <w:t>with</w:t>
      </w:r>
      <w:r>
        <w:rPr>
          <w:spacing w:val="-1"/>
          <w:sz w:val="19"/>
        </w:rPr>
        <w:t> </w:t>
      </w:r>
      <w:r>
        <w:rPr>
          <w:sz w:val="19"/>
        </w:rPr>
        <w:t>Melbourne</w:t>
      </w:r>
      <w:r>
        <w:rPr>
          <w:spacing w:val="-5"/>
          <w:sz w:val="19"/>
        </w:rPr>
        <w:t> </w:t>
      </w:r>
      <w:r>
        <w:rPr>
          <w:sz w:val="19"/>
        </w:rPr>
        <w:t>Water</w:t>
      </w:r>
      <w:r>
        <w:rPr>
          <w:spacing w:val="-2"/>
          <w:sz w:val="19"/>
        </w:rPr>
        <w:t> </w:t>
      </w:r>
      <w:r>
        <w:rPr>
          <w:sz w:val="19"/>
        </w:rPr>
        <w:t>and</w:t>
      </w:r>
      <w:r>
        <w:rPr>
          <w:spacing w:val="-1"/>
          <w:sz w:val="19"/>
        </w:rPr>
        <w:t> </w:t>
      </w:r>
      <w:r>
        <w:rPr>
          <w:sz w:val="19"/>
        </w:rPr>
        <w:t>the</w:t>
      </w:r>
      <w:r>
        <w:rPr>
          <w:spacing w:val="-3"/>
          <w:sz w:val="19"/>
        </w:rPr>
        <w:t> </w:t>
      </w:r>
      <w:r>
        <w:rPr>
          <w:sz w:val="19"/>
        </w:rPr>
        <w:t>Victorian</w:t>
      </w:r>
      <w:r>
        <w:rPr>
          <w:spacing w:val="-2"/>
          <w:sz w:val="19"/>
        </w:rPr>
        <w:t> </w:t>
      </w:r>
      <w:r>
        <w:rPr>
          <w:sz w:val="19"/>
        </w:rPr>
        <w:t>Planning</w:t>
      </w:r>
      <w:r>
        <w:rPr>
          <w:spacing w:val="-3"/>
          <w:sz w:val="19"/>
        </w:rPr>
        <w:t> </w:t>
      </w:r>
      <w:r>
        <w:rPr>
          <w:sz w:val="19"/>
        </w:rPr>
        <w:t>Authority</w:t>
      </w:r>
      <w:r>
        <w:rPr>
          <w:spacing w:val="1"/>
          <w:sz w:val="19"/>
        </w:rPr>
        <w:t> </w:t>
      </w:r>
      <w:r>
        <w:rPr>
          <w:sz w:val="19"/>
        </w:rPr>
        <w:t>(refer</w:t>
      </w:r>
      <w:r>
        <w:rPr>
          <w:spacing w:val="-2"/>
          <w:sz w:val="19"/>
        </w:rPr>
        <w:t> </w:t>
      </w:r>
      <w:r>
        <w:rPr>
          <w:sz w:val="19"/>
        </w:rPr>
        <w:t>to</w:t>
      </w:r>
      <w:r>
        <w:rPr>
          <w:spacing w:val="-3"/>
          <w:sz w:val="19"/>
        </w:rPr>
        <w:t> </w:t>
      </w:r>
      <w:r>
        <w:rPr>
          <w:sz w:val="19"/>
        </w:rPr>
        <w:t>Section</w:t>
      </w:r>
      <w:r>
        <w:rPr>
          <w:spacing w:val="-1"/>
          <w:sz w:val="19"/>
        </w:rPr>
        <w:t> </w:t>
      </w:r>
      <w:hyperlink w:history="true" w:anchor="_bookmark27">
        <w:r>
          <w:rPr>
            <w:sz w:val="19"/>
          </w:rPr>
          <w:t>4.3.2</w:t>
        </w:r>
      </w:hyperlink>
      <w:r>
        <w:rPr>
          <w:sz w:val="19"/>
        </w:rPr>
        <w:t>)</w:t>
      </w:r>
    </w:p>
    <w:p>
      <w:pPr>
        <w:spacing w:after="0" w:line="240" w:lineRule="auto"/>
        <w:jc w:val="left"/>
        <w:rPr>
          <w:sz w:val="19"/>
        </w:rPr>
        <w:sectPr>
          <w:pgSz w:w="11910" w:h="16840"/>
          <w:pgMar w:header="899" w:footer="445" w:top="1860" w:bottom="640" w:left="130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1"/>
          <w:numId w:val="9"/>
        </w:numPr>
        <w:tabs>
          <w:tab w:pos="686" w:val="left" w:leader="none"/>
        </w:tabs>
        <w:spacing w:line="240" w:lineRule="auto" w:before="93" w:after="0"/>
        <w:ind w:left="685" w:right="359" w:hanging="284"/>
        <w:jc w:val="left"/>
        <w:rPr>
          <w:sz w:val="19"/>
        </w:rPr>
      </w:pPr>
      <w:r>
        <w:rPr>
          <w:sz w:val="19"/>
        </w:rPr>
        <w:t>As per the City of Melbourne’s request, bluestone paving previously proposed on Barwise</w:t>
      </w:r>
      <w:r>
        <w:rPr>
          <w:spacing w:val="1"/>
          <w:sz w:val="19"/>
        </w:rPr>
        <w:t> </w:t>
      </w:r>
      <w:r>
        <w:rPr>
          <w:sz w:val="19"/>
        </w:rPr>
        <w:t>Street (west), between Laurens Street (west) and Queensberry Street, and between Barwise</w:t>
      </w:r>
      <w:r>
        <w:rPr>
          <w:spacing w:val="1"/>
          <w:sz w:val="19"/>
        </w:rPr>
        <w:t> </w:t>
      </w:r>
      <w:r>
        <w:rPr>
          <w:sz w:val="19"/>
        </w:rPr>
        <w:t>and Arden Street has been removed (refer to Section </w:t>
      </w:r>
      <w:hyperlink w:history="true" w:anchor="_bookmark43">
        <w:r>
          <w:rPr>
            <w:sz w:val="19"/>
          </w:rPr>
          <w:t>4.3.8</w:t>
        </w:r>
      </w:hyperlink>
      <w:r>
        <w:rPr>
          <w:sz w:val="19"/>
        </w:rPr>
        <w:t>). Materials and finishes are shown</w:t>
      </w:r>
      <w:r>
        <w:rPr>
          <w:spacing w:val="-50"/>
          <w:sz w:val="19"/>
        </w:rPr>
        <w:t> </w:t>
      </w:r>
      <w:r>
        <w:rPr>
          <w:sz w:val="19"/>
        </w:rPr>
        <w:t>in the Materials Schedule in Appendix B: Arden Station Precinct Architectural Plans and</w:t>
      </w:r>
      <w:r>
        <w:rPr>
          <w:spacing w:val="1"/>
          <w:sz w:val="19"/>
        </w:rPr>
        <w:t> </w:t>
      </w:r>
      <w:r>
        <w:rPr>
          <w:sz w:val="19"/>
        </w:rPr>
        <w:t>Elevations</w:t>
      </w:r>
      <w:r>
        <w:rPr>
          <w:spacing w:val="1"/>
          <w:sz w:val="19"/>
        </w:rPr>
        <w:t> </w:t>
      </w:r>
      <w:r>
        <w:rPr>
          <w:sz w:val="19"/>
        </w:rPr>
        <w:t>and in</w:t>
      </w:r>
      <w:r>
        <w:rPr>
          <w:spacing w:val="-1"/>
          <w:sz w:val="19"/>
        </w:rPr>
        <w:t> </w:t>
      </w:r>
      <w:r>
        <w:rPr>
          <w:sz w:val="19"/>
        </w:rPr>
        <w:t>Appendix</w:t>
      </w:r>
      <w:r>
        <w:rPr>
          <w:spacing w:val="-2"/>
          <w:sz w:val="19"/>
        </w:rPr>
        <w:t> </w:t>
      </w:r>
      <w:r>
        <w:rPr>
          <w:sz w:val="19"/>
        </w:rPr>
        <w:t>D:</w:t>
      </w:r>
      <w:r>
        <w:rPr>
          <w:spacing w:val="-1"/>
          <w:sz w:val="19"/>
        </w:rPr>
        <w:t> </w:t>
      </w:r>
      <w:r>
        <w:rPr>
          <w:sz w:val="19"/>
        </w:rPr>
        <w:t>Arden</w:t>
      </w:r>
      <w:r>
        <w:rPr>
          <w:spacing w:val="1"/>
          <w:sz w:val="19"/>
        </w:rPr>
        <w:t> </w:t>
      </w:r>
      <w:r>
        <w:rPr>
          <w:sz w:val="19"/>
        </w:rPr>
        <w:t>Station Precinct</w:t>
      </w:r>
      <w:r>
        <w:rPr>
          <w:spacing w:val="-1"/>
          <w:sz w:val="19"/>
        </w:rPr>
        <w:t> </w:t>
      </w:r>
      <w:r>
        <w:rPr>
          <w:sz w:val="19"/>
        </w:rPr>
        <w:t>Public</w:t>
      </w:r>
      <w:r>
        <w:rPr>
          <w:spacing w:val="-1"/>
          <w:sz w:val="19"/>
        </w:rPr>
        <w:t> </w:t>
      </w:r>
      <w:r>
        <w:rPr>
          <w:sz w:val="19"/>
        </w:rPr>
        <w:t>Realm</w:t>
      </w:r>
      <w:r>
        <w:rPr>
          <w:spacing w:val="-2"/>
          <w:sz w:val="19"/>
        </w:rPr>
        <w:t> </w:t>
      </w:r>
      <w:r>
        <w:rPr>
          <w:sz w:val="19"/>
        </w:rPr>
        <w:t>Plans</w:t>
      </w:r>
    </w:p>
    <w:p>
      <w:pPr>
        <w:pStyle w:val="ListParagraph"/>
        <w:numPr>
          <w:ilvl w:val="1"/>
          <w:numId w:val="9"/>
        </w:numPr>
        <w:tabs>
          <w:tab w:pos="686" w:val="left" w:leader="none"/>
        </w:tabs>
        <w:spacing w:line="240" w:lineRule="auto" w:before="120" w:after="0"/>
        <w:ind w:left="685" w:right="423" w:hanging="284"/>
        <w:jc w:val="both"/>
        <w:rPr>
          <w:sz w:val="19"/>
        </w:rPr>
      </w:pPr>
      <w:r>
        <w:rPr>
          <w:sz w:val="19"/>
        </w:rPr>
        <w:t>Additional lighting detail is provided and amendments to the proposed locations are shown in</w:t>
      </w:r>
      <w:r>
        <w:rPr>
          <w:spacing w:val="-50"/>
          <w:sz w:val="19"/>
        </w:rPr>
        <w:t> </w:t>
      </w:r>
      <w:r>
        <w:rPr>
          <w:sz w:val="19"/>
        </w:rPr>
        <w:t>the amended precinct public realm plans in Appendix D: Arden Station Precinct Public Realm</w:t>
      </w:r>
      <w:r>
        <w:rPr>
          <w:spacing w:val="-50"/>
          <w:sz w:val="19"/>
        </w:rPr>
        <w:t> </w:t>
      </w:r>
      <w:r>
        <w:rPr>
          <w:sz w:val="19"/>
        </w:rPr>
        <w:t>Plans (refer</w:t>
      </w:r>
      <w:r>
        <w:rPr>
          <w:spacing w:val="-1"/>
          <w:sz w:val="19"/>
        </w:rPr>
        <w:t> </w:t>
      </w:r>
      <w:r>
        <w:rPr>
          <w:sz w:val="19"/>
        </w:rPr>
        <w:t>also</w:t>
      </w:r>
      <w:r>
        <w:rPr>
          <w:spacing w:val="-1"/>
          <w:sz w:val="19"/>
        </w:rPr>
        <w:t> </w:t>
      </w:r>
      <w:r>
        <w:rPr>
          <w:sz w:val="19"/>
        </w:rPr>
        <w:t>to Section</w:t>
      </w:r>
      <w:r>
        <w:rPr>
          <w:spacing w:val="2"/>
          <w:sz w:val="19"/>
        </w:rPr>
        <w:t> </w:t>
      </w:r>
      <w:hyperlink w:history="true" w:anchor="_bookmark40">
        <w:r>
          <w:rPr>
            <w:sz w:val="19"/>
          </w:rPr>
          <w:t>4.3.5</w:t>
        </w:r>
      </w:hyperlink>
      <w:r>
        <w:rPr>
          <w:sz w:val="19"/>
        </w:rPr>
        <w:t>)</w:t>
      </w:r>
    </w:p>
    <w:p>
      <w:pPr>
        <w:pStyle w:val="ListParagraph"/>
        <w:numPr>
          <w:ilvl w:val="1"/>
          <w:numId w:val="9"/>
        </w:numPr>
        <w:tabs>
          <w:tab w:pos="686" w:val="left" w:leader="none"/>
        </w:tabs>
        <w:spacing w:line="240" w:lineRule="auto" w:before="120" w:after="0"/>
        <w:ind w:left="685" w:right="486" w:hanging="284"/>
        <w:jc w:val="left"/>
        <w:rPr>
          <w:sz w:val="19"/>
        </w:rPr>
      </w:pPr>
      <w:r>
        <w:rPr>
          <w:sz w:val="19"/>
        </w:rPr>
        <w:t>Retention of additional trees, particularly on Laurens Street, with design changes resulting in</w:t>
      </w:r>
      <w:r>
        <w:rPr>
          <w:spacing w:val="-50"/>
          <w:sz w:val="19"/>
        </w:rPr>
        <w:t> </w:t>
      </w:r>
      <w:r>
        <w:rPr>
          <w:sz w:val="19"/>
        </w:rPr>
        <w:t>32 less trees being removed than identified during the EES and 15 less than the previously</w:t>
      </w:r>
      <w:r>
        <w:rPr>
          <w:spacing w:val="1"/>
          <w:sz w:val="19"/>
        </w:rPr>
        <w:t> </w:t>
      </w:r>
      <w:r>
        <w:rPr>
          <w:sz w:val="19"/>
        </w:rPr>
        <w:t>approved Development Plan. Shown in the Planting Plans in Appendix C: Arden Station</w:t>
      </w:r>
      <w:r>
        <w:rPr>
          <w:spacing w:val="1"/>
          <w:sz w:val="19"/>
        </w:rPr>
        <w:t> </w:t>
      </w:r>
      <w:r>
        <w:rPr>
          <w:sz w:val="19"/>
        </w:rPr>
        <w:t>Precinct</w:t>
      </w:r>
      <w:r>
        <w:rPr>
          <w:spacing w:val="-2"/>
          <w:sz w:val="19"/>
        </w:rPr>
        <w:t> </w:t>
      </w:r>
      <w:r>
        <w:rPr>
          <w:sz w:val="19"/>
        </w:rPr>
        <w:t>Landscape Plans and</w:t>
      </w:r>
      <w:r>
        <w:rPr>
          <w:spacing w:val="2"/>
          <w:sz w:val="19"/>
        </w:rPr>
        <w:t> </w:t>
      </w:r>
      <w:r>
        <w:rPr>
          <w:sz w:val="19"/>
        </w:rPr>
        <w:t>Elevations</w:t>
      </w:r>
    </w:p>
    <w:p>
      <w:pPr>
        <w:pStyle w:val="ListParagraph"/>
        <w:numPr>
          <w:ilvl w:val="1"/>
          <w:numId w:val="9"/>
        </w:numPr>
        <w:tabs>
          <w:tab w:pos="686" w:val="left" w:leader="none"/>
        </w:tabs>
        <w:spacing w:line="242" w:lineRule="auto" w:before="120" w:after="0"/>
        <w:ind w:left="685" w:right="689" w:hanging="284"/>
        <w:jc w:val="both"/>
        <w:rPr>
          <w:sz w:val="19"/>
        </w:rPr>
      </w:pPr>
      <w:r>
        <w:rPr>
          <w:sz w:val="19"/>
        </w:rPr>
        <w:t>Additional tree planting on Barwise Street and Station Lane in consultation with the City of</w:t>
      </w:r>
      <w:r>
        <w:rPr>
          <w:spacing w:val="-50"/>
          <w:sz w:val="19"/>
        </w:rPr>
        <w:t> </w:t>
      </w:r>
      <w:r>
        <w:rPr>
          <w:sz w:val="19"/>
        </w:rPr>
        <w:t>Melbourne, shown in the Planting Plans in Appendix C: Arden Station Precinct Landscape</w:t>
      </w:r>
      <w:r>
        <w:rPr>
          <w:spacing w:val="-50"/>
          <w:sz w:val="19"/>
        </w:rPr>
        <w:t> </w:t>
      </w:r>
      <w:r>
        <w:rPr>
          <w:sz w:val="19"/>
        </w:rPr>
        <w:t>Plans and</w:t>
      </w:r>
      <w:r>
        <w:rPr>
          <w:spacing w:val="1"/>
          <w:sz w:val="19"/>
        </w:rPr>
        <w:t> </w:t>
      </w:r>
      <w:r>
        <w:rPr>
          <w:sz w:val="19"/>
        </w:rPr>
        <w:t>Elevations</w:t>
      </w:r>
    </w:p>
    <w:p>
      <w:pPr>
        <w:pStyle w:val="ListParagraph"/>
        <w:numPr>
          <w:ilvl w:val="1"/>
          <w:numId w:val="9"/>
        </w:numPr>
        <w:tabs>
          <w:tab w:pos="686" w:val="left" w:leader="none"/>
        </w:tabs>
        <w:spacing w:line="240" w:lineRule="auto" w:before="116" w:after="0"/>
        <w:ind w:left="685" w:right="310" w:hanging="284"/>
        <w:jc w:val="left"/>
        <w:rPr>
          <w:sz w:val="19"/>
        </w:rPr>
      </w:pPr>
      <w:r>
        <w:rPr>
          <w:sz w:val="19"/>
        </w:rPr>
        <w:t>Repositioned trees on Laurens Street, Barwise Street and Station Lane for consistent spacing,</w:t>
      </w:r>
      <w:r>
        <w:rPr>
          <w:spacing w:val="-50"/>
          <w:sz w:val="19"/>
        </w:rPr>
        <w:t> </w:t>
      </w:r>
      <w:r>
        <w:rPr>
          <w:sz w:val="19"/>
        </w:rPr>
        <w:t>shown on the amended landscape plans in Appendix C: Arden Station Precinct Landscape</w:t>
      </w:r>
      <w:r>
        <w:rPr>
          <w:spacing w:val="1"/>
          <w:sz w:val="19"/>
        </w:rPr>
        <w:t> </w:t>
      </w:r>
      <w:r>
        <w:rPr>
          <w:sz w:val="19"/>
        </w:rPr>
        <w:t>Plans and</w:t>
      </w:r>
      <w:r>
        <w:rPr>
          <w:spacing w:val="1"/>
          <w:sz w:val="19"/>
        </w:rPr>
        <w:t> </w:t>
      </w:r>
      <w:r>
        <w:rPr>
          <w:sz w:val="19"/>
        </w:rPr>
        <w:t>Elevations</w:t>
      </w:r>
    </w:p>
    <w:p>
      <w:pPr>
        <w:pStyle w:val="ListParagraph"/>
        <w:numPr>
          <w:ilvl w:val="1"/>
          <w:numId w:val="9"/>
        </w:numPr>
        <w:tabs>
          <w:tab w:pos="686" w:val="left" w:leader="none"/>
        </w:tabs>
        <w:spacing w:line="240" w:lineRule="auto" w:before="119" w:after="0"/>
        <w:ind w:left="685" w:right="750" w:hanging="284"/>
        <w:jc w:val="left"/>
        <w:rPr>
          <w:sz w:val="19"/>
        </w:rPr>
      </w:pPr>
      <w:r>
        <w:rPr>
          <w:sz w:val="19"/>
        </w:rPr>
        <w:t>Re-alignment of the hoarding proposed at Day 1, to prevent public access to the Western</w:t>
      </w:r>
      <w:r>
        <w:rPr>
          <w:spacing w:val="-50"/>
          <w:sz w:val="19"/>
        </w:rPr>
        <w:t> </w:t>
      </w:r>
      <w:r>
        <w:rPr>
          <w:sz w:val="19"/>
        </w:rPr>
        <w:t>Building,</w:t>
      </w:r>
      <w:r>
        <w:rPr>
          <w:spacing w:val="-2"/>
          <w:sz w:val="19"/>
        </w:rPr>
        <w:t> </w:t>
      </w:r>
      <w:r>
        <w:rPr>
          <w:sz w:val="19"/>
        </w:rPr>
        <w:t>Fogarty</w:t>
      </w:r>
      <w:r>
        <w:rPr>
          <w:spacing w:val="1"/>
          <w:sz w:val="19"/>
        </w:rPr>
        <w:t> </w:t>
      </w:r>
      <w:r>
        <w:rPr>
          <w:sz w:val="19"/>
        </w:rPr>
        <w:t>Street</w:t>
      </w:r>
      <w:r>
        <w:rPr>
          <w:spacing w:val="-2"/>
          <w:sz w:val="19"/>
        </w:rPr>
        <w:t> </w:t>
      </w:r>
      <w:r>
        <w:rPr>
          <w:sz w:val="19"/>
        </w:rPr>
        <w:t>and</w:t>
      </w:r>
      <w:r>
        <w:rPr>
          <w:spacing w:val="-2"/>
          <w:sz w:val="19"/>
        </w:rPr>
        <w:t> </w:t>
      </w:r>
      <w:r>
        <w:rPr>
          <w:sz w:val="19"/>
        </w:rPr>
        <w:t>Station</w:t>
      </w:r>
      <w:r>
        <w:rPr>
          <w:spacing w:val="-2"/>
          <w:sz w:val="19"/>
        </w:rPr>
        <w:t> </w:t>
      </w:r>
      <w:r>
        <w:rPr>
          <w:sz w:val="19"/>
        </w:rPr>
        <w:t>Lane turning</w:t>
      </w:r>
      <w:r>
        <w:rPr>
          <w:spacing w:val="-2"/>
          <w:sz w:val="19"/>
        </w:rPr>
        <w:t> </w:t>
      </w:r>
      <w:r>
        <w:rPr>
          <w:sz w:val="19"/>
        </w:rPr>
        <w:t>circle</w:t>
      </w:r>
      <w:r>
        <w:rPr>
          <w:spacing w:val="-1"/>
          <w:sz w:val="19"/>
        </w:rPr>
        <w:t> </w:t>
      </w:r>
      <w:r>
        <w:rPr>
          <w:sz w:val="19"/>
        </w:rPr>
        <w:t>(refer</w:t>
      </w:r>
      <w:r>
        <w:rPr>
          <w:spacing w:val="-1"/>
          <w:sz w:val="19"/>
        </w:rPr>
        <w:t> </w:t>
      </w:r>
      <w:r>
        <w:rPr>
          <w:sz w:val="19"/>
        </w:rPr>
        <w:t>to</w:t>
      </w:r>
      <w:r>
        <w:rPr>
          <w:spacing w:val="-2"/>
          <w:sz w:val="19"/>
        </w:rPr>
        <w:t> </w:t>
      </w:r>
      <w:r>
        <w:rPr>
          <w:sz w:val="19"/>
        </w:rPr>
        <w:t>Section </w:t>
      </w:r>
      <w:hyperlink w:history="true" w:anchor="_bookmark44">
        <w:r>
          <w:rPr>
            <w:sz w:val="19"/>
          </w:rPr>
          <w:t>4.3.9</w:t>
        </w:r>
      </w:hyperlink>
      <w:r>
        <w:rPr>
          <w:sz w:val="19"/>
        </w:rPr>
        <w:t>).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1"/>
          <w:numId w:val="5"/>
        </w:numPr>
        <w:tabs>
          <w:tab w:pos="827" w:val="left" w:leader="none"/>
        </w:tabs>
        <w:spacing w:line="240" w:lineRule="auto" w:before="0" w:after="0"/>
        <w:ind w:left="826" w:right="1505" w:hanging="708"/>
        <w:jc w:val="left"/>
      </w:pPr>
      <w:bookmarkStart w:name="_bookmark21" w:id="72"/>
      <w:bookmarkEnd w:id="72"/>
      <w:r>
        <w:rPr/>
      </w:r>
      <w:bookmarkStart w:name="_bookmark21" w:id="73"/>
      <w:bookmarkEnd w:id="73"/>
      <w:r>
        <w:rPr>
          <w:color w:val="00BBE9"/>
        </w:rPr>
        <w:t>DES</w:t>
      </w:r>
      <w:r>
        <w:rPr>
          <w:color w:val="00BBE9"/>
        </w:rPr>
        <w:t>IGN PRINCIPLES FOR METRO TUNNEL</w:t>
      </w:r>
      <w:r>
        <w:rPr>
          <w:color w:val="00BBE9"/>
          <w:spacing w:val="-87"/>
        </w:rPr>
        <w:t> </w:t>
      </w:r>
      <w:r>
        <w:rPr>
          <w:color w:val="00BBE9"/>
        </w:rPr>
        <w:t>PROJECT</w:t>
      </w:r>
    </w:p>
    <w:p>
      <w:pPr>
        <w:pStyle w:val="BodyText"/>
        <w:rPr>
          <w:sz w:val="38"/>
        </w:rPr>
      </w:pPr>
    </w:p>
    <w:p>
      <w:pPr>
        <w:pStyle w:val="Heading3"/>
        <w:numPr>
          <w:ilvl w:val="2"/>
          <w:numId w:val="5"/>
        </w:numPr>
        <w:tabs>
          <w:tab w:pos="971" w:val="left" w:leader="none"/>
        </w:tabs>
        <w:spacing w:line="240" w:lineRule="auto" w:before="0" w:after="0"/>
        <w:ind w:left="970" w:right="0" w:hanging="853"/>
        <w:jc w:val="left"/>
      </w:pPr>
      <w:bookmarkStart w:name="_bookmark22" w:id="74"/>
      <w:bookmarkEnd w:id="74"/>
      <w:r>
        <w:rPr/>
      </w:r>
      <w:bookmarkStart w:name="_bookmark22" w:id="75"/>
      <w:bookmarkEnd w:id="75"/>
      <w:r>
        <w:rPr>
          <w:color w:val="808080"/>
        </w:rPr>
        <w:t>VI</w:t>
      </w:r>
      <w:r>
        <w:rPr>
          <w:color w:val="808080"/>
        </w:rPr>
        <w:t>SION</w:t>
      </w:r>
      <w:r>
        <w:rPr>
          <w:color w:val="808080"/>
          <w:spacing w:val="-3"/>
        </w:rPr>
        <w:t> </w:t>
      </w:r>
      <w:r>
        <w:rPr>
          <w:color w:val="808080"/>
        </w:rPr>
        <w:t>AND</w:t>
      </w:r>
      <w:r>
        <w:rPr>
          <w:color w:val="808080"/>
          <w:spacing w:val="-4"/>
        </w:rPr>
        <w:t> </w:t>
      </w:r>
      <w:r>
        <w:rPr>
          <w:color w:val="808080"/>
        </w:rPr>
        <w:t>KEY</w:t>
      </w:r>
      <w:r>
        <w:rPr>
          <w:color w:val="808080"/>
          <w:spacing w:val="-5"/>
        </w:rPr>
        <w:t> </w:t>
      </w:r>
      <w:r>
        <w:rPr>
          <w:color w:val="808080"/>
        </w:rPr>
        <w:t>DIRECTIONS</w:t>
      </w:r>
    </w:p>
    <w:p>
      <w:pPr>
        <w:pStyle w:val="BodyText"/>
        <w:spacing w:before="123"/>
        <w:ind w:left="118"/>
      </w:pPr>
      <w:r>
        <w:rPr/>
        <w:t>The</w:t>
      </w:r>
      <w:r>
        <w:rPr>
          <w:spacing w:val="-3"/>
        </w:rPr>
        <w:t> </w:t>
      </w:r>
      <w:r>
        <w:rPr/>
        <w:t>Urban</w:t>
      </w:r>
      <w:r>
        <w:rPr>
          <w:spacing w:val="-2"/>
        </w:rPr>
        <w:t> </w:t>
      </w:r>
      <w:r>
        <w:rPr/>
        <w:t>Design</w:t>
      </w:r>
      <w:r>
        <w:rPr>
          <w:spacing w:val="-2"/>
        </w:rPr>
        <w:t> </w:t>
      </w:r>
      <w:r>
        <w:rPr/>
        <w:t>Strategy</w:t>
      </w:r>
      <w:r>
        <w:rPr>
          <w:spacing w:val="-1"/>
        </w:rPr>
        <w:t> </w:t>
      </w:r>
      <w:r>
        <w:rPr/>
        <w:t>establishes an</w:t>
      </w:r>
      <w:r>
        <w:rPr>
          <w:spacing w:val="-2"/>
        </w:rPr>
        <w:t> </w:t>
      </w:r>
      <w:r>
        <w:rPr/>
        <w:t>Urban</w:t>
      </w:r>
      <w:r>
        <w:rPr>
          <w:spacing w:val="-2"/>
        </w:rPr>
        <w:t> </w:t>
      </w:r>
      <w:r>
        <w:rPr/>
        <w:t>Design</w:t>
      </w:r>
      <w:r>
        <w:rPr>
          <w:spacing w:val="-4"/>
        </w:rPr>
        <w:t> </w:t>
      </w:r>
      <w:r>
        <w:rPr/>
        <w:t>Vision</w:t>
      </w:r>
      <w:r>
        <w:rPr>
          <w:spacing w:val="-2"/>
        </w:rPr>
        <w:t> </w:t>
      </w:r>
      <w:r>
        <w:rPr/>
        <w:t>that</w:t>
      </w:r>
      <w:r>
        <w:rPr>
          <w:spacing w:val="-5"/>
        </w:rPr>
        <w:t> </w:t>
      </w:r>
      <w:r>
        <w:rPr/>
        <w:t>is:</w:t>
      </w:r>
    </w:p>
    <w:p>
      <w:pPr>
        <w:spacing w:before="120"/>
        <w:ind w:left="685" w:right="483" w:firstLine="0"/>
        <w:jc w:val="left"/>
        <w:rPr>
          <w:i/>
          <w:sz w:val="19"/>
        </w:rPr>
      </w:pPr>
      <w:r>
        <w:rPr>
          <w:i/>
          <w:sz w:val="19"/>
        </w:rPr>
        <w:t>“A legacy of outstanding rail stations and associated public spaces that put people first,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contribute to Melbourne’s reputation for design excellence, and deliver an overall substantial</w:t>
      </w:r>
      <w:r>
        <w:rPr>
          <w:i/>
          <w:spacing w:val="-51"/>
          <w:sz w:val="19"/>
        </w:rPr>
        <w:t> </w:t>
      </w:r>
      <w:r>
        <w:rPr>
          <w:i/>
          <w:sz w:val="19"/>
        </w:rPr>
        <w:t>benefit in terms of urban quality for Melbourne, for the transport network, and for local areas</w:t>
      </w:r>
      <w:r>
        <w:rPr>
          <w:i/>
          <w:spacing w:val="-50"/>
          <w:sz w:val="19"/>
        </w:rPr>
        <w:t> </w:t>
      </w:r>
      <w:r>
        <w:rPr>
          <w:i/>
          <w:sz w:val="19"/>
        </w:rPr>
        <w:t>influenced</w:t>
      </w:r>
      <w:r>
        <w:rPr>
          <w:i/>
          <w:spacing w:val="-2"/>
          <w:sz w:val="19"/>
        </w:rPr>
        <w:t> </w:t>
      </w:r>
      <w:r>
        <w:rPr>
          <w:i/>
          <w:sz w:val="19"/>
        </w:rPr>
        <w:t>by the project”.</w:t>
      </w:r>
    </w:p>
    <w:p>
      <w:pPr>
        <w:pStyle w:val="BodyText"/>
        <w:spacing w:before="120"/>
        <w:ind w:left="118"/>
      </w:pPr>
      <w:r>
        <w:rPr/>
        <w:t>Under</w:t>
      </w:r>
      <w:r>
        <w:rPr>
          <w:spacing w:val="-3"/>
        </w:rPr>
        <w:t> </w:t>
      </w:r>
      <w:r>
        <w:rPr/>
        <w:t>this,</w:t>
      </w:r>
      <w:r>
        <w:rPr>
          <w:spacing w:val="-1"/>
        </w:rPr>
        <w:t> </w:t>
      </w:r>
      <w:r>
        <w:rPr/>
        <w:t>it</w:t>
      </w:r>
      <w:r>
        <w:rPr>
          <w:spacing w:val="-3"/>
        </w:rPr>
        <w:t> </w:t>
      </w:r>
      <w:r>
        <w:rPr/>
        <w:t>identifies</w:t>
      </w:r>
      <w:r>
        <w:rPr>
          <w:spacing w:val="-3"/>
        </w:rPr>
        <w:t> </w:t>
      </w:r>
      <w:r>
        <w:rPr/>
        <w:t>six</w:t>
      </w:r>
      <w:r>
        <w:rPr>
          <w:spacing w:val="-4"/>
        </w:rPr>
        <w:t> </w:t>
      </w:r>
      <w:r>
        <w:rPr/>
        <w:t>key</w:t>
      </w:r>
      <w:r>
        <w:rPr>
          <w:spacing w:val="-1"/>
        </w:rPr>
        <w:t> </w:t>
      </w:r>
      <w:r>
        <w:rPr/>
        <w:t>design</w:t>
      </w:r>
      <w:r>
        <w:rPr>
          <w:spacing w:val="-3"/>
        </w:rPr>
        <w:t> </w:t>
      </w:r>
      <w:r>
        <w:rPr/>
        <w:t>themes or</w:t>
      </w:r>
      <w:r>
        <w:rPr>
          <w:spacing w:val="-2"/>
        </w:rPr>
        <w:t> </w:t>
      </w:r>
      <w:r>
        <w:rPr/>
        <w:t>project-wide</w:t>
      </w:r>
      <w:r>
        <w:rPr>
          <w:spacing w:val="-3"/>
        </w:rPr>
        <w:t> </w:t>
      </w:r>
      <w:r>
        <w:rPr/>
        <w:t>directions,</w:t>
      </w:r>
      <w:r>
        <w:rPr>
          <w:spacing w:val="-2"/>
        </w:rPr>
        <w:t> </w:t>
      </w:r>
      <w:r>
        <w:rPr/>
        <w:t>being: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1" w:after="0"/>
        <w:ind w:left="402" w:right="0" w:hanging="285"/>
        <w:jc w:val="left"/>
        <w:rPr>
          <w:sz w:val="19"/>
        </w:rPr>
      </w:pPr>
      <w:r>
        <w:rPr>
          <w:sz w:val="19"/>
        </w:rPr>
        <w:t>Make</w:t>
      </w:r>
      <w:r>
        <w:rPr>
          <w:spacing w:val="-3"/>
          <w:sz w:val="19"/>
        </w:rPr>
        <w:t> </w:t>
      </w:r>
      <w:r>
        <w:rPr>
          <w:sz w:val="19"/>
        </w:rPr>
        <w:t>new</w:t>
      </w:r>
      <w:r>
        <w:rPr>
          <w:spacing w:val="-2"/>
          <w:sz w:val="19"/>
        </w:rPr>
        <w:t> </w:t>
      </w:r>
      <w:r>
        <w:rPr>
          <w:sz w:val="19"/>
        </w:rPr>
        <w:t>and</w:t>
      </w:r>
      <w:r>
        <w:rPr>
          <w:spacing w:val="-2"/>
          <w:sz w:val="19"/>
        </w:rPr>
        <w:t> </w:t>
      </w:r>
      <w:r>
        <w:rPr>
          <w:sz w:val="19"/>
        </w:rPr>
        <w:t>improved</w:t>
      </w:r>
      <w:r>
        <w:rPr>
          <w:spacing w:val="-2"/>
          <w:sz w:val="19"/>
        </w:rPr>
        <w:t> </w:t>
      </w:r>
      <w:r>
        <w:rPr>
          <w:sz w:val="19"/>
        </w:rPr>
        <w:t>connections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8" w:after="0"/>
        <w:ind w:left="402" w:right="0" w:hanging="285"/>
        <w:jc w:val="left"/>
        <w:rPr>
          <w:sz w:val="19"/>
        </w:rPr>
      </w:pPr>
      <w:r>
        <w:rPr>
          <w:sz w:val="19"/>
        </w:rPr>
        <w:t>Make</w:t>
      </w:r>
      <w:r>
        <w:rPr>
          <w:spacing w:val="-3"/>
          <w:sz w:val="19"/>
        </w:rPr>
        <w:t> </w:t>
      </w:r>
      <w:r>
        <w:rPr>
          <w:sz w:val="19"/>
        </w:rPr>
        <w:t>great</w:t>
      </w:r>
      <w:r>
        <w:rPr>
          <w:spacing w:val="-2"/>
          <w:sz w:val="19"/>
        </w:rPr>
        <w:t> </w:t>
      </w:r>
      <w:r>
        <w:rPr>
          <w:sz w:val="19"/>
        </w:rPr>
        <w:t>public</w:t>
      </w:r>
      <w:r>
        <w:rPr>
          <w:spacing w:val="-1"/>
          <w:sz w:val="19"/>
        </w:rPr>
        <w:t> </w:t>
      </w:r>
      <w:r>
        <w:rPr>
          <w:sz w:val="19"/>
        </w:rPr>
        <w:t>places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0" w:after="0"/>
        <w:ind w:left="402" w:right="0" w:hanging="285"/>
        <w:jc w:val="left"/>
        <w:rPr>
          <w:sz w:val="19"/>
        </w:rPr>
      </w:pPr>
      <w:r>
        <w:rPr>
          <w:sz w:val="19"/>
        </w:rPr>
        <w:t>Balance</w:t>
      </w:r>
      <w:r>
        <w:rPr>
          <w:spacing w:val="-4"/>
          <w:sz w:val="19"/>
        </w:rPr>
        <w:t> </w:t>
      </w:r>
      <w:r>
        <w:rPr>
          <w:sz w:val="19"/>
        </w:rPr>
        <w:t>line-wide</w:t>
      </w:r>
      <w:r>
        <w:rPr>
          <w:spacing w:val="-3"/>
          <w:sz w:val="19"/>
        </w:rPr>
        <w:t> </w:t>
      </w:r>
      <w:r>
        <w:rPr>
          <w:sz w:val="19"/>
        </w:rPr>
        <w:t>consistency</w:t>
      </w:r>
      <w:r>
        <w:rPr>
          <w:spacing w:val="-2"/>
          <w:sz w:val="19"/>
        </w:rPr>
        <w:t> </w:t>
      </w:r>
      <w:r>
        <w:rPr>
          <w:sz w:val="19"/>
        </w:rPr>
        <w:t>with</w:t>
      </w:r>
      <w:r>
        <w:rPr>
          <w:spacing w:val="-3"/>
          <w:sz w:val="19"/>
        </w:rPr>
        <w:t> </w:t>
      </w:r>
      <w:r>
        <w:rPr>
          <w:sz w:val="19"/>
        </w:rPr>
        <w:t>site</w:t>
      </w:r>
      <w:r>
        <w:rPr>
          <w:spacing w:val="-3"/>
          <w:sz w:val="19"/>
        </w:rPr>
        <w:t> </w:t>
      </w:r>
      <w:r>
        <w:rPr>
          <w:sz w:val="19"/>
        </w:rPr>
        <w:t>responsiveness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8" w:after="0"/>
        <w:ind w:left="402" w:right="0" w:hanging="285"/>
        <w:jc w:val="left"/>
        <w:rPr>
          <w:sz w:val="19"/>
        </w:rPr>
      </w:pPr>
      <w:r>
        <w:rPr>
          <w:sz w:val="19"/>
        </w:rPr>
        <w:t>Support</w:t>
      </w:r>
      <w:r>
        <w:rPr>
          <w:spacing w:val="-3"/>
          <w:sz w:val="19"/>
        </w:rPr>
        <w:t> </w:t>
      </w:r>
      <w:r>
        <w:rPr>
          <w:sz w:val="19"/>
        </w:rPr>
        <w:t>integrated</w:t>
      </w:r>
      <w:r>
        <w:rPr>
          <w:spacing w:val="-1"/>
          <w:sz w:val="19"/>
        </w:rPr>
        <w:t> </w:t>
      </w:r>
      <w:r>
        <w:rPr>
          <w:sz w:val="19"/>
        </w:rPr>
        <w:t>site</w:t>
      </w:r>
      <w:r>
        <w:rPr>
          <w:spacing w:val="-2"/>
          <w:sz w:val="19"/>
        </w:rPr>
        <w:t> </w:t>
      </w:r>
      <w:r>
        <w:rPr>
          <w:sz w:val="19"/>
        </w:rPr>
        <w:t>redevelopment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0" w:after="0"/>
        <w:ind w:left="402" w:right="0" w:hanging="285"/>
        <w:jc w:val="left"/>
        <w:rPr>
          <w:sz w:val="19"/>
        </w:rPr>
      </w:pPr>
      <w:r>
        <w:rPr>
          <w:sz w:val="19"/>
        </w:rPr>
        <w:t>Design</w:t>
      </w:r>
      <w:r>
        <w:rPr>
          <w:spacing w:val="-3"/>
          <w:sz w:val="19"/>
        </w:rPr>
        <w:t> </w:t>
      </w:r>
      <w:r>
        <w:rPr>
          <w:sz w:val="19"/>
        </w:rPr>
        <w:t>to</w:t>
      </w:r>
      <w:r>
        <w:rPr>
          <w:spacing w:val="-1"/>
          <w:sz w:val="19"/>
        </w:rPr>
        <w:t> </w:t>
      </w:r>
      <w:r>
        <w:rPr>
          <w:sz w:val="19"/>
        </w:rPr>
        <w:t>help</w:t>
      </w:r>
      <w:r>
        <w:rPr>
          <w:spacing w:val="-3"/>
          <w:sz w:val="19"/>
        </w:rPr>
        <w:t> </w:t>
      </w:r>
      <w:r>
        <w:rPr>
          <w:sz w:val="19"/>
        </w:rPr>
        <w:t>manage construction</w:t>
      </w:r>
      <w:r>
        <w:rPr>
          <w:spacing w:val="-1"/>
          <w:sz w:val="19"/>
        </w:rPr>
        <w:t> </w:t>
      </w:r>
      <w:r>
        <w:rPr>
          <w:sz w:val="19"/>
        </w:rPr>
        <w:t>impacts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8" w:after="0"/>
        <w:ind w:left="402" w:right="0" w:hanging="285"/>
        <w:jc w:val="left"/>
        <w:rPr>
          <w:sz w:val="19"/>
        </w:rPr>
      </w:pPr>
      <w:r>
        <w:rPr>
          <w:sz w:val="19"/>
        </w:rPr>
        <w:t>Design</w:t>
      </w:r>
      <w:r>
        <w:rPr>
          <w:spacing w:val="-2"/>
          <w:sz w:val="19"/>
        </w:rPr>
        <w:t> </w:t>
      </w:r>
      <w:r>
        <w:rPr>
          <w:sz w:val="19"/>
        </w:rPr>
        <w:t>for</w:t>
      </w:r>
      <w:r>
        <w:rPr>
          <w:spacing w:val="-2"/>
          <w:sz w:val="19"/>
        </w:rPr>
        <w:t> </w:t>
      </w:r>
      <w:r>
        <w:rPr>
          <w:sz w:val="19"/>
        </w:rPr>
        <w:t>the future.</w:t>
      </w:r>
    </w:p>
    <w:p>
      <w:pPr>
        <w:pStyle w:val="BodyText"/>
        <w:spacing w:before="116"/>
        <w:ind w:left="118" w:right="564"/>
      </w:pPr>
      <w:r>
        <w:rPr/>
        <w:t>Each of these key directions has objectives with associated design guidelines to inform the design</w:t>
      </w:r>
      <w:r>
        <w:rPr>
          <w:spacing w:val="-50"/>
        </w:rPr>
        <w:t> </w:t>
      </w:r>
      <w:r>
        <w:rPr/>
        <w:t>response. In order to address these project wide key directions, CYP developed six public realm</w:t>
      </w:r>
      <w:r>
        <w:rPr>
          <w:spacing w:val="1"/>
        </w:rPr>
        <w:t> </w:t>
      </w:r>
      <w:r>
        <w:rPr/>
        <w:t>principles to guide the design and support the delivery of the Urban Design Vision. </w:t>
      </w:r>
      <w:hyperlink w:history="true" w:anchor="_bookmark23">
        <w:r>
          <w:rPr/>
          <w:t>Table 3</w:t>
        </w:r>
      </w:hyperlink>
      <w:r>
        <w:rPr>
          <w:spacing w:val="1"/>
        </w:rPr>
        <w:t> </w:t>
      </w:r>
      <w:r>
        <w:rPr/>
        <w:t>summarises how each of these public realm principles is integrated into design and specifically</w:t>
      </w:r>
      <w:r>
        <w:rPr>
          <w:spacing w:val="1"/>
        </w:rPr>
        <w:t> </w:t>
      </w:r>
      <w:r>
        <w:rPr/>
        <w:t>addressed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Arden Station</w:t>
      </w:r>
      <w:r>
        <w:rPr>
          <w:spacing w:val="-1"/>
        </w:rPr>
        <w:t> </w:t>
      </w:r>
      <w:r>
        <w:rPr/>
        <w:t>precinct.</w:t>
      </w:r>
    </w:p>
    <w:p>
      <w:pPr>
        <w:spacing w:after="0"/>
        <w:sectPr>
          <w:pgSz w:w="11910" w:h="16840"/>
          <w:pgMar w:header="899" w:footer="445" w:top="1860" w:bottom="640" w:left="130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before="94"/>
        <w:ind w:left="118" w:right="0" w:firstLine="0"/>
        <w:jc w:val="left"/>
        <w:rPr>
          <w:sz w:val="18"/>
        </w:rPr>
      </w:pPr>
      <w:bookmarkStart w:name="_bookmark23" w:id="76"/>
      <w:bookmarkEnd w:id="76"/>
      <w:r>
        <w:rPr/>
      </w:r>
      <w:r>
        <w:rPr>
          <w:color w:val="6C6C6C"/>
          <w:sz w:val="18"/>
        </w:rPr>
        <w:t>Table</w:t>
      </w:r>
      <w:r>
        <w:rPr>
          <w:color w:val="6C6C6C"/>
          <w:spacing w:val="-4"/>
          <w:sz w:val="18"/>
        </w:rPr>
        <w:t> </w:t>
      </w:r>
      <w:r>
        <w:rPr>
          <w:color w:val="6C6C6C"/>
          <w:sz w:val="18"/>
        </w:rPr>
        <w:t>3</w:t>
      </w:r>
      <w:r>
        <w:rPr>
          <w:color w:val="6C6C6C"/>
          <w:spacing w:val="-1"/>
          <w:sz w:val="18"/>
        </w:rPr>
        <w:t> </w:t>
      </w:r>
      <w:r>
        <w:rPr>
          <w:color w:val="6C6C6C"/>
          <w:sz w:val="18"/>
        </w:rPr>
        <w:t>–</w:t>
      </w:r>
      <w:r>
        <w:rPr>
          <w:color w:val="6C6C6C"/>
          <w:spacing w:val="-1"/>
          <w:sz w:val="18"/>
        </w:rPr>
        <w:t> </w:t>
      </w:r>
      <w:r>
        <w:rPr>
          <w:color w:val="6C6C6C"/>
          <w:sz w:val="18"/>
        </w:rPr>
        <w:t>CYP</w:t>
      </w:r>
      <w:r>
        <w:rPr>
          <w:color w:val="6C6C6C"/>
          <w:spacing w:val="-5"/>
          <w:sz w:val="18"/>
        </w:rPr>
        <w:t> </w:t>
      </w:r>
      <w:r>
        <w:rPr>
          <w:color w:val="6C6C6C"/>
          <w:sz w:val="18"/>
        </w:rPr>
        <w:t>public</w:t>
      </w:r>
      <w:r>
        <w:rPr>
          <w:color w:val="6C6C6C"/>
          <w:spacing w:val="-4"/>
          <w:sz w:val="18"/>
        </w:rPr>
        <w:t> </w:t>
      </w:r>
      <w:r>
        <w:rPr>
          <w:color w:val="6C6C6C"/>
          <w:sz w:val="18"/>
        </w:rPr>
        <w:t>realm</w:t>
      </w:r>
      <w:r>
        <w:rPr>
          <w:color w:val="6C6C6C"/>
          <w:spacing w:val="-1"/>
          <w:sz w:val="18"/>
        </w:rPr>
        <w:t> </w:t>
      </w:r>
      <w:r>
        <w:rPr>
          <w:color w:val="6C6C6C"/>
          <w:sz w:val="18"/>
        </w:rPr>
        <w:t>principles</w:t>
      </w:r>
      <w:r>
        <w:rPr>
          <w:color w:val="6C6C6C"/>
          <w:spacing w:val="-2"/>
          <w:sz w:val="18"/>
        </w:rPr>
        <w:t> </w:t>
      </w:r>
      <w:r>
        <w:rPr>
          <w:color w:val="6C6C6C"/>
          <w:sz w:val="18"/>
        </w:rPr>
        <w:t>integrated</w:t>
      </w:r>
      <w:r>
        <w:rPr>
          <w:color w:val="6C6C6C"/>
          <w:spacing w:val="-4"/>
          <w:sz w:val="18"/>
        </w:rPr>
        <w:t> </w:t>
      </w:r>
      <w:r>
        <w:rPr>
          <w:color w:val="6C6C6C"/>
          <w:sz w:val="18"/>
        </w:rPr>
        <w:t>into</w:t>
      </w:r>
      <w:r>
        <w:rPr>
          <w:color w:val="6C6C6C"/>
          <w:spacing w:val="-4"/>
          <w:sz w:val="18"/>
        </w:rPr>
        <w:t> </w:t>
      </w:r>
      <w:r>
        <w:rPr>
          <w:color w:val="6C6C6C"/>
          <w:sz w:val="18"/>
        </w:rPr>
        <w:t>the</w:t>
      </w:r>
      <w:r>
        <w:rPr>
          <w:color w:val="6C6C6C"/>
          <w:spacing w:val="3"/>
          <w:sz w:val="18"/>
        </w:rPr>
        <w:t> </w:t>
      </w:r>
      <w:r>
        <w:rPr>
          <w:color w:val="6C6C6C"/>
          <w:sz w:val="18"/>
        </w:rPr>
        <w:t>Arden</w:t>
      </w:r>
      <w:r>
        <w:rPr>
          <w:color w:val="6C6C6C"/>
          <w:spacing w:val="-2"/>
          <w:sz w:val="18"/>
        </w:rPr>
        <w:t> </w:t>
      </w:r>
      <w:r>
        <w:rPr>
          <w:color w:val="6C6C6C"/>
          <w:sz w:val="18"/>
        </w:rPr>
        <w:t>Station</w:t>
      </w:r>
      <w:r>
        <w:rPr>
          <w:color w:val="6C6C6C"/>
          <w:spacing w:val="-4"/>
          <w:sz w:val="18"/>
        </w:rPr>
        <w:t> </w:t>
      </w:r>
      <w:r>
        <w:rPr>
          <w:color w:val="6C6C6C"/>
          <w:sz w:val="18"/>
        </w:rPr>
        <w:t>precinct</w:t>
      </w:r>
    </w:p>
    <w:p>
      <w:pPr>
        <w:pStyle w:val="BodyText"/>
        <w:spacing w:before="5" w:after="1"/>
        <w:rPr>
          <w:sz w:val="10"/>
        </w:rPr>
      </w:pPr>
    </w:p>
    <w:tbl>
      <w:tblPr>
        <w:tblW w:w="0" w:type="auto"/>
        <w:jc w:val="left"/>
        <w:tblInd w:w="131" w:type="dxa"/>
        <w:tblBorders>
          <w:top w:val="single" w:sz="4" w:space="0" w:color="57DEFF"/>
          <w:left w:val="single" w:sz="4" w:space="0" w:color="57DEFF"/>
          <w:bottom w:val="single" w:sz="4" w:space="0" w:color="57DEFF"/>
          <w:right w:val="single" w:sz="4" w:space="0" w:color="57DEFF"/>
          <w:insideH w:val="single" w:sz="4" w:space="0" w:color="57DEFF"/>
          <w:insideV w:val="single" w:sz="4" w:space="0" w:color="57DE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6"/>
        <w:gridCol w:w="3025"/>
        <w:gridCol w:w="4105"/>
      </w:tblGrid>
      <w:tr>
        <w:trPr>
          <w:trHeight w:val="578" w:hRule="atLeast"/>
        </w:trPr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69"/>
              <w:ind w:left="11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Principle</w:t>
            </w:r>
          </w:p>
        </w:tc>
        <w:tc>
          <w:tcPr>
            <w:tcW w:w="3025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line="242" w:lineRule="auto" w:before="69"/>
              <w:ind w:left="112" w:right="736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Principle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integrated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into</w:t>
            </w:r>
            <w:r>
              <w:rPr>
                <w:b/>
                <w:color w:val="FFFFFF"/>
                <w:spacing w:val="-5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design</w:t>
            </w:r>
          </w:p>
        </w:tc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line="242" w:lineRule="auto" w:before="69"/>
              <w:ind w:left="111" w:right="849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Design</w:t>
            </w:r>
            <w:r>
              <w:rPr>
                <w:b/>
                <w:color w:val="FFFFFF"/>
                <w:spacing w:val="-5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response</w:t>
            </w:r>
            <w:r>
              <w:rPr>
                <w:b/>
                <w:color w:val="FFFFFF"/>
                <w:spacing w:val="-4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for</w:t>
            </w:r>
            <w:r>
              <w:rPr>
                <w:b/>
                <w:color w:val="FFFFFF"/>
                <w:spacing w:val="-2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Arden Station</w:t>
            </w:r>
            <w:r>
              <w:rPr>
                <w:b/>
                <w:color w:val="FFFFFF"/>
                <w:spacing w:val="-5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precinct</w:t>
            </w:r>
          </w:p>
        </w:tc>
      </w:tr>
      <w:tr>
        <w:trPr>
          <w:trHeight w:val="2143" w:hRule="atLeast"/>
        </w:trPr>
        <w:tc>
          <w:tcPr>
            <w:tcW w:w="1366" w:type="dxa"/>
            <w:tcBorders>
              <w:top w:val="nil"/>
            </w:tcBorders>
          </w:tcPr>
          <w:p>
            <w:pPr>
              <w:pStyle w:val="TableParagraph"/>
              <w:spacing w:before="58"/>
              <w:ind w:right="81"/>
              <w:rPr>
                <w:sz w:val="16"/>
              </w:rPr>
            </w:pPr>
            <w:r>
              <w:rPr>
                <w:sz w:val="16"/>
              </w:rPr>
              <w:t>Performance for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people</w:t>
            </w:r>
          </w:p>
        </w:tc>
        <w:tc>
          <w:tcPr>
            <w:tcW w:w="3025" w:type="dxa"/>
            <w:tcBorders>
              <w:top w:val="nil"/>
            </w:tcBorders>
          </w:tcPr>
          <w:p>
            <w:pPr>
              <w:pStyle w:val="TableParagraph"/>
              <w:spacing w:before="58"/>
              <w:ind w:right="280"/>
              <w:rPr>
                <w:sz w:val="16"/>
              </w:rPr>
            </w:pPr>
            <w:r>
              <w:rPr>
                <w:sz w:val="16"/>
              </w:rPr>
              <w:t>Our public realm design provides for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seamless, simple and intuitive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experiences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for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people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each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station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precincts.</w:t>
            </w:r>
          </w:p>
        </w:tc>
        <w:tc>
          <w:tcPr>
            <w:tcW w:w="4105" w:type="dxa"/>
            <w:tcBorders>
              <w:top w:val="nil"/>
            </w:tcBorders>
          </w:tcPr>
          <w:p>
            <w:pPr>
              <w:pStyle w:val="TableParagraph"/>
              <w:spacing w:before="58"/>
              <w:ind w:left="106" w:right="94"/>
              <w:rPr>
                <w:sz w:val="16"/>
              </w:rPr>
            </w:pPr>
            <w:r>
              <w:rPr>
                <w:sz w:val="16"/>
              </w:rPr>
              <w:t>The new station will provide integrated transport with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Laurens Street enhanced to facilitate improved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movement. The station entrance located on the north-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west edge of the precinct is near the established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community in the precinct. The station architecture and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plaza together provide an identity and legible marker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for the station, which is visible from surrounding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streets. Arden Station’s identity will be defined clearly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on Day 1 operation, with the surrounding precinct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having the potential of redevelopment and further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public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realm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extension.</w:t>
            </w:r>
          </w:p>
        </w:tc>
      </w:tr>
      <w:tr>
        <w:trPr>
          <w:trHeight w:val="1223" w:hRule="atLeast"/>
        </w:trPr>
        <w:tc>
          <w:tcPr>
            <w:tcW w:w="1366" w:type="dxa"/>
          </w:tcPr>
          <w:p>
            <w:pPr>
              <w:pStyle w:val="TableParagraph"/>
              <w:spacing w:before="61"/>
              <w:ind w:right="472"/>
              <w:rPr>
                <w:sz w:val="16"/>
              </w:rPr>
            </w:pPr>
            <w:r>
              <w:rPr>
                <w:sz w:val="16"/>
              </w:rPr>
              <w:t>More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Melbourne</w:t>
            </w:r>
          </w:p>
        </w:tc>
        <w:tc>
          <w:tcPr>
            <w:tcW w:w="3025" w:type="dxa"/>
          </w:tcPr>
          <w:p>
            <w:pPr>
              <w:pStyle w:val="TableParagraph"/>
              <w:spacing w:before="61"/>
              <w:ind w:right="171"/>
              <w:rPr>
                <w:sz w:val="16"/>
              </w:rPr>
            </w:pPr>
            <w:r>
              <w:rPr>
                <w:sz w:val="16"/>
              </w:rPr>
              <w:t>There will be more and better-quality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public spaces proposed as a result of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the Metro. New cultural and creative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programs generated and tested in the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lead up to Day 1 operation will inform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design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each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public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realm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space.</w:t>
            </w:r>
          </w:p>
        </w:tc>
        <w:tc>
          <w:tcPr>
            <w:tcW w:w="4105" w:type="dxa"/>
          </w:tcPr>
          <w:p>
            <w:pPr>
              <w:pStyle w:val="TableParagraph"/>
              <w:spacing w:before="61"/>
              <w:ind w:left="106" w:right="135"/>
              <w:rPr>
                <w:sz w:val="16"/>
              </w:rPr>
            </w:pPr>
            <w:r>
              <w:rPr>
                <w:sz w:val="16"/>
              </w:rPr>
              <w:t>The Arden Station precinct will re-vitalise the area and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create a new public realm area from land that was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previously industrial. The new station plaza will be 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place for passengers, and a place for the community,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enjoy.</w:t>
            </w:r>
          </w:p>
        </w:tc>
      </w:tr>
      <w:tr>
        <w:trPr>
          <w:trHeight w:val="2880" w:hRule="atLeast"/>
        </w:trPr>
        <w:tc>
          <w:tcPr>
            <w:tcW w:w="1366" w:type="dxa"/>
          </w:tcPr>
          <w:p>
            <w:pPr>
              <w:pStyle w:val="TableParagraph"/>
              <w:spacing w:before="61"/>
              <w:ind w:right="374"/>
              <w:rPr>
                <w:sz w:val="16"/>
              </w:rPr>
            </w:pPr>
            <w:r>
              <w:rPr>
                <w:spacing w:val="-1"/>
                <w:sz w:val="16"/>
              </w:rPr>
              <w:t>Context </w:t>
            </w:r>
            <w:r>
              <w:rPr>
                <w:sz w:val="16"/>
              </w:rPr>
              <w:t>and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nature</w:t>
            </w:r>
          </w:p>
        </w:tc>
        <w:tc>
          <w:tcPr>
            <w:tcW w:w="3025" w:type="dxa"/>
          </w:tcPr>
          <w:p>
            <w:pPr>
              <w:pStyle w:val="TableParagraph"/>
              <w:spacing w:before="61"/>
              <w:ind w:right="122"/>
              <w:rPr>
                <w:sz w:val="16"/>
              </w:rPr>
            </w:pPr>
            <w:r>
              <w:rPr>
                <w:sz w:val="16"/>
              </w:rPr>
              <w:t>The public realm has been designed 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promote views, way finding and help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draw daylight and fresh air into and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through each station. This helps 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amplify the local character of each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station’s neighbourhood and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authentically reflect the nature and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character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each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place.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This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approach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is supported through planting, the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careful use of materials and finishes as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well as the design and placement of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civic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furniture.</w:t>
            </w:r>
          </w:p>
        </w:tc>
        <w:tc>
          <w:tcPr>
            <w:tcW w:w="4105" w:type="dxa"/>
          </w:tcPr>
          <w:p>
            <w:pPr>
              <w:pStyle w:val="TableParagraph"/>
              <w:spacing w:before="61"/>
              <w:ind w:left="106" w:right="107"/>
              <w:rPr>
                <w:sz w:val="16"/>
              </w:rPr>
            </w:pPr>
            <w:r>
              <w:rPr>
                <w:sz w:val="16"/>
              </w:rPr>
              <w:t>The design responds to Arden’s unique character. The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station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entry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and plaza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embraced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incorporated aspects of the surrounding natural and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industrial context as a way of enhancing a unique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identity for a new precinct of Melbourne. Materials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within the existing industrial urban context such 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brick, concrete and steel will be used throughout the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public realm. The soft landscape will incorporate local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species of the pre-European landscape providing 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connection to country and will feature plants suitable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for inundation and treatment of storm water. The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location of civic furniture will speak to the Day 1 station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entry on Laurens Street. The station will be open and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light, achieved through the construction of three sky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lights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above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station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concourse.</w:t>
            </w:r>
          </w:p>
        </w:tc>
      </w:tr>
      <w:tr>
        <w:trPr>
          <w:trHeight w:val="3617" w:hRule="atLeast"/>
        </w:trPr>
        <w:tc>
          <w:tcPr>
            <w:tcW w:w="1366" w:type="dxa"/>
          </w:tcPr>
          <w:p>
            <w:pPr>
              <w:pStyle w:val="TableParagraph"/>
              <w:spacing w:before="61"/>
              <w:ind w:right="81"/>
              <w:rPr>
                <w:sz w:val="16"/>
              </w:rPr>
            </w:pPr>
            <w:r>
              <w:rPr>
                <w:sz w:val="16"/>
              </w:rPr>
              <w:t>Sustainable and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resilient</w:t>
            </w:r>
          </w:p>
        </w:tc>
        <w:tc>
          <w:tcPr>
            <w:tcW w:w="3025" w:type="dxa"/>
          </w:tcPr>
          <w:p>
            <w:pPr>
              <w:pStyle w:val="TableParagraph"/>
              <w:spacing w:before="61"/>
              <w:ind w:right="135"/>
              <w:rPr>
                <w:sz w:val="16"/>
              </w:rPr>
            </w:pPr>
            <w:r>
              <w:rPr>
                <w:sz w:val="16"/>
              </w:rPr>
              <w:t>The public realm designs associated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with each station are focused on being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ecologically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conscious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designed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be resilient and adaptable to climate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change. Resources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required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maintain the landscape are reduced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because of the quality and detailing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proposed. Urban forestry, water use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and biodiversity strategies have been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employed that reference the RPV’s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Urban Design Strategy, Environmental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Performance Requirements and the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Living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Infrastructure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Plan.</w:t>
            </w:r>
          </w:p>
        </w:tc>
        <w:tc>
          <w:tcPr>
            <w:tcW w:w="4105" w:type="dxa"/>
          </w:tcPr>
          <w:p>
            <w:pPr>
              <w:pStyle w:val="TableParagraph"/>
              <w:spacing w:before="61"/>
              <w:ind w:left="106" w:right="100"/>
              <w:rPr>
                <w:sz w:val="16"/>
              </w:rPr>
            </w:pPr>
            <w:r>
              <w:rPr>
                <w:sz w:val="16"/>
              </w:rPr>
              <w:t>The many sustainability features include promotion of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tree pits and garden beds in the plaza and the design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of Laurens Street allows for storm water infiltration and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capture. The trees within the public realm will provide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shade and assist with maintaining air quality. The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Arden Station precinct is susceptible to flooding which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is challenging for the development of the site. Strategic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placement of the station to the higher natural levels of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the site will not worsen existing flooding for the 1 in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100-year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Average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Recurrence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Interval (ARI)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event.</w:t>
            </w:r>
          </w:p>
          <w:p>
            <w:pPr>
              <w:pStyle w:val="TableParagraph"/>
              <w:spacing w:before="1"/>
              <w:ind w:left="106" w:right="197"/>
              <w:rPr>
                <w:sz w:val="16"/>
              </w:rPr>
            </w:pPr>
            <w:r>
              <w:rPr>
                <w:sz w:val="16"/>
              </w:rPr>
              <w:t>The adoption of Water Sensitive Urban Design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principles will be applied to the public realm design.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This approach will help mitigate flood issues and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optimise the development potential of Arden. In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addition, the station design has been developed in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consultation with the Victorian Planning Authority and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City of Melbourne to ensure that it is consistent with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the Arden flood management strategy outlined in the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draft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Arden Structure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Plan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(2020).</w:t>
            </w:r>
          </w:p>
        </w:tc>
      </w:tr>
      <w:tr>
        <w:trPr>
          <w:trHeight w:val="1715" w:hRule="atLeast"/>
        </w:trPr>
        <w:tc>
          <w:tcPr>
            <w:tcW w:w="1366" w:type="dxa"/>
          </w:tcPr>
          <w:p>
            <w:pPr>
              <w:pStyle w:val="TableParagraph"/>
              <w:spacing w:before="61"/>
              <w:ind w:right="376"/>
              <w:rPr>
                <w:sz w:val="16"/>
              </w:rPr>
            </w:pPr>
            <w:r>
              <w:rPr>
                <w:sz w:val="16"/>
              </w:rPr>
              <w:t>Functional,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"/>
                <w:sz w:val="16"/>
              </w:rPr>
              <w:t>efficient </w:t>
            </w:r>
            <w:r>
              <w:rPr>
                <w:sz w:val="16"/>
              </w:rPr>
              <w:t>and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safe</w:t>
            </w:r>
          </w:p>
        </w:tc>
        <w:tc>
          <w:tcPr>
            <w:tcW w:w="3025" w:type="dxa"/>
          </w:tcPr>
          <w:p>
            <w:pPr>
              <w:pStyle w:val="TableParagraph"/>
              <w:spacing w:before="61"/>
              <w:ind w:right="148"/>
              <w:rPr>
                <w:sz w:val="16"/>
              </w:rPr>
            </w:pPr>
            <w:r>
              <w:rPr>
                <w:sz w:val="16"/>
              </w:rPr>
              <w:t>Legible, accessible and clearly defined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public realm spaces provide for 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highly functional and efficient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environment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for people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to use.</w:t>
            </w:r>
          </w:p>
          <w:p>
            <w:pPr>
              <w:pStyle w:val="TableParagraph"/>
              <w:spacing w:before="0"/>
              <w:ind w:right="166"/>
              <w:rPr>
                <w:sz w:val="16"/>
              </w:rPr>
            </w:pPr>
            <w:r>
              <w:rPr>
                <w:sz w:val="16"/>
              </w:rPr>
              <w:t>Increased passenger space in each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station is supported by safe, inviting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and generous public realm areas. This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provides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seamless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transition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for</w:t>
            </w:r>
          </w:p>
          <w:p>
            <w:pPr>
              <w:pStyle w:val="TableParagraph"/>
              <w:spacing w:line="163" w:lineRule="exact" w:before="0"/>
              <w:rPr>
                <w:sz w:val="16"/>
              </w:rPr>
            </w:pPr>
            <w:r>
              <w:rPr>
                <w:sz w:val="16"/>
              </w:rPr>
              <w:t>passengers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moment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they</w:t>
            </w:r>
          </w:p>
        </w:tc>
        <w:tc>
          <w:tcPr>
            <w:tcW w:w="4105" w:type="dxa"/>
          </w:tcPr>
          <w:p>
            <w:pPr>
              <w:pStyle w:val="TableParagraph"/>
              <w:spacing w:before="61"/>
              <w:ind w:left="106" w:right="140"/>
              <w:rPr>
                <w:sz w:val="16"/>
              </w:rPr>
            </w:pPr>
            <w:r>
              <w:rPr>
                <w:sz w:val="16"/>
              </w:rPr>
              <w:t>The plaza provides an efficient, safe and open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arrangement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facilities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amenities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for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passengers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and the community. Bicycle parking, drop off, bus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stops and taxi areas are all conveniently located in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clear sightline from the station entrance. The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integrated retail tenancies provide additional passive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surveillance and amenity. A separated raised bicycle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path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west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side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of Laurens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Street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will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cater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for</w:t>
            </w:r>
          </w:p>
          <w:p>
            <w:pPr>
              <w:pStyle w:val="TableParagraph"/>
              <w:spacing w:line="163" w:lineRule="exact" w:before="0"/>
              <w:ind w:left="106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highest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cycling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volumes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whilst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offering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protection</w:t>
            </w:r>
          </w:p>
        </w:tc>
      </w:tr>
    </w:tbl>
    <w:p>
      <w:pPr>
        <w:spacing w:after="0" w:line="163" w:lineRule="exact"/>
        <w:rPr>
          <w:sz w:val="16"/>
        </w:rPr>
        <w:sectPr>
          <w:pgSz w:w="11910" w:h="16840"/>
          <w:pgMar w:header="899" w:footer="445" w:top="1860" w:bottom="640" w:left="130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131" w:type="dxa"/>
        <w:tblBorders>
          <w:top w:val="single" w:sz="4" w:space="0" w:color="57DEFF"/>
          <w:left w:val="single" w:sz="4" w:space="0" w:color="57DEFF"/>
          <w:bottom w:val="single" w:sz="4" w:space="0" w:color="57DEFF"/>
          <w:right w:val="single" w:sz="4" w:space="0" w:color="57DEFF"/>
          <w:insideH w:val="single" w:sz="4" w:space="0" w:color="57DEFF"/>
          <w:insideV w:val="single" w:sz="4" w:space="0" w:color="57DE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6"/>
        <w:gridCol w:w="3025"/>
        <w:gridCol w:w="4105"/>
      </w:tblGrid>
      <w:tr>
        <w:trPr>
          <w:trHeight w:val="575" w:hRule="atLeast"/>
        </w:trPr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69"/>
              <w:ind w:left="11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Principle</w:t>
            </w:r>
          </w:p>
        </w:tc>
        <w:tc>
          <w:tcPr>
            <w:tcW w:w="3025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69"/>
              <w:ind w:left="112" w:right="736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Principle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integrated</w:t>
            </w:r>
            <w:r>
              <w:rPr>
                <w:b/>
                <w:color w:val="FFFFFF"/>
                <w:spacing w:val="-9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into</w:t>
            </w:r>
            <w:r>
              <w:rPr>
                <w:b/>
                <w:color w:val="FFFFFF"/>
                <w:spacing w:val="-5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design</w:t>
            </w:r>
          </w:p>
        </w:tc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69"/>
              <w:ind w:left="111" w:right="849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Design</w:t>
            </w:r>
            <w:r>
              <w:rPr>
                <w:b/>
                <w:color w:val="FFFFFF"/>
                <w:spacing w:val="-5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response</w:t>
            </w:r>
            <w:r>
              <w:rPr>
                <w:b/>
                <w:color w:val="FFFFFF"/>
                <w:spacing w:val="-4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for</w:t>
            </w:r>
            <w:r>
              <w:rPr>
                <w:b/>
                <w:color w:val="FFFFFF"/>
                <w:spacing w:val="-2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Arden Station</w:t>
            </w:r>
            <w:r>
              <w:rPr>
                <w:b/>
                <w:color w:val="FFFFFF"/>
                <w:spacing w:val="-50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precinct</w:t>
            </w:r>
          </w:p>
        </w:tc>
      </w:tr>
      <w:tr>
        <w:trPr>
          <w:trHeight w:val="429" w:hRule="atLeast"/>
        </w:trPr>
        <w:tc>
          <w:tcPr>
            <w:tcW w:w="1366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025" w:type="dxa"/>
            <w:tcBorders>
              <w:top w:val="nil"/>
            </w:tcBorders>
          </w:tcPr>
          <w:p>
            <w:pPr>
              <w:pStyle w:val="TableParagraph"/>
              <w:spacing w:before="1"/>
              <w:ind w:right="401"/>
              <w:rPr>
                <w:sz w:val="16"/>
              </w:rPr>
            </w:pPr>
            <w:r>
              <w:rPr>
                <w:sz w:val="16"/>
              </w:rPr>
              <w:t>leave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train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through to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public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realm.</w:t>
            </w:r>
          </w:p>
        </w:tc>
        <w:tc>
          <w:tcPr>
            <w:tcW w:w="4105" w:type="dxa"/>
            <w:tcBorders>
              <w:top w:val="nil"/>
            </w:tcBorders>
          </w:tcPr>
          <w:p>
            <w:pPr>
              <w:pStyle w:val="TableParagraph"/>
              <w:spacing w:before="1"/>
              <w:ind w:left="106" w:right="94"/>
              <w:rPr>
                <w:sz w:val="16"/>
              </w:rPr>
            </w:pP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other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vehicles,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consistent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with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draft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Arden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Structure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Plan (2020).</w:t>
            </w:r>
          </w:p>
        </w:tc>
      </w:tr>
      <w:tr>
        <w:trPr>
          <w:trHeight w:val="1888" w:hRule="atLeast"/>
        </w:trPr>
        <w:tc>
          <w:tcPr>
            <w:tcW w:w="1366" w:type="dxa"/>
          </w:tcPr>
          <w:p>
            <w:pPr>
              <w:pStyle w:val="TableParagraph"/>
              <w:spacing w:before="61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quality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legacy</w:t>
            </w:r>
          </w:p>
        </w:tc>
        <w:tc>
          <w:tcPr>
            <w:tcW w:w="3025" w:type="dxa"/>
          </w:tcPr>
          <w:p>
            <w:pPr>
              <w:pStyle w:val="TableParagraph"/>
              <w:spacing w:before="61"/>
              <w:ind w:right="134"/>
              <w:rPr>
                <w:sz w:val="16"/>
              </w:rPr>
            </w:pPr>
            <w:r>
              <w:rPr>
                <w:sz w:val="16"/>
              </w:rPr>
              <w:t>The quality of each public realm space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proposed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supports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move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towards a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“turn up and go’ Metro system. The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investment in the quality of the public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realm spaces proposed for today can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help provide the confidence for others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to invest time, capital and energy into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further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precinct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development.</w:t>
            </w:r>
          </w:p>
        </w:tc>
        <w:tc>
          <w:tcPr>
            <w:tcW w:w="4105" w:type="dxa"/>
          </w:tcPr>
          <w:p>
            <w:pPr>
              <w:pStyle w:val="TableParagraph"/>
              <w:spacing w:before="61"/>
              <w:ind w:left="106" w:right="153"/>
              <w:rPr>
                <w:sz w:val="16"/>
              </w:rPr>
            </w:pPr>
            <w:r>
              <w:rPr>
                <w:sz w:val="16"/>
              </w:rPr>
              <w:t>The Arden Station precinct will become the focal point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of the local area. The new plaza will provide the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functional and legible requirements for passengers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alighting, boarding and transferring. It will also be 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‘place’ for local everyday life, to support retail, social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interaction and amenity. The consolidation of the Day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1 entry creates the flexibility needed for the design of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future entries, streets and public spaces in the centre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of the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precinct.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Heading3"/>
        <w:numPr>
          <w:ilvl w:val="2"/>
          <w:numId w:val="5"/>
        </w:numPr>
        <w:tabs>
          <w:tab w:pos="971" w:val="left" w:leader="none"/>
        </w:tabs>
        <w:spacing w:line="240" w:lineRule="auto" w:before="210" w:after="0"/>
        <w:ind w:left="970" w:right="0" w:hanging="853"/>
        <w:jc w:val="left"/>
      </w:pPr>
      <w:bookmarkStart w:name="_bookmark24" w:id="77"/>
      <w:bookmarkEnd w:id="77"/>
      <w:r>
        <w:rPr/>
      </w:r>
      <w:bookmarkStart w:name="_bookmark24" w:id="78"/>
      <w:bookmarkEnd w:id="78"/>
      <w:r>
        <w:rPr>
          <w:color w:val="808080"/>
        </w:rPr>
        <w:t>PR</w:t>
      </w:r>
      <w:r>
        <w:rPr>
          <w:color w:val="808080"/>
        </w:rPr>
        <w:t>ECINCT-SPECIFIC</w:t>
      </w:r>
      <w:r>
        <w:rPr>
          <w:color w:val="808080"/>
          <w:spacing w:val="-8"/>
        </w:rPr>
        <w:t> </w:t>
      </w:r>
      <w:r>
        <w:rPr>
          <w:color w:val="808080"/>
        </w:rPr>
        <w:t>DESIGN</w:t>
      </w:r>
      <w:r>
        <w:rPr>
          <w:color w:val="808080"/>
          <w:spacing w:val="-8"/>
        </w:rPr>
        <w:t> </w:t>
      </w:r>
      <w:r>
        <w:rPr>
          <w:color w:val="808080"/>
        </w:rPr>
        <w:t>ISSUES</w:t>
      </w:r>
    </w:p>
    <w:p>
      <w:pPr>
        <w:pStyle w:val="BodyText"/>
        <w:spacing w:before="123"/>
        <w:ind w:left="118" w:right="305"/>
        <w:jc w:val="both"/>
      </w:pPr>
      <w:r>
        <w:rPr/>
        <w:t>The Urban Design Strategy identifies precinct-specific design issues for Arden. As with the project</w:t>
      </w:r>
      <w:r>
        <w:rPr>
          <w:spacing w:val="1"/>
        </w:rPr>
        <w:t> </w:t>
      </w:r>
      <w:r>
        <w:rPr/>
        <w:t>wide</w:t>
      </w:r>
      <w:r>
        <w:rPr>
          <w:spacing w:val="-8"/>
        </w:rPr>
        <w:t> </w:t>
      </w:r>
      <w:r>
        <w:rPr/>
        <w:t>key</w:t>
      </w:r>
      <w:r>
        <w:rPr>
          <w:spacing w:val="-8"/>
        </w:rPr>
        <w:t> </w:t>
      </w:r>
      <w:r>
        <w:rPr/>
        <w:t>direction,</w:t>
      </w:r>
      <w:r>
        <w:rPr>
          <w:spacing w:val="-9"/>
        </w:rPr>
        <w:t> </w:t>
      </w:r>
      <w:r>
        <w:rPr/>
        <w:t>each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these</w:t>
      </w:r>
      <w:r>
        <w:rPr>
          <w:spacing w:val="-7"/>
        </w:rPr>
        <w:t> </w:t>
      </w:r>
      <w:r>
        <w:rPr/>
        <w:t>issues</w:t>
      </w:r>
      <w:r>
        <w:rPr>
          <w:spacing w:val="-8"/>
        </w:rPr>
        <w:t> </w:t>
      </w:r>
      <w:r>
        <w:rPr/>
        <w:t>has</w:t>
      </w:r>
      <w:r>
        <w:rPr>
          <w:spacing w:val="-6"/>
        </w:rPr>
        <w:t> </w:t>
      </w:r>
      <w:r>
        <w:rPr/>
        <w:t>objectives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associated</w:t>
      </w:r>
      <w:r>
        <w:rPr>
          <w:spacing w:val="-7"/>
        </w:rPr>
        <w:t> </w:t>
      </w:r>
      <w:r>
        <w:rPr/>
        <w:t>design</w:t>
      </w:r>
      <w:r>
        <w:rPr>
          <w:spacing w:val="-7"/>
        </w:rPr>
        <w:t> </w:t>
      </w:r>
      <w:r>
        <w:rPr/>
        <w:t>guidelines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inform</w:t>
      </w:r>
      <w:r>
        <w:rPr>
          <w:spacing w:val="-7"/>
        </w:rPr>
        <w:t> </w:t>
      </w:r>
      <w:r>
        <w:rPr/>
        <w:t>the</w:t>
      </w:r>
      <w:r>
        <w:rPr>
          <w:spacing w:val="-50"/>
        </w:rPr>
        <w:t> </w:t>
      </w:r>
      <w:r>
        <w:rPr/>
        <w:t>design</w:t>
      </w:r>
      <w:r>
        <w:rPr>
          <w:spacing w:val="-1"/>
        </w:rPr>
        <w:t> </w:t>
      </w:r>
      <w:r>
        <w:rPr/>
        <w:t>response.</w:t>
      </w:r>
    </w:p>
    <w:p>
      <w:pPr>
        <w:pStyle w:val="BodyText"/>
        <w:spacing w:before="119"/>
        <w:ind w:left="118" w:right="298"/>
        <w:jc w:val="both"/>
      </w:pPr>
      <w:r>
        <w:rPr/>
        <w:t>The</w:t>
      </w:r>
      <w:r>
        <w:rPr>
          <w:spacing w:val="-7"/>
        </w:rPr>
        <w:t> </w:t>
      </w:r>
      <w:r>
        <w:rPr/>
        <w:t>Arden</w:t>
      </w:r>
      <w:r>
        <w:rPr>
          <w:spacing w:val="-6"/>
        </w:rPr>
        <w:t> </w:t>
      </w:r>
      <w:r>
        <w:rPr/>
        <w:t>precinct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set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become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major</w:t>
      </w:r>
      <w:r>
        <w:rPr>
          <w:spacing w:val="-8"/>
        </w:rPr>
        <w:t> </w:t>
      </w:r>
      <w:r>
        <w:rPr/>
        <w:t>commercial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residential</w:t>
      </w:r>
      <w:r>
        <w:rPr>
          <w:spacing w:val="-5"/>
        </w:rPr>
        <w:t> </w:t>
      </w:r>
      <w:r>
        <w:rPr/>
        <w:t>precinct</w:t>
      </w:r>
      <w:r>
        <w:rPr>
          <w:spacing w:val="-7"/>
        </w:rPr>
        <w:t> </w:t>
      </w:r>
      <w:r>
        <w:rPr/>
        <w:t>within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Melbourne</w:t>
      </w:r>
      <w:r>
        <w:rPr>
          <w:spacing w:val="-51"/>
        </w:rPr>
        <w:t> </w:t>
      </w:r>
      <w:r>
        <w:rPr/>
        <w:t>municipality in the next 30 years. It is noted that the Arden precinct is subject to flooding due to the</w:t>
      </w:r>
      <w:r>
        <w:rPr>
          <w:spacing w:val="1"/>
        </w:rPr>
        <w:t> </w:t>
      </w:r>
      <w:r>
        <w:rPr/>
        <w:t>close proximity to the Moonee Ponds Creek, but also due to topographic constraints it is also</w:t>
      </w:r>
      <w:r>
        <w:rPr>
          <w:spacing w:val="1"/>
        </w:rPr>
        <w:t> </w:t>
      </w:r>
      <w:r>
        <w:rPr/>
        <w:t>susceptible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flooding</w:t>
      </w:r>
      <w:r>
        <w:rPr>
          <w:spacing w:val="-8"/>
        </w:rPr>
        <w:t> </w:t>
      </w:r>
      <w:r>
        <w:rPr/>
        <w:t>from</w:t>
      </w:r>
      <w:r>
        <w:rPr>
          <w:spacing w:val="-7"/>
        </w:rPr>
        <w:t> </w:t>
      </w:r>
      <w:r>
        <w:rPr/>
        <w:t>overland</w:t>
      </w:r>
      <w:r>
        <w:rPr>
          <w:spacing w:val="-8"/>
        </w:rPr>
        <w:t> </w:t>
      </w:r>
      <w:r>
        <w:rPr/>
        <w:t>flow</w:t>
      </w:r>
      <w:r>
        <w:rPr>
          <w:spacing w:val="-9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local</w:t>
      </w:r>
      <w:r>
        <w:rPr>
          <w:spacing w:val="-7"/>
        </w:rPr>
        <w:t> </w:t>
      </w:r>
      <w:r>
        <w:rPr/>
        <w:t>catchment.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response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this,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station</w:t>
      </w:r>
      <w:r>
        <w:rPr>
          <w:spacing w:val="-7"/>
        </w:rPr>
        <w:t> </w:t>
      </w:r>
      <w:r>
        <w:rPr/>
        <w:t>has</w:t>
      </w:r>
      <w:r>
        <w:rPr>
          <w:spacing w:val="-51"/>
        </w:rPr>
        <w:t> </w:t>
      </w:r>
      <w:r>
        <w:rPr/>
        <w:t>been designed to ensure flood protection and surface water mitigation. This is further discussed in</w:t>
      </w:r>
      <w:r>
        <w:rPr>
          <w:spacing w:val="1"/>
        </w:rPr>
        <w:t> </w:t>
      </w:r>
      <w:r>
        <w:rPr/>
        <w:t>Section </w:t>
      </w:r>
      <w:hyperlink w:history="true" w:anchor="_bookmark59">
        <w:r>
          <w:rPr/>
          <w:t>4.4.7.</w:t>
        </w:r>
      </w:hyperlink>
      <w:r>
        <w:rPr/>
        <w:t> The Day 1 station entry has been designed to allow for future development of the</w:t>
      </w:r>
      <w:r>
        <w:rPr>
          <w:spacing w:val="1"/>
        </w:rPr>
        <w:t> </w:t>
      </w:r>
      <w:r>
        <w:rPr/>
        <w:t>surrounding</w:t>
      </w:r>
      <w:r>
        <w:rPr>
          <w:spacing w:val="-4"/>
        </w:rPr>
        <w:t> </w:t>
      </w:r>
      <w:r>
        <w:rPr/>
        <w:t>area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permits</w:t>
      </w:r>
      <w:r>
        <w:rPr>
          <w:spacing w:val="-4"/>
        </w:rPr>
        <w:t> </w:t>
      </w:r>
      <w:r>
        <w:rPr/>
        <w:t>future</w:t>
      </w:r>
      <w:r>
        <w:rPr>
          <w:spacing w:val="-5"/>
        </w:rPr>
        <w:t> </w:t>
      </w:r>
      <w:r>
        <w:rPr/>
        <w:t>over-site</w:t>
      </w:r>
      <w:r>
        <w:rPr>
          <w:spacing w:val="-5"/>
        </w:rPr>
        <w:t> </w:t>
      </w:r>
      <w:r>
        <w:rPr/>
        <w:t>development</w:t>
      </w:r>
      <w:r>
        <w:rPr>
          <w:spacing w:val="-5"/>
        </w:rPr>
        <w:t> </w:t>
      </w:r>
      <w:r>
        <w:rPr/>
        <w:t>(which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not</w:t>
      </w:r>
      <w:r>
        <w:rPr>
          <w:spacing w:val="-4"/>
        </w:rPr>
        <w:t> </w:t>
      </w:r>
      <w:r>
        <w:rPr/>
        <w:t>included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this Development</w:t>
      </w:r>
      <w:r>
        <w:rPr>
          <w:spacing w:val="-51"/>
        </w:rPr>
        <w:t> </w:t>
      </w:r>
      <w:r>
        <w:rPr/>
        <w:t>Plan).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1"/>
          <w:numId w:val="5"/>
        </w:numPr>
        <w:tabs>
          <w:tab w:pos="827" w:val="left" w:leader="none"/>
        </w:tabs>
        <w:spacing w:line="240" w:lineRule="auto" w:before="0" w:after="0"/>
        <w:ind w:left="826" w:right="0" w:hanging="709"/>
        <w:jc w:val="left"/>
      </w:pPr>
      <w:bookmarkStart w:name="_bookmark25" w:id="79"/>
      <w:bookmarkEnd w:id="79"/>
      <w:r>
        <w:rPr/>
      </w:r>
      <w:bookmarkStart w:name="_bookmark25" w:id="80"/>
      <w:bookmarkEnd w:id="80"/>
      <w:r>
        <w:rPr>
          <w:color w:val="00BBE9"/>
        </w:rPr>
        <w:t>C</w:t>
      </w:r>
      <w:r>
        <w:rPr>
          <w:color w:val="00BBE9"/>
        </w:rPr>
        <w:t>ONSISTENCY</w:t>
      </w:r>
      <w:r>
        <w:rPr>
          <w:color w:val="00BBE9"/>
          <w:spacing w:val="-2"/>
        </w:rPr>
        <w:t> </w:t>
      </w:r>
      <w:r>
        <w:rPr>
          <w:color w:val="00BBE9"/>
        </w:rPr>
        <w:t>WITH</w:t>
      </w:r>
      <w:r>
        <w:rPr>
          <w:color w:val="00BBE9"/>
          <w:spacing w:val="-4"/>
        </w:rPr>
        <w:t> </w:t>
      </w:r>
      <w:r>
        <w:rPr>
          <w:color w:val="00BBE9"/>
        </w:rPr>
        <w:t>URBAN</w:t>
      </w:r>
      <w:r>
        <w:rPr>
          <w:color w:val="00BBE9"/>
          <w:spacing w:val="-2"/>
        </w:rPr>
        <w:t> </w:t>
      </w:r>
      <w:r>
        <w:rPr>
          <w:color w:val="00BBE9"/>
        </w:rPr>
        <w:t>DESIGN</w:t>
      </w:r>
      <w:r>
        <w:rPr>
          <w:color w:val="00BBE9"/>
          <w:spacing w:val="-4"/>
        </w:rPr>
        <w:t> </w:t>
      </w:r>
      <w:r>
        <w:rPr>
          <w:color w:val="00BBE9"/>
        </w:rPr>
        <w:t>STRATEGY</w:t>
      </w:r>
    </w:p>
    <w:p>
      <w:pPr>
        <w:pStyle w:val="BodyText"/>
        <w:spacing w:before="119"/>
        <w:ind w:left="118"/>
        <w:jc w:val="both"/>
      </w:pPr>
      <w:r>
        <w:rPr/>
        <w:t>The</w:t>
      </w:r>
      <w:r>
        <w:rPr>
          <w:spacing w:val="-3"/>
        </w:rPr>
        <w:t> </w:t>
      </w:r>
      <w:r>
        <w:rPr/>
        <w:t>CYP</w:t>
      </w:r>
      <w:r>
        <w:rPr>
          <w:spacing w:val="-1"/>
        </w:rPr>
        <w:t> </w:t>
      </w:r>
      <w:r>
        <w:rPr/>
        <w:t>design</w:t>
      </w:r>
      <w:r>
        <w:rPr>
          <w:spacing w:val="-2"/>
        </w:rPr>
        <w:t> </w:t>
      </w:r>
      <w:r>
        <w:rPr/>
        <w:t>vision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Arden</w:t>
      </w:r>
      <w:r>
        <w:rPr>
          <w:spacing w:val="1"/>
        </w:rPr>
        <w:t> </w:t>
      </w:r>
      <w:r>
        <w:rPr/>
        <w:t>Station</w:t>
      </w:r>
      <w:r>
        <w:rPr>
          <w:spacing w:val="-2"/>
        </w:rPr>
        <w:t> </w:t>
      </w:r>
      <w:r>
        <w:rPr/>
        <w:t>precinct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create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focal point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area.</w:t>
      </w:r>
    </w:p>
    <w:p>
      <w:pPr>
        <w:pStyle w:val="BodyText"/>
        <w:spacing w:before="120"/>
        <w:ind w:left="118" w:right="511"/>
      </w:pPr>
      <w:r>
        <w:rPr/>
        <w:t>The</w:t>
      </w:r>
      <w:r>
        <w:rPr>
          <w:spacing w:val="-3"/>
        </w:rPr>
        <w:t> </w:t>
      </w:r>
      <w:r>
        <w:rPr/>
        <w:t>public</w:t>
      </w:r>
      <w:r>
        <w:rPr>
          <w:spacing w:val="-2"/>
        </w:rPr>
        <w:t> </w:t>
      </w:r>
      <w:r>
        <w:rPr/>
        <w:t>realm</w:t>
      </w:r>
      <w:r>
        <w:rPr>
          <w:spacing w:val="-3"/>
        </w:rPr>
        <w:t> </w:t>
      </w:r>
      <w:r>
        <w:rPr/>
        <w:t>components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precinct</w:t>
      </w:r>
      <w:r>
        <w:rPr>
          <w:spacing w:val="-3"/>
        </w:rPr>
        <w:t> </w:t>
      </w:r>
      <w:r>
        <w:rPr/>
        <w:t>will</w:t>
      </w:r>
      <w:r>
        <w:rPr>
          <w:spacing w:val="-4"/>
        </w:rPr>
        <w:t> </w:t>
      </w:r>
      <w:r>
        <w:rPr/>
        <w:t>create</w:t>
      </w:r>
      <w:r>
        <w:rPr>
          <w:spacing w:val="-2"/>
        </w:rPr>
        <w:t> </w:t>
      </w:r>
      <w:r>
        <w:rPr/>
        <w:t>visual</w:t>
      </w:r>
      <w:r>
        <w:rPr>
          <w:spacing w:val="-1"/>
        </w:rPr>
        <w:t> </w:t>
      </w:r>
      <w:r>
        <w:rPr/>
        <w:t>links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enhance</w:t>
      </w:r>
      <w:r>
        <w:rPr>
          <w:spacing w:val="-3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features</w:t>
      </w:r>
      <w:r>
        <w:rPr>
          <w:spacing w:val="-50"/>
        </w:rPr>
        <w:t> </w:t>
      </w:r>
      <w:r>
        <w:rPr/>
        <w:t>with</w:t>
      </w:r>
      <w:r>
        <w:rPr>
          <w:spacing w:val="-2"/>
        </w:rPr>
        <w:t> </w:t>
      </w:r>
      <w:r>
        <w:rPr/>
        <w:t>key</w:t>
      </w:r>
      <w:r>
        <w:rPr>
          <w:spacing w:val="1"/>
        </w:rPr>
        <w:t> </w:t>
      </w:r>
      <w:r>
        <w:rPr/>
        <w:t>components being: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1" w:after="0"/>
        <w:ind w:left="402" w:right="436" w:hanging="284"/>
        <w:jc w:val="left"/>
        <w:rPr>
          <w:sz w:val="19"/>
        </w:rPr>
      </w:pPr>
      <w:r>
        <w:rPr>
          <w:sz w:val="19"/>
        </w:rPr>
        <w:t>Station Entry Plaza — reinforces the station identity and intermodal functions for commuters, but</w:t>
      </w:r>
      <w:r>
        <w:rPr>
          <w:spacing w:val="-51"/>
          <w:sz w:val="19"/>
        </w:rPr>
        <w:t> </w:t>
      </w:r>
      <w:r>
        <w:rPr>
          <w:sz w:val="19"/>
        </w:rPr>
        <w:t>also</w:t>
      </w:r>
      <w:r>
        <w:rPr>
          <w:spacing w:val="-2"/>
          <w:sz w:val="19"/>
        </w:rPr>
        <w:t> </w:t>
      </w:r>
      <w:r>
        <w:rPr>
          <w:sz w:val="19"/>
        </w:rPr>
        <w:t>a</w:t>
      </w:r>
      <w:r>
        <w:rPr>
          <w:spacing w:val="-1"/>
          <w:sz w:val="19"/>
        </w:rPr>
        <w:t> </w:t>
      </w:r>
      <w:r>
        <w:rPr>
          <w:sz w:val="19"/>
        </w:rPr>
        <w:t>new</w:t>
      </w:r>
      <w:r>
        <w:rPr>
          <w:spacing w:val="-1"/>
          <w:sz w:val="19"/>
        </w:rPr>
        <w:t> </w:t>
      </w:r>
      <w:r>
        <w:rPr>
          <w:sz w:val="19"/>
        </w:rPr>
        <w:t>place,</w:t>
      </w:r>
      <w:r>
        <w:rPr>
          <w:spacing w:val="-3"/>
          <w:sz w:val="19"/>
        </w:rPr>
        <w:t> </w:t>
      </w:r>
      <w:r>
        <w:rPr>
          <w:sz w:val="19"/>
        </w:rPr>
        <w:t>in</w:t>
      </w:r>
      <w:r>
        <w:rPr>
          <w:spacing w:val="-1"/>
          <w:sz w:val="19"/>
        </w:rPr>
        <w:t> </w:t>
      </w:r>
      <w:r>
        <w:rPr>
          <w:sz w:val="19"/>
        </w:rPr>
        <w:t>its</w:t>
      </w:r>
      <w:r>
        <w:rPr>
          <w:spacing w:val="1"/>
          <w:sz w:val="19"/>
        </w:rPr>
        <w:t> </w:t>
      </w:r>
      <w:r>
        <w:rPr>
          <w:sz w:val="19"/>
        </w:rPr>
        <w:t>own</w:t>
      </w:r>
      <w:r>
        <w:rPr>
          <w:spacing w:val="-1"/>
          <w:sz w:val="19"/>
        </w:rPr>
        <w:t> </w:t>
      </w:r>
      <w:r>
        <w:rPr>
          <w:sz w:val="19"/>
        </w:rPr>
        <w:t>right, for</w:t>
      </w:r>
      <w:r>
        <w:rPr>
          <w:spacing w:val="-2"/>
          <w:sz w:val="19"/>
        </w:rPr>
        <w:t> </w:t>
      </w:r>
      <w:r>
        <w:rPr>
          <w:sz w:val="19"/>
        </w:rPr>
        <w:t>the community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8" w:after="0"/>
        <w:ind w:left="402" w:right="328" w:hanging="284"/>
        <w:jc w:val="left"/>
        <w:rPr>
          <w:sz w:val="19"/>
        </w:rPr>
      </w:pPr>
      <w:r>
        <w:rPr>
          <w:sz w:val="19"/>
        </w:rPr>
        <w:t>Laurens Street — existing tree-lined street that is being widened and enhanced for its new role as</w:t>
      </w:r>
      <w:r>
        <w:rPr>
          <w:spacing w:val="-50"/>
          <w:sz w:val="19"/>
        </w:rPr>
        <w:t> </w:t>
      </w:r>
      <w:r>
        <w:rPr>
          <w:sz w:val="19"/>
        </w:rPr>
        <w:t>a</w:t>
      </w:r>
      <w:r>
        <w:rPr>
          <w:spacing w:val="-2"/>
          <w:sz w:val="19"/>
        </w:rPr>
        <w:t> </w:t>
      </w:r>
      <w:r>
        <w:rPr>
          <w:sz w:val="19"/>
        </w:rPr>
        <w:t>more</w:t>
      </w:r>
      <w:r>
        <w:rPr>
          <w:spacing w:val="-1"/>
          <w:sz w:val="19"/>
        </w:rPr>
        <w:t> </w:t>
      </w:r>
      <w:r>
        <w:rPr>
          <w:sz w:val="19"/>
        </w:rPr>
        <w:t>pedestrian</w:t>
      </w:r>
      <w:r>
        <w:rPr>
          <w:spacing w:val="-1"/>
          <w:sz w:val="19"/>
        </w:rPr>
        <w:t> </w:t>
      </w:r>
      <w:r>
        <w:rPr>
          <w:sz w:val="19"/>
        </w:rPr>
        <w:t>and</w:t>
      </w:r>
      <w:r>
        <w:rPr>
          <w:spacing w:val="-1"/>
          <w:sz w:val="19"/>
        </w:rPr>
        <w:t> </w:t>
      </w:r>
      <w:r>
        <w:rPr>
          <w:sz w:val="19"/>
        </w:rPr>
        <w:t>public</w:t>
      </w:r>
      <w:r>
        <w:rPr>
          <w:spacing w:val="-2"/>
          <w:sz w:val="19"/>
        </w:rPr>
        <w:t> </w:t>
      </w:r>
      <w:r>
        <w:rPr>
          <w:sz w:val="19"/>
        </w:rPr>
        <w:t>transport-focussed</w:t>
      </w:r>
      <w:r>
        <w:rPr>
          <w:spacing w:val="-1"/>
          <w:sz w:val="19"/>
        </w:rPr>
        <w:t> </w:t>
      </w:r>
      <w:r>
        <w:rPr>
          <w:sz w:val="19"/>
        </w:rPr>
        <w:t>street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7" w:after="0"/>
        <w:ind w:left="402" w:right="421" w:hanging="284"/>
        <w:jc w:val="left"/>
        <w:rPr>
          <w:sz w:val="19"/>
        </w:rPr>
      </w:pPr>
      <w:r>
        <w:rPr>
          <w:sz w:val="19"/>
        </w:rPr>
        <w:t>Barwise Street — retains its operational service function for existing properties, and incorporates</w:t>
      </w:r>
      <w:r>
        <w:rPr>
          <w:spacing w:val="-50"/>
          <w:sz w:val="19"/>
        </w:rPr>
        <w:t> </w:t>
      </w:r>
      <w:r>
        <w:rPr>
          <w:sz w:val="19"/>
        </w:rPr>
        <w:t>street</w:t>
      </w:r>
      <w:r>
        <w:rPr>
          <w:spacing w:val="-2"/>
          <w:sz w:val="19"/>
        </w:rPr>
        <w:t> </w:t>
      </w:r>
      <w:r>
        <w:rPr>
          <w:sz w:val="19"/>
        </w:rPr>
        <w:t>trees,</w:t>
      </w:r>
      <w:r>
        <w:rPr>
          <w:spacing w:val="-1"/>
          <w:sz w:val="19"/>
        </w:rPr>
        <w:t> </w:t>
      </w:r>
      <w:r>
        <w:rPr>
          <w:sz w:val="19"/>
        </w:rPr>
        <w:t>improving</w:t>
      </w:r>
      <w:r>
        <w:rPr>
          <w:spacing w:val="-1"/>
          <w:sz w:val="19"/>
        </w:rPr>
        <w:t> </w:t>
      </w:r>
      <w:r>
        <w:rPr>
          <w:sz w:val="19"/>
        </w:rPr>
        <w:t>pedestrian</w:t>
      </w:r>
      <w:r>
        <w:rPr>
          <w:spacing w:val="-1"/>
          <w:sz w:val="19"/>
        </w:rPr>
        <w:t> </w:t>
      </w:r>
      <w:r>
        <w:rPr>
          <w:sz w:val="19"/>
        </w:rPr>
        <w:t>amenity.</w:t>
      </w:r>
    </w:p>
    <w:p>
      <w:pPr>
        <w:pStyle w:val="BodyText"/>
        <w:spacing w:before="122"/>
        <w:ind w:left="118" w:right="575"/>
      </w:pPr>
      <w:r>
        <w:rPr/>
        <w:t>The different precinct components serve different urban purposes and are enriched by a variety of</w:t>
      </w:r>
      <w:r>
        <w:rPr>
          <w:spacing w:val="-50"/>
        </w:rPr>
        <w:t> </w:t>
      </w:r>
      <w:r>
        <w:rPr/>
        <w:t>programs</w:t>
      </w:r>
      <w:r>
        <w:rPr>
          <w:spacing w:val="-1"/>
        </w:rPr>
        <w:t> </w:t>
      </w:r>
      <w:r>
        <w:rPr/>
        <w:t>incorporated into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design.</w:t>
      </w:r>
    </w:p>
    <w:p>
      <w:pPr>
        <w:pStyle w:val="BodyText"/>
        <w:spacing w:before="119"/>
        <w:ind w:left="118"/>
      </w:pPr>
      <w:r>
        <w:rPr/>
        <w:t>The</w:t>
      </w:r>
      <w:r>
        <w:rPr>
          <w:spacing w:val="-2"/>
        </w:rPr>
        <w:t> </w:t>
      </w:r>
      <w:r>
        <w:rPr/>
        <w:t>design</w:t>
      </w:r>
      <w:r>
        <w:rPr>
          <w:spacing w:val="-2"/>
        </w:rPr>
        <w:t> </w:t>
      </w:r>
      <w:r>
        <w:rPr/>
        <w:t>drawings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resultant</w:t>
      </w:r>
      <w:r>
        <w:rPr>
          <w:spacing w:val="-1"/>
        </w:rPr>
        <w:t> </w:t>
      </w:r>
      <w:r>
        <w:rPr/>
        <w:t>built</w:t>
      </w:r>
      <w:r>
        <w:rPr>
          <w:spacing w:val="-2"/>
        </w:rPr>
        <w:t> </w:t>
      </w:r>
      <w:r>
        <w:rPr/>
        <w:t>form</w:t>
      </w:r>
      <w:r>
        <w:rPr>
          <w:spacing w:val="-2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Arden</w:t>
      </w:r>
      <w:r>
        <w:rPr>
          <w:spacing w:val="-1"/>
        </w:rPr>
        <w:t> </w:t>
      </w:r>
      <w:r>
        <w:rPr/>
        <w:t>Station</w:t>
      </w:r>
      <w:r>
        <w:rPr>
          <w:spacing w:val="-2"/>
        </w:rPr>
        <w:t> </w:t>
      </w:r>
      <w:r>
        <w:rPr/>
        <w:t>precinct</w:t>
      </w:r>
      <w:r>
        <w:rPr>
          <w:spacing w:val="1"/>
        </w:rPr>
        <w:t> </w:t>
      </w:r>
      <w:r>
        <w:rPr/>
        <w:t>attached</w:t>
      </w:r>
      <w:r>
        <w:rPr>
          <w:spacing w:val="-1"/>
        </w:rPr>
        <w:t> </w:t>
      </w:r>
      <w:r>
        <w:rPr/>
        <w:t>as follows: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2" w:after="0"/>
        <w:ind w:left="402" w:right="0" w:hanging="285"/>
        <w:jc w:val="left"/>
        <w:rPr>
          <w:sz w:val="19"/>
        </w:rPr>
      </w:pPr>
      <w:r>
        <w:rPr>
          <w:sz w:val="19"/>
        </w:rPr>
        <w:t>Site</w:t>
      </w:r>
      <w:r>
        <w:rPr>
          <w:spacing w:val="-2"/>
          <w:sz w:val="19"/>
        </w:rPr>
        <w:t> </w:t>
      </w:r>
      <w:r>
        <w:rPr>
          <w:sz w:val="19"/>
        </w:rPr>
        <w:t>layout</w:t>
      </w:r>
      <w:r>
        <w:rPr>
          <w:spacing w:val="-2"/>
          <w:sz w:val="19"/>
        </w:rPr>
        <w:t> </w:t>
      </w:r>
      <w:r>
        <w:rPr>
          <w:sz w:val="19"/>
        </w:rPr>
        <w:t>plan</w:t>
      </w:r>
      <w:r>
        <w:rPr>
          <w:spacing w:val="-2"/>
          <w:sz w:val="19"/>
        </w:rPr>
        <w:t> </w:t>
      </w:r>
      <w:r>
        <w:rPr>
          <w:sz w:val="19"/>
        </w:rPr>
        <w:t>(</w:t>
      </w:r>
      <w:hyperlink w:history="true" w:anchor="_bookmark0">
        <w:r>
          <w:rPr>
            <w:sz w:val="19"/>
          </w:rPr>
          <w:t>Appendix A:</w:t>
        </w:r>
        <w:r>
          <w:rPr>
            <w:spacing w:val="-4"/>
            <w:sz w:val="19"/>
          </w:rPr>
          <w:t> </w:t>
        </w:r>
        <w:r>
          <w:rPr>
            <w:sz w:val="19"/>
          </w:rPr>
          <w:t>Arden</w:t>
        </w:r>
        <w:r>
          <w:rPr>
            <w:spacing w:val="1"/>
            <w:sz w:val="19"/>
          </w:rPr>
          <w:t> </w:t>
        </w:r>
        <w:r>
          <w:rPr>
            <w:sz w:val="19"/>
          </w:rPr>
          <w:t>Station</w:t>
        </w:r>
        <w:r>
          <w:rPr>
            <w:spacing w:val="-1"/>
            <w:sz w:val="19"/>
          </w:rPr>
          <w:t> </w:t>
        </w:r>
        <w:r>
          <w:rPr>
            <w:sz w:val="19"/>
          </w:rPr>
          <w:t>Precinct</w:t>
        </w:r>
        <w:r>
          <w:rPr>
            <w:spacing w:val="-1"/>
            <w:sz w:val="19"/>
          </w:rPr>
          <w:t> </w:t>
        </w:r>
        <w:r>
          <w:rPr>
            <w:sz w:val="19"/>
          </w:rPr>
          <w:t>Site</w:t>
        </w:r>
        <w:r>
          <w:rPr>
            <w:spacing w:val="-4"/>
            <w:sz w:val="19"/>
          </w:rPr>
          <w:t> </w:t>
        </w:r>
        <w:r>
          <w:rPr>
            <w:sz w:val="19"/>
          </w:rPr>
          <w:t>Layout</w:t>
        </w:r>
        <w:r>
          <w:rPr>
            <w:spacing w:val="-2"/>
            <w:sz w:val="19"/>
          </w:rPr>
          <w:t> </w:t>
        </w:r>
        <w:r>
          <w:rPr>
            <w:sz w:val="19"/>
          </w:rPr>
          <w:t>Plan</w:t>
        </w:r>
      </w:hyperlink>
      <w:r>
        <w:rPr>
          <w:sz w:val="19"/>
        </w:rPr>
        <w:t>)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5" w:after="0"/>
        <w:ind w:left="402" w:right="589" w:hanging="284"/>
        <w:jc w:val="left"/>
        <w:rPr>
          <w:sz w:val="19"/>
        </w:rPr>
      </w:pPr>
      <w:r>
        <w:rPr>
          <w:sz w:val="19"/>
        </w:rPr>
        <w:t>Architectural plans and elevations (Appendix B: Arden Station Precinct Architectural Plans and</w:t>
      </w:r>
      <w:r>
        <w:rPr>
          <w:spacing w:val="-50"/>
          <w:sz w:val="19"/>
        </w:rPr>
        <w:t> </w:t>
      </w:r>
      <w:r>
        <w:rPr>
          <w:sz w:val="19"/>
        </w:rPr>
        <w:t>Elevations)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0" w:after="0"/>
        <w:ind w:left="402" w:right="832" w:hanging="284"/>
        <w:jc w:val="left"/>
        <w:rPr>
          <w:sz w:val="19"/>
        </w:rPr>
      </w:pPr>
      <w:r>
        <w:rPr>
          <w:sz w:val="19"/>
        </w:rPr>
        <w:t>Landscape plans and elevations (Appendix C: Arden Station Precinct Landscape Plans and</w:t>
      </w:r>
      <w:r>
        <w:rPr>
          <w:spacing w:val="-50"/>
          <w:sz w:val="19"/>
        </w:rPr>
        <w:t> </w:t>
      </w:r>
      <w:r>
        <w:rPr>
          <w:sz w:val="19"/>
        </w:rPr>
        <w:t>Elevations)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0" w:after="0"/>
        <w:ind w:left="402" w:right="0" w:hanging="285"/>
        <w:jc w:val="left"/>
        <w:rPr>
          <w:sz w:val="19"/>
        </w:rPr>
      </w:pPr>
      <w:r>
        <w:rPr>
          <w:sz w:val="19"/>
        </w:rPr>
        <w:t>Public</w:t>
      </w:r>
      <w:r>
        <w:rPr>
          <w:spacing w:val="-2"/>
          <w:sz w:val="19"/>
        </w:rPr>
        <w:t> </w:t>
      </w:r>
      <w:r>
        <w:rPr>
          <w:sz w:val="19"/>
        </w:rPr>
        <w:t>realm</w:t>
      </w:r>
      <w:r>
        <w:rPr>
          <w:spacing w:val="-3"/>
          <w:sz w:val="19"/>
        </w:rPr>
        <w:t> </w:t>
      </w:r>
      <w:r>
        <w:rPr>
          <w:sz w:val="19"/>
        </w:rPr>
        <w:t>plans</w:t>
      </w:r>
      <w:r>
        <w:rPr>
          <w:spacing w:val="-1"/>
          <w:sz w:val="19"/>
        </w:rPr>
        <w:t> </w:t>
      </w:r>
      <w:r>
        <w:rPr>
          <w:sz w:val="19"/>
        </w:rPr>
        <w:t>(Appendix</w:t>
      </w:r>
      <w:r>
        <w:rPr>
          <w:spacing w:val="-2"/>
          <w:sz w:val="19"/>
        </w:rPr>
        <w:t> </w:t>
      </w:r>
      <w:r>
        <w:rPr>
          <w:sz w:val="19"/>
        </w:rPr>
        <w:t>D:</w:t>
      </w:r>
      <w:r>
        <w:rPr>
          <w:spacing w:val="-3"/>
          <w:sz w:val="19"/>
        </w:rPr>
        <w:t> </w:t>
      </w:r>
      <w:r>
        <w:rPr>
          <w:sz w:val="19"/>
        </w:rPr>
        <w:t>Arden</w:t>
      </w:r>
      <w:r>
        <w:rPr>
          <w:spacing w:val="-1"/>
          <w:sz w:val="19"/>
        </w:rPr>
        <w:t> </w:t>
      </w:r>
      <w:r>
        <w:rPr>
          <w:sz w:val="19"/>
        </w:rPr>
        <w:t>Station</w:t>
      </w:r>
      <w:r>
        <w:rPr>
          <w:spacing w:val="-1"/>
          <w:sz w:val="19"/>
        </w:rPr>
        <w:t> </w:t>
      </w:r>
      <w:r>
        <w:rPr>
          <w:sz w:val="19"/>
        </w:rPr>
        <w:t>Precinct</w:t>
      </w:r>
      <w:r>
        <w:rPr>
          <w:spacing w:val="-5"/>
          <w:sz w:val="19"/>
        </w:rPr>
        <w:t> </w:t>
      </w:r>
      <w:r>
        <w:rPr>
          <w:sz w:val="19"/>
        </w:rPr>
        <w:t>Public</w:t>
      </w:r>
      <w:r>
        <w:rPr>
          <w:spacing w:val="-2"/>
          <w:sz w:val="19"/>
        </w:rPr>
        <w:t> </w:t>
      </w:r>
      <w:r>
        <w:rPr>
          <w:sz w:val="19"/>
        </w:rPr>
        <w:t>Realm</w:t>
      </w:r>
      <w:r>
        <w:rPr>
          <w:spacing w:val="-3"/>
          <w:sz w:val="19"/>
        </w:rPr>
        <w:t> </w:t>
      </w:r>
      <w:r>
        <w:rPr>
          <w:sz w:val="19"/>
        </w:rPr>
        <w:t>Plans).</w:t>
      </w:r>
    </w:p>
    <w:p>
      <w:pPr>
        <w:spacing w:after="0" w:line="240" w:lineRule="auto"/>
        <w:jc w:val="left"/>
        <w:rPr>
          <w:sz w:val="19"/>
        </w:rPr>
        <w:sectPr>
          <w:pgSz w:w="11910" w:h="16840"/>
          <w:pgMar w:header="899" w:footer="445" w:top="1860" w:bottom="640" w:left="130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93"/>
        <w:ind w:left="118" w:right="415"/>
        <w:jc w:val="both"/>
      </w:pPr>
      <w:r>
        <w:rPr/>
        <w:t>Additionally, Appendix E: Arden Station Precinct Urban Design Strategy guidelines assessment has</w:t>
      </w:r>
      <w:r>
        <w:rPr>
          <w:spacing w:val="-50"/>
        </w:rPr>
        <w:t> </w:t>
      </w:r>
      <w:r>
        <w:rPr/>
        <w:t>an assessment of the design guidelines in the Urban Design Strategy that includes cross references</w:t>
      </w:r>
      <w:r>
        <w:rPr>
          <w:spacing w:val="-51"/>
        </w:rPr>
        <w:t> </w:t>
      </w:r>
      <w:r>
        <w:rPr/>
        <w:t>to</w:t>
      </w:r>
      <w:r>
        <w:rPr>
          <w:spacing w:val="-2"/>
        </w:rPr>
        <w:t> </w:t>
      </w:r>
      <w:r>
        <w:rPr/>
        <w:t>where</w:t>
      </w:r>
      <w:r>
        <w:rPr>
          <w:spacing w:val="-1"/>
        </w:rPr>
        <w:t> </w:t>
      </w:r>
      <w:r>
        <w:rPr/>
        <w:t>each</w:t>
      </w:r>
      <w:r>
        <w:rPr>
          <w:spacing w:val="-2"/>
        </w:rPr>
        <w:t> </w:t>
      </w:r>
      <w:r>
        <w:rPr/>
        <w:t>relevant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guideline</w:t>
      </w:r>
      <w:r>
        <w:rPr>
          <w:spacing w:val="-2"/>
        </w:rPr>
        <w:t> </w:t>
      </w:r>
      <w:r>
        <w:rPr/>
        <w:t>is addressed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this Development</w:t>
      </w:r>
      <w:r>
        <w:rPr>
          <w:spacing w:val="-1"/>
        </w:rPr>
        <w:t> </w:t>
      </w:r>
      <w:r>
        <w:rPr/>
        <w:t>Plan.</w:t>
      </w:r>
    </w:p>
    <w:p>
      <w:pPr>
        <w:pStyle w:val="BodyText"/>
        <w:spacing w:before="120"/>
        <w:ind w:left="118"/>
        <w:jc w:val="both"/>
      </w:pPr>
      <w:hyperlink w:history="true" w:anchor="_bookmark18">
        <w:r>
          <w:rPr/>
          <w:t>Figure</w:t>
        </w:r>
        <w:r>
          <w:rPr>
            <w:spacing w:val="-3"/>
          </w:rPr>
          <w:t> </w:t>
        </w:r>
        <w:r>
          <w:rPr/>
          <w:t>4</w:t>
        </w:r>
        <w:r>
          <w:rPr>
            <w:spacing w:val="-1"/>
          </w:rPr>
          <w:t> </w:t>
        </w:r>
      </w:hyperlink>
      <w:r>
        <w:rPr/>
        <w:t>outlines the</w:t>
      </w:r>
      <w:r>
        <w:rPr>
          <w:spacing w:val="-1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components that</w:t>
      </w:r>
      <w:r>
        <w:rPr>
          <w:spacing w:val="-1"/>
        </w:rPr>
        <w:t> </w:t>
      </w:r>
      <w:r>
        <w:rPr/>
        <w:t>combine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create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Arden</w:t>
      </w:r>
      <w:r>
        <w:rPr>
          <w:spacing w:val="4"/>
        </w:rPr>
        <w:t> </w:t>
      </w:r>
      <w:r>
        <w:rPr/>
        <w:t>Station</w:t>
      </w:r>
      <w:r>
        <w:rPr>
          <w:spacing w:val="-1"/>
        </w:rPr>
        <w:t> </w:t>
      </w:r>
      <w:r>
        <w:rPr/>
        <w:t>precinct.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3"/>
        <w:numPr>
          <w:ilvl w:val="2"/>
          <w:numId w:val="5"/>
        </w:numPr>
        <w:tabs>
          <w:tab w:pos="971" w:val="left" w:leader="none"/>
        </w:tabs>
        <w:spacing w:line="240" w:lineRule="auto" w:before="0" w:after="0"/>
        <w:ind w:left="970" w:right="0" w:hanging="853"/>
        <w:jc w:val="left"/>
      </w:pPr>
      <w:bookmarkStart w:name="_bookmark26" w:id="81"/>
      <w:bookmarkEnd w:id="81"/>
      <w:r>
        <w:rPr/>
      </w:r>
      <w:bookmarkStart w:name="_bookmark26" w:id="82"/>
      <w:bookmarkEnd w:id="82"/>
      <w:r>
        <w:rPr>
          <w:color w:val="808080"/>
        </w:rPr>
        <w:t>A</w:t>
      </w:r>
      <w:r>
        <w:rPr>
          <w:color w:val="808080"/>
        </w:rPr>
        <w:t>RCHITECTURAL</w:t>
      </w:r>
      <w:r>
        <w:rPr>
          <w:color w:val="808080"/>
          <w:spacing w:val="-11"/>
        </w:rPr>
        <w:t> </w:t>
      </w:r>
      <w:r>
        <w:rPr>
          <w:color w:val="808080"/>
        </w:rPr>
        <w:t>RESPONSE</w:t>
      </w:r>
    </w:p>
    <w:p>
      <w:pPr>
        <w:pStyle w:val="BodyText"/>
        <w:spacing w:before="122"/>
        <w:ind w:left="118" w:right="341"/>
      </w:pPr>
      <w:r>
        <w:rPr/>
        <w:t>Arden is to become a new destination and community of Melbourne – a place to work, live and visit –</w:t>
      </w:r>
      <w:r>
        <w:rPr>
          <w:spacing w:val="-50"/>
        </w:rPr>
        <w:t> </w:t>
      </w:r>
      <w:r>
        <w:rPr/>
        <w:t>with a</w:t>
      </w:r>
      <w:r>
        <w:rPr>
          <w:spacing w:val="1"/>
        </w:rPr>
        <w:t> </w:t>
      </w:r>
      <w:r>
        <w:rPr/>
        <w:t>character</w:t>
      </w:r>
      <w:r>
        <w:rPr>
          <w:spacing w:val="1"/>
        </w:rPr>
        <w:t> </w:t>
      </w:r>
      <w:r>
        <w:rPr/>
        <w:t>that is</w:t>
      </w:r>
      <w:r>
        <w:rPr>
          <w:spacing w:val="1"/>
        </w:rPr>
        <w:t> </w:t>
      </w:r>
      <w:r>
        <w:rPr/>
        <w:t>modern,</w:t>
      </w:r>
      <w:r>
        <w:rPr>
          <w:spacing w:val="1"/>
        </w:rPr>
        <w:t> </w:t>
      </w:r>
      <w:r>
        <w:rPr/>
        <w:t>industrial, youthful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gritty. Arden</w:t>
      </w:r>
      <w:r>
        <w:rPr>
          <w:spacing w:val="1"/>
        </w:rPr>
        <w:t> </w:t>
      </w:r>
      <w:r>
        <w:rPr/>
        <w:t>Station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 the catalyst for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urban</w:t>
      </w:r>
      <w:r>
        <w:rPr>
          <w:spacing w:val="-1"/>
        </w:rPr>
        <w:t> </w:t>
      </w:r>
      <w:r>
        <w:rPr/>
        <w:t>renewal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precinct,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heart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its economic,</w:t>
      </w:r>
      <w:r>
        <w:rPr>
          <w:spacing w:val="-2"/>
        </w:rPr>
        <w:t> </w:t>
      </w:r>
      <w:r>
        <w:rPr/>
        <w:t>social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civic</w:t>
      </w:r>
      <w:r>
        <w:rPr>
          <w:spacing w:val="-1"/>
        </w:rPr>
        <w:t> </w:t>
      </w:r>
      <w:r>
        <w:rPr/>
        <w:t>intensity.</w:t>
      </w:r>
    </w:p>
    <w:p>
      <w:pPr>
        <w:pStyle w:val="BodyText"/>
        <w:spacing w:before="121"/>
        <w:ind w:left="118" w:right="511"/>
      </w:pPr>
      <w:r>
        <w:rPr/>
        <w:t>Arden</w:t>
      </w:r>
      <w:r>
        <w:rPr>
          <w:spacing w:val="-2"/>
        </w:rPr>
        <w:t> </w:t>
      </w:r>
      <w:r>
        <w:rPr/>
        <w:t>Station</w:t>
      </w:r>
      <w:r>
        <w:rPr>
          <w:spacing w:val="-2"/>
        </w:rPr>
        <w:t> </w:t>
      </w:r>
      <w:r>
        <w:rPr/>
        <w:t>has been</w:t>
      </w:r>
      <w:r>
        <w:rPr>
          <w:spacing w:val="-2"/>
        </w:rPr>
        <w:t> </w:t>
      </w:r>
      <w:r>
        <w:rPr/>
        <w:t>designed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integrate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urban</w:t>
      </w:r>
      <w:r>
        <w:rPr>
          <w:spacing w:val="-2"/>
        </w:rPr>
        <w:t> </w:t>
      </w:r>
      <w:r>
        <w:rPr/>
        <w:t>fabric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industrial precinct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inner</w:t>
      </w:r>
      <w:r>
        <w:rPr>
          <w:spacing w:val="-50"/>
        </w:rPr>
        <w:t> </w:t>
      </w:r>
      <w:r>
        <w:rPr/>
        <w:t>northern Melbourne through the use of arches in the built form and the proposed materiality of the</w:t>
      </w:r>
      <w:r>
        <w:rPr>
          <w:spacing w:val="1"/>
        </w:rPr>
        <w:t> </w:t>
      </w:r>
      <w:r>
        <w:rPr/>
        <w:t>station</w:t>
      </w:r>
      <w:r>
        <w:rPr>
          <w:spacing w:val="-2"/>
        </w:rPr>
        <w:t> </w:t>
      </w:r>
      <w:r>
        <w:rPr/>
        <w:t>precinct.</w:t>
      </w:r>
    </w:p>
    <w:p>
      <w:pPr>
        <w:pStyle w:val="BodyText"/>
        <w:spacing w:before="120"/>
        <w:ind w:left="118" w:right="511"/>
      </w:pPr>
      <w:r>
        <w:rPr/>
        <w:t>The design response is also reflective of the natural context in which the Arden Station precinct is</w:t>
      </w:r>
      <w:r>
        <w:rPr>
          <w:spacing w:val="1"/>
        </w:rPr>
        <w:t> </w:t>
      </w:r>
      <w:r>
        <w:rPr/>
        <w:t>proposed. The proximity to the Moonee Ponds Creek provides an opportunity for integration of the</w:t>
      </w:r>
      <w:r>
        <w:rPr>
          <w:spacing w:val="1"/>
        </w:rPr>
        <w:t> </w:t>
      </w:r>
      <w:r>
        <w:rPr/>
        <w:t>design into this emerging open space and biodiversity corridor, as envisaged in the draft Arden</w:t>
      </w:r>
      <w:r>
        <w:rPr>
          <w:spacing w:val="1"/>
        </w:rPr>
        <w:t> </w:t>
      </w:r>
      <w:r>
        <w:rPr/>
        <w:t>Structure Plan (2020). In response to the susceptibility of flooding, careful design of the station has</w:t>
      </w:r>
      <w:r>
        <w:rPr>
          <w:spacing w:val="-50"/>
        </w:rPr>
        <w:t> </w:t>
      </w:r>
      <w:r>
        <w:rPr/>
        <w:t>been considered, with Arden Station’s entrance, northern retail terrace and interfacing retail</w:t>
      </w:r>
      <w:r>
        <w:rPr>
          <w:spacing w:val="1"/>
        </w:rPr>
        <w:t> </w:t>
      </w:r>
      <w:r>
        <w:rPr/>
        <w:t>entrances raised 1.5 metres above ground level to prevent flood events. In addition to this level</w:t>
      </w:r>
      <w:r>
        <w:rPr>
          <w:spacing w:val="1"/>
        </w:rPr>
        <w:t> </w:t>
      </w:r>
      <w:r>
        <w:rPr/>
        <w:t>change, there is a floodgate incorporated into design which allows for an additional 0.5 metre flood</w:t>
      </w:r>
      <w:r>
        <w:rPr>
          <w:spacing w:val="-50"/>
        </w:rPr>
        <w:t> </w:t>
      </w:r>
      <w:r>
        <w:rPr/>
        <w:t>protection ensuring the station is protected from the 1 in 1000 year ARI flood event. This is in</w:t>
      </w:r>
      <w:r>
        <w:rPr>
          <w:spacing w:val="1"/>
        </w:rPr>
        <w:t> </w:t>
      </w:r>
      <w:r>
        <w:rPr/>
        <w:t>accordance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Melbourne</w:t>
      </w:r>
      <w:r>
        <w:rPr>
          <w:spacing w:val="-3"/>
        </w:rPr>
        <w:t> </w:t>
      </w:r>
      <w:r>
        <w:rPr/>
        <w:t>Water</w:t>
      </w:r>
      <w:r>
        <w:rPr>
          <w:spacing w:val="-1"/>
        </w:rPr>
        <w:t> </w:t>
      </w:r>
      <w:r>
        <w:rPr/>
        <w:t>flood management</w:t>
      </w:r>
      <w:r>
        <w:rPr>
          <w:spacing w:val="-1"/>
        </w:rPr>
        <w:t> </w:t>
      </w:r>
      <w:r>
        <w:rPr/>
        <w:t>standards.</w:t>
      </w:r>
    </w:p>
    <w:p>
      <w:pPr>
        <w:pStyle w:val="BodyText"/>
        <w:spacing w:before="119"/>
        <w:ind w:left="118" w:right="289"/>
      </w:pPr>
      <w:r>
        <w:rPr/>
        <w:t>The inclusion of a terraced station entrance is a necessary level change in the design to help mitigate</w:t>
      </w:r>
      <w:r>
        <w:rPr>
          <w:spacing w:val="-51"/>
        </w:rPr>
        <w:t> </w:t>
      </w:r>
      <w:r>
        <w:rPr/>
        <w:t>this. The northern retail terrace and the interfacing retail entrances have been raised by 800 mm to</w:t>
      </w:r>
      <w:r>
        <w:rPr>
          <w:spacing w:val="1"/>
        </w:rPr>
        <w:t> </w:t>
      </w:r>
      <w:r>
        <w:rPr/>
        <w:t>ensure appropriate flood protection, in accordance with Melbourne Water’s flood management</w:t>
      </w:r>
      <w:r>
        <w:rPr>
          <w:spacing w:val="1"/>
        </w:rPr>
        <w:t> </w:t>
      </w:r>
      <w:r>
        <w:rPr/>
        <w:t>standards. Additionally, it creates spaces for informal social gathering and waiting. The Arden Station</w:t>
      </w:r>
      <w:r>
        <w:rPr>
          <w:spacing w:val="-50"/>
        </w:rPr>
        <w:t> </w:t>
      </w:r>
      <w:r>
        <w:rPr/>
        <w:t>also features retail provision for a café into the station building plaza and terraces for outdoor dining</w:t>
      </w:r>
      <w:r>
        <w:rPr>
          <w:spacing w:val="1"/>
        </w:rPr>
        <w:t> </w:t>
      </w:r>
      <w:r>
        <w:rPr/>
        <w:t>via the level changes built into the design. These retail units have been slightly relocated in the</w:t>
      </w:r>
      <w:r>
        <w:rPr>
          <w:spacing w:val="1"/>
        </w:rPr>
        <w:t> </w:t>
      </w:r>
      <w:r>
        <w:rPr/>
        <w:t>amended</w:t>
      </w:r>
      <w:r>
        <w:rPr>
          <w:spacing w:val="-3"/>
        </w:rPr>
        <w:t> </w:t>
      </w:r>
      <w:r>
        <w:rPr/>
        <w:t>design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improve</w:t>
      </w:r>
      <w:r>
        <w:rPr>
          <w:spacing w:val="-1"/>
        </w:rPr>
        <w:t> </w:t>
      </w:r>
      <w:r>
        <w:rPr/>
        <w:t>sightlines 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customer</w:t>
      </w:r>
      <w:r>
        <w:rPr>
          <w:spacing w:val="-4"/>
        </w:rPr>
        <w:t> </w:t>
      </w:r>
      <w:r>
        <w:rPr/>
        <w:t>service</w:t>
      </w:r>
      <w:r>
        <w:rPr>
          <w:spacing w:val="-4"/>
        </w:rPr>
        <w:t> </w:t>
      </w:r>
      <w:r>
        <w:rPr/>
        <w:t>centre</w:t>
      </w:r>
      <w:r>
        <w:rPr>
          <w:spacing w:val="-2"/>
        </w:rPr>
        <w:t> </w:t>
      </w:r>
      <w:r>
        <w:rPr/>
        <w:t>(refer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Section</w:t>
      </w:r>
      <w:r>
        <w:rPr>
          <w:spacing w:val="2"/>
        </w:rPr>
        <w:t> </w:t>
      </w:r>
      <w:hyperlink w:history="true" w:anchor="_bookmark32">
        <w:r>
          <w:rPr/>
          <w:t>4.3.4.1</w:t>
        </w:r>
      </w:hyperlink>
      <w:r>
        <w:rPr/>
        <w:t>).</w:t>
      </w:r>
    </w:p>
    <w:p>
      <w:pPr>
        <w:pStyle w:val="BodyText"/>
        <w:ind w:left="118" w:right="606"/>
      </w:pPr>
      <w:r>
        <w:rPr/>
        <w:t>The plaza will feature seating and other civic furniture to invite people to stay and enjoy the Arden</w:t>
      </w:r>
      <w:r>
        <w:rPr>
          <w:spacing w:val="-50"/>
        </w:rPr>
        <w:t> </w:t>
      </w:r>
      <w:r>
        <w:rPr/>
        <w:t>Station precinct.</w:t>
      </w:r>
    </w:p>
    <w:p>
      <w:pPr>
        <w:pStyle w:val="BodyText"/>
        <w:spacing w:before="122"/>
        <w:ind w:left="118" w:right="342"/>
      </w:pPr>
      <w:r>
        <w:rPr/>
        <w:t>The design of the Arden Station precinct has been carried out in a manner to anchor the</w:t>
      </w:r>
      <w:r>
        <w:rPr>
          <w:spacing w:val="1"/>
        </w:rPr>
        <w:t> </w:t>
      </w:r>
      <w:r>
        <w:rPr/>
        <w:t>redevelopment of the broader Arden Urban Renewal Precinct. By having the new Arden Station</w:t>
      </w:r>
      <w:r>
        <w:rPr>
          <w:spacing w:val="1"/>
        </w:rPr>
        <w:t> </w:t>
      </w:r>
      <w:r>
        <w:rPr/>
        <w:t>address Laurens Street from Day 1, it ensures the station building allows for the future</w:t>
      </w:r>
      <w:r>
        <w:rPr>
          <w:spacing w:val="1"/>
        </w:rPr>
        <w:t> </w:t>
      </w:r>
      <w:r>
        <w:rPr/>
        <w:t>redevelopment of the broader Arden Urban Renewal Precinct. The station is consistent with the draft</w:t>
      </w:r>
      <w:r>
        <w:rPr>
          <w:spacing w:val="-50"/>
        </w:rPr>
        <w:t> </w:t>
      </w:r>
      <w:r>
        <w:rPr/>
        <w:t>Arden Structure Plan (2020) which outlines the intended future development pattern of the site,</w:t>
      </w:r>
      <w:r>
        <w:rPr>
          <w:spacing w:val="1"/>
        </w:rPr>
        <w:t> </w:t>
      </w:r>
      <w:r>
        <w:rPr/>
        <w:t>including a design that provides the option for future entrances to be added, such as on the corner of</w:t>
      </w:r>
      <w:r>
        <w:rPr>
          <w:spacing w:val="-50"/>
        </w:rPr>
        <w:t> </w:t>
      </w:r>
      <w:r>
        <w:rPr/>
        <w:t>the future Fogarty Street and Queensberry Street extension intersection. This potential future</w:t>
      </w:r>
      <w:r>
        <w:rPr>
          <w:spacing w:val="1"/>
        </w:rPr>
        <w:t> </w:t>
      </w:r>
      <w:r>
        <w:rPr/>
        <w:t>entrance</w:t>
      </w:r>
      <w:r>
        <w:rPr>
          <w:spacing w:val="-2"/>
        </w:rPr>
        <w:t> </w:t>
      </w:r>
      <w:r>
        <w:rPr/>
        <w:t>is indicatively shown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hyperlink w:history="true" w:anchor="_bookmark39">
        <w:r>
          <w:rPr>
            <w:sz w:val="18"/>
          </w:rPr>
          <w:t>Figure</w:t>
        </w:r>
        <w:r>
          <w:rPr>
            <w:spacing w:val="1"/>
            <w:sz w:val="18"/>
          </w:rPr>
          <w:t> </w:t>
        </w:r>
        <w:r>
          <w:rPr>
            <w:sz w:val="18"/>
          </w:rPr>
          <w:t>11</w:t>
        </w:r>
        <w:r>
          <w:rPr/>
          <w:t>.</w:t>
        </w:r>
      </w:hyperlink>
    </w:p>
    <w:p>
      <w:pPr>
        <w:pStyle w:val="BodyText"/>
        <w:spacing w:before="119"/>
        <w:ind w:left="118" w:right="300"/>
      </w:pPr>
      <w:r>
        <w:rPr/>
        <w:t>As part of the design development, there have been amendments to the architectural design of the</w:t>
      </w:r>
      <w:r>
        <w:rPr>
          <w:spacing w:val="1"/>
        </w:rPr>
        <w:t> </w:t>
      </w:r>
      <w:r>
        <w:rPr/>
        <w:t>station building. As a result, the number of ground concourse entry arches has been reduced from 16</w:t>
      </w:r>
      <w:r>
        <w:rPr>
          <w:spacing w:val="-50"/>
        </w:rPr>
        <w:t> </w:t>
      </w:r>
      <w:r>
        <w:rPr/>
        <w:t>to 15 without altering the building footprint. In addition, there has been a change to the ground level</w:t>
      </w:r>
      <w:r>
        <w:rPr>
          <w:spacing w:val="1"/>
        </w:rPr>
        <w:t> </w:t>
      </w:r>
      <w:r>
        <w:rPr/>
        <w:t>around the skylights. The previous Development Plan submission had ground level raising locally</w:t>
      </w:r>
      <w:r>
        <w:rPr>
          <w:spacing w:val="1"/>
        </w:rPr>
        <w:t> </w:t>
      </w:r>
      <w:r>
        <w:rPr/>
        <w:t>around the skylight. The design for ground level is now relatively flat, allowing for the skylights to</w:t>
      </w:r>
      <w:r>
        <w:rPr>
          <w:spacing w:val="1"/>
        </w:rPr>
        <w:t> </w:t>
      </w:r>
      <w:r>
        <w:rPr/>
        <w:t>appear raised. This has increased public safety and security, as well as providing a cleaner Day 1</w:t>
      </w:r>
      <w:r>
        <w:rPr>
          <w:spacing w:val="1"/>
        </w:rPr>
        <w:t> </w:t>
      </w:r>
      <w:r>
        <w:rPr/>
        <w:t>interface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future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as part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 draft</w:t>
      </w:r>
      <w:r>
        <w:rPr>
          <w:spacing w:val="-1"/>
        </w:rPr>
        <w:t> </w:t>
      </w:r>
      <w:r>
        <w:rPr/>
        <w:t>Arden</w:t>
      </w:r>
      <w:r>
        <w:rPr>
          <w:spacing w:val="2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Plan</w:t>
      </w:r>
      <w:r>
        <w:rPr>
          <w:spacing w:val="-1"/>
        </w:rPr>
        <w:t> </w:t>
      </w:r>
      <w:r>
        <w:rPr/>
        <w:t>(2020).</w:t>
      </w:r>
    </w:p>
    <w:p>
      <w:pPr>
        <w:pStyle w:val="BodyText"/>
        <w:spacing w:before="120"/>
        <w:ind w:left="118" w:right="353"/>
      </w:pPr>
      <w:r>
        <w:rPr/>
        <w:t>The Western Building is ancillary to the station building and will house the plant room space. The</w:t>
      </w:r>
      <w:r>
        <w:rPr>
          <w:spacing w:val="1"/>
        </w:rPr>
        <w:t> </w:t>
      </w:r>
      <w:r>
        <w:rPr/>
        <w:t>Western Building has a resilient, but introspective manner, sharing the same strong architectural</w:t>
      </w:r>
      <w:r>
        <w:rPr>
          <w:spacing w:val="1"/>
        </w:rPr>
        <w:t> </w:t>
      </w:r>
      <w:r>
        <w:rPr/>
        <w:t>forms as the Arden Station building itself. As outlined in Section </w:t>
      </w:r>
      <w:hyperlink w:history="true" w:anchor="_bookmark13">
        <w:r>
          <w:rPr/>
          <w:t>2.1, </w:t>
        </w:r>
      </w:hyperlink>
      <w:r>
        <w:rPr/>
        <w:t>the draft Arden Structure Plan</w:t>
      </w:r>
      <w:r>
        <w:rPr>
          <w:spacing w:val="1"/>
        </w:rPr>
        <w:t> </w:t>
      </w:r>
      <w:r>
        <w:rPr/>
        <w:t>(2020) envisages opportunities for future development of the interface with this building, such as</w:t>
      </w:r>
      <w:r>
        <w:rPr>
          <w:spacing w:val="1"/>
        </w:rPr>
        <w:t> </w:t>
      </w:r>
      <w:r>
        <w:rPr/>
        <w:t>activation of the south wall of the building through provision of a small retail or bookable community</w:t>
      </w:r>
      <w:r>
        <w:rPr>
          <w:spacing w:val="1"/>
        </w:rPr>
        <w:t> </w:t>
      </w:r>
      <w:r>
        <w:rPr/>
        <w:t>space. The architectural design of the Western Building facades allows for future development of the</w:t>
      </w:r>
      <w:r>
        <w:rPr>
          <w:spacing w:val="-50"/>
        </w:rPr>
        <w:t> </w:t>
      </w:r>
      <w:r>
        <w:rPr/>
        <w:t>Arden</w:t>
      </w:r>
      <w:r>
        <w:rPr>
          <w:spacing w:val="-1"/>
        </w:rPr>
        <w:t> </w:t>
      </w:r>
      <w:r>
        <w:rPr/>
        <w:t>Station precinct,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outlined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Arden Structure</w:t>
      </w:r>
      <w:r>
        <w:rPr>
          <w:spacing w:val="-4"/>
        </w:rPr>
        <w:t> </w:t>
      </w:r>
      <w:r>
        <w:rPr/>
        <w:t>Plan</w:t>
      </w:r>
      <w:r>
        <w:rPr>
          <w:spacing w:val="-1"/>
        </w:rPr>
        <w:t> </w:t>
      </w:r>
      <w:r>
        <w:rPr/>
        <w:t>(2020).</w:t>
      </w:r>
    </w:p>
    <w:p>
      <w:pPr>
        <w:spacing w:after="0"/>
        <w:sectPr>
          <w:pgSz w:w="11910" w:h="16840"/>
          <w:pgMar w:header="899" w:footer="445" w:top="1860" w:bottom="640" w:left="130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93"/>
        <w:ind w:left="118" w:right="374"/>
      </w:pPr>
      <w:r>
        <w:rPr/>
        <w:t>In addition to these station architectural design outcomes, the operational elements of the Project’s</w:t>
      </w:r>
      <w:r>
        <w:rPr>
          <w:spacing w:val="1"/>
        </w:rPr>
        <w:t> </w:t>
      </w:r>
      <w:r>
        <w:rPr/>
        <w:t>stations will also be consistent with the broader public transport system in metropolitan Melbourne.</w:t>
      </w:r>
      <w:r>
        <w:rPr>
          <w:spacing w:val="1"/>
        </w:rPr>
        <w:t> </w:t>
      </w:r>
      <w:r>
        <w:rPr/>
        <w:t>Steps have been taken to ensure architectural design allows for consistency of the new stations with</w:t>
      </w:r>
      <w:r>
        <w:rPr>
          <w:spacing w:val="-50"/>
        </w:rPr>
        <w:t> </w:t>
      </w:r>
      <w:r>
        <w:rPr/>
        <w:t>the existing network, particularly in relation to station elements such as ticketing machines, ticket</w:t>
      </w:r>
      <w:r>
        <w:rPr>
          <w:spacing w:val="1"/>
        </w:rPr>
        <w:t> </w:t>
      </w:r>
      <w:r>
        <w:rPr/>
        <w:t>barriers and customer service facilities through adherence to requirements such as Metro Trains</w:t>
      </w:r>
      <w:r>
        <w:rPr>
          <w:spacing w:val="1"/>
        </w:rPr>
        <w:t> </w:t>
      </w:r>
      <w:r>
        <w:rPr/>
        <w:t>Melbourne (MTM) standards and the Project’s contractual Project Scope &amp; Technical Requirements</w:t>
      </w:r>
      <w:r>
        <w:rPr>
          <w:spacing w:val="1"/>
        </w:rPr>
        <w:t> </w:t>
      </w:r>
      <w:r>
        <w:rPr/>
        <w:t>(PS&amp;TR). Arden Station’s architectural response also addresses the need for amenities, such as</w:t>
      </w:r>
      <w:r>
        <w:rPr>
          <w:spacing w:val="1"/>
        </w:rPr>
        <w:t> </w:t>
      </w:r>
      <w:r>
        <w:rPr/>
        <w:t>public toilets and Changing Places, locating them in paid zones beyond ticket gates, similar to other</w:t>
      </w:r>
      <w:r>
        <w:rPr>
          <w:spacing w:val="1"/>
        </w:rPr>
        <w:t> </w:t>
      </w:r>
      <w:r>
        <w:rPr/>
        <w:t>stations across the network. Design development processes have been undertaken to ensure the</w:t>
      </w:r>
      <w:r>
        <w:rPr>
          <w:spacing w:val="1"/>
        </w:rPr>
        <w:t> </w:t>
      </w:r>
      <w:r>
        <w:rPr/>
        <w:t>design of the station and these operational elements work together and result in a space which is</w:t>
      </w:r>
      <w:r>
        <w:rPr>
          <w:spacing w:val="1"/>
        </w:rPr>
        <w:t> </w:t>
      </w:r>
      <w:r>
        <w:rPr/>
        <w:t>highly</w:t>
      </w:r>
      <w:r>
        <w:rPr>
          <w:spacing w:val="-1"/>
        </w:rPr>
        <w:t> </w:t>
      </w:r>
      <w:r>
        <w:rPr/>
        <w:t>useable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provides</w:t>
      </w:r>
      <w:r>
        <w:rPr>
          <w:spacing w:val="-2"/>
        </w:rPr>
        <w:t> </w:t>
      </w:r>
      <w:r>
        <w:rPr/>
        <w:t>seamless orientation.</w:t>
      </w:r>
    </w:p>
    <w:p>
      <w:pPr>
        <w:pStyle w:val="BodyText"/>
        <w:spacing w:before="120"/>
        <w:ind w:left="118" w:right="311"/>
      </w:pPr>
      <w:r>
        <w:rPr/>
        <w:t>The design of Arden Station anticipates growth in Melbourne’s population and any subsequent</w:t>
      </w:r>
      <w:r>
        <w:rPr>
          <w:spacing w:val="1"/>
        </w:rPr>
        <w:t> </w:t>
      </w:r>
      <w:r>
        <w:rPr/>
        <w:t>changes in activity patterns resulting from the Project. At Arden, this is expected to be significant with</w:t>
      </w:r>
      <w:r>
        <w:rPr>
          <w:spacing w:val="-50"/>
        </w:rPr>
        <w:t> </w:t>
      </w:r>
      <w:r>
        <w:rPr/>
        <w:t>the redevelopment of the site for commercial and residential purposes. As such, Arden Station has</w:t>
      </w:r>
      <w:r>
        <w:rPr>
          <w:spacing w:val="1"/>
        </w:rPr>
        <w:t> </w:t>
      </w:r>
      <w:r>
        <w:rPr/>
        <w:t>been designed to meet expected 2046 patronage figures, with an additional 25% demand capacity to</w:t>
      </w:r>
      <w:r>
        <w:rPr>
          <w:spacing w:val="-50"/>
        </w:rPr>
        <w:t> </w:t>
      </w:r>
      <w:r>
        <w:rPr/>
        <w:t>take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/>
        <w:t>account</w:t>
      </w:r>
      <w:r>
        <w:rPr>
          <w:spacing w:val="-1"/>
        </w:rPr>
        <w:t> </w:t>
      </w:r>
      <w:r>
        <w:rPr/>
        <w:t>any</w:t>
      </w:r>
      <w:r>
        <w:rPr>
          <w:spacing w:val="1"/>
        </w:rPr>
        <w:t> </w:t>
      </w:r>
      <w:r>
        <w:rPr/>
        <w:t>sharp</w:t>
      </w:r>
      <w:r>
        <w:rPr>
          <w:spacing w:val="-4"/>
        </w:rPr>
        <w:t> </w:t>
      </w:r>
      <w:r>
        <w:rPr/>
        <w:t>spikes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transit</w:t>
      </w:r>
      <w:r>
        <w:rPr>
          <w:spacing w:val="-2"/>
        </w:rPr>
        <w:t> </w:t>
      </w:r>
      <w:r>
        <w:rPr/>
        <w:t>use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greater</w:t>
      </w:r>
      <w:r>
        <w:rPr>
          <w:spacing w:val="-2"/>
        </w:rPr>
        <w:t> </w:t>
      </w:r>
      <w:r>
        <w:rPr/>
        <w:t>population</w:t>
      </w:r>
      <w:r>
        <w:rPr>
          <w:spacing w:val="-2"/>
        </w:rPr>
        <w:t> </w:t>
      </w:r>
      <w:r>
        <w:rPr/>
        <w:t>growth</w:t>
      </w:r>
      <w:r>
        <w:rPr>
          <w:spacing w:val="-1"/>
        </w:rPr>
        <w:t> </w:t>
      </w:r>
      <w:r>
        <w:rPr/>
        <w:t>than</w:t>
      </w:r>
      <w:r>
        <w:rPr>
          <w:spacing w:val="-2"/>
        </w:rPr>
        <w:t> </w:t>
      </w:r>
      <w:r>
        <w:rPr/>
        <w:t>expected.</w:t>
      </w:r>
    </w:p>
    <w:p>
      <w:pPr>
        <w:pStyle w:val="BodyText"/>
        <w:spacing w:before="122"/>
        <w:ind w:left="118" w:right="290"/>
      </w:pPr>
      <w:r>
        <w:rPr/>
        <w:t>The relevant architectural drawings showing works at ground level are attached in Appendix B: Arden</w:t>
      </w:r>
      <w:r>
        <w:rPr>
          <w:spacing w:val="-50"/>
        </w:rPr>
        <w:t> </w:t>
      </w:r>
      <w:r>
        <w:rPr/>
        <w:t>Station</w:t>
      </w:r>
      <w:r>
        <w:rPr>
          <w:spacing w:val="-1"/>
        </w:rPr>
        <w:t> </w:t>
      </w:r>
      <w:r>
        <w:rPr/>
        <w:t>Precinct</w:t>
      </w:r>
      <w:r>
        <w:rPr>
          <w:spacing w:val="-1"/>
        </w:rPr>
        <w:t> </w:t>
      </w:r>
      <w:r>
        <w:rPr/>
        <w:t>Architectural</w:t>
      </w:r>
      <w:r>
        <w:rPr>
          <w:spacing w:val="-2"/>
        </w:rPr>
        <w:t> </w:t>
      </w:r>
      <w:r>
        <w:rPr/>
        <w:t>Plans</w:t>
      </w:r>
      <w:r>
        <w:rPr>
          <w:spacing w:val="1"/>
        </w:rPr>
        <w:t> </w:t>
      </w:r>
      <w:r>
        <w:rPr/>
        <w:t>and Elevations: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2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TAS-CYP-AR-00-DRG-ARC-ARD-711100-DP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7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TAS-CYP-AR-00-DRG-ARC-ARD-711102-DP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8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TAS-CYP-AR-00-DRG-ARC-ARD-711103-DP.</w:t>
      </w:r>
    </w:p>
    <w:p>
      <w:pPr>
        <w:pStyle w:val="BodyText"/>
        <w:spacing w:before="118"/>
        <w:ind w:left="118" w:right="459"/>
      </w:pPr>
      <w:r>
        <w:rPr/>
        <w:t>There are no relevant architectural drawings showing works below ground level as the ticket gate is</w:t>
      </w:r>
      <w:r>
        <w:rPr>
          <w:spacing w:val="-50"/>
        </w:rPr>
        <w:t> </w:t>
      </w:r>
      <w:r>
        <w:rPr/>
        <w:t>located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ground floor.</w:t>
      </w:r>
    </w:p>
    <w:p>
      <w:pPr>
        <w:pStyle w:val="BodyText"/>
        <w:spacing w:before="120"/>
        <w:ind w:left="118"/>
      </w:pPr>
      <w:r>
        <w:rPr/>
        <w:t>The</w:t>
      </w:r>
      <w:r>
        <w:rPr>
          <w:spacing w:val="-3"/>
        </w:rPr>
        <w:t> </w:t>
      </w:r>
      <w:r>
        <w:rPr/>
        <w:t>relevant</w:t>
      </w:r>
      <w:r>
        <w:rPr>
          <w:spacing w:val="-3"/>
        </w:rPr>
        <w:t> </w:t>
      </w:r>
      <w:r>
        <w:rPr/>
        <w:t>architectural</w:t>
      </w:r>
      <w:r>
        <w:rPr>
          <w:spacing w:val="-2"/>
        </w:rPr>
        <w:t> </w:t>
      </w:r>
      <w:r>
        <w:rPr/>
        <w:t>elevation</w:t>
      </w:r>
      <w:r>
        <w:rPr>
          <w:spacing w:val="-3"/>
        </w:rPr>
        <w:t> </w:t>
      </w:r>
      <w:r>
        <w:rPr/>
        <w:t>drawings</w:t>
      </w:r>
      <w:r>
        <w:rPr>
          <w:spacing w:val="-1"/>
        </w:rPr>
        <w:t> </w:t>
      </w:r>
      <w:r>
        <w:rPr/>
        <w:t>showing</w:t>
      </w:r>
      <w:r>
        <w:rPr>
          <w:spacing w:val="-3"/>
        </w:rPr>
        <w:t> </w:t>
      </w:r>
      <w:r>
        <w:rPr/>
        <w:t>works</w:t>
      </w:r>
      <w:r>
        <w:rPr>
          <w:spacing w:val="-2"/>
        </w:rPr>
        <w:t> </w:t>
      </w:r>
      <w:r>
        <w:rPr/>
        <w:t>at</w:t>
      </w:r>
      <w:r>
        <w:rPr>
          <w:spacing w:val="-3"/>
        </w:rPr>
        <w:t> </w:t>
      </w:r>
      <w:r>
        <w:rPr/>
        <w:t>ground</w:t>
      </w:r>
      <w:r>
        <w:rPr>
          <w:spacing w:val="-1"/>
        </w:rPr>
        <w:t> </w:t>
      </w:r>
      <w:r>
        <w:rPr/>
        <w:t>level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underground</w:t>
      </w:r>
      <w:r>
        <w:rPr>
          <w:spacing w:val="-3"/>
        </w:rPr>
        <w:t> </w:t>
      </w:r>
      <w:r>
        <w:rPr/>
        <w:t>are</w:t>
      </w:r>
      <w:r>
        <w:rPr>
          <w:spacing w:val="-50"/>
        </w:rPr>
        <w:t> </w:t>
      </w:r>
      <w:r>
        <w:rPr/>
        <w:t>attached</w:t>
      </w:r>
      <w:r>
        <w:rPr>
          <w:spacing w:val="-1"/>
        </w:rPr>
        <w:t> </w:t>
      </w:r>
      <w:r>
        <w:rPr/>
        <w:t>in Appendix</w:t>
      </w:r>
      <w:r>
        <w:rPr>
          <w:spacing w:val="-3"/>
        </w:rPr>
        <w:t> </w:t>
      </w:r>
      <w:r>
        <w:rPr/>
        <w:t>B:</w:t>
      </w:r>
      <w:r>
        <w:rPr>
          <w:spacing w:val="-1"/>
        </w:rPr>
        <w:t> </w:t>
      </w:r>
      <w:r>
        <w:rPr/>
        <w:t>Arden</w:t>
      </w:r>
      <w:r>
        <w:rPr>
          <w:spacing w:val="1"/>
        </w:rPr>
        <w:t> </w:t>
      </w:r>
      <w:r>
        <w:rPr/>
        <w:t>Station</w:t>
      </w:r>
      <w:r>
        <w:rPr>
          <w:spacing w:val="-1"/>
        </w:rPr>
        <w:t> </w:t>
      </w:r>
      <w:r>
        <w:rPr/>
        <w:t>Precinct</w:t>
      </w:r>
      <w:r>
        <w:rPr>
          <w:spacing w:val="-3"/>
        </w:rPr>
        <w:t> </w:t>
      </w:r>
      <w:r>
        <w:rPr/>
        <w:t>Architectural Plans and Elevations: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2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TAS-CYP-AR-00-DRG-ARC-ARD-714000-DP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8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TAS-CYP-AR-00-DRG-ARC-ARD-714002-DP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0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TAS-CYP-AR-00-DRG-ARC-ARD-714003-DP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7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TAS-CYP-AR-00-DRG-ARC-ARD-714004-DP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8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TAS-CYP-AR-00-DRG-ARC-ARD-714005-DP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0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TAS-CYP-AR-00-DRG-ARC-ARD-714012-DP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8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TAS-CYP-AR-00-DRG-ARC-ARD-714013-DP.</w:t>
      </w:r>
    </w:p>
    <w:p>
      <w:pPr>
        <w:pStyle w:val="BodyText"/>
        <w:rPr>
          <w:sz w:val="22"/>
        </w:rPr>
      </w:pPr>
    </w:p>
    <w:p>
      <w:pPr>
        <w:pStyle w:val="Heading3"/>
        <w:numPr>
          <w:ilvl w:val="2"/>
          <w:numId w:val="5"/>
        </w:numPr>
        <w:tabs>
          <w:tab w:pos="971" w:val="left" w:leader="none"/>
        </w:tabs>
        <w:spacing w:line="240" w:lineRule="auto" w:before="184" w:after="0"/>
        <w:ind w:left="970" w:right="0" w:hanging="853"/>
        <w:jc w:val="left"/>
      </w:pPr>
      <w:bookmarkStart w:name="_bookmark27" w:id="83"/>
      <w:bookmarkEnd w:id="83"/>
      <w:r>
        <w:rPr/>
      </w:r>
      <w:bookmarkStart w:name="_bookmark27" w:id="84"/>
      <w:bookmarkEnd w:id="84"/>
      <w:r>
        <w:rPr>
          <w:color w:val="808080"/>
        </w:rPr>
        <w:t>LA</w:t>
      </w:r>
      <w:r>
        <w:rPr>
          <w:color w:val="808080"/>
        </w:rPr>
        <w:t>NDSCAPE</w:t>
      </w:r>
      <w:r>
        <w:rPr>
          <w:color w:val="808080"/>
          <w:spacing w:val="-6"/>
        </w:rPr>
        <w:t> </w:t>
      </w:r>
      <w:r>
        <w:rPr>
          <w:color w:val="808080"/>
        </w:rPr>
        <w:t>RESPONSE</w:t>
      </w:r>
    </w:p>
    <w:p>
      <w:pPr>
        <w:pStyle w:val="BodyText"/>
        <w:spacing w:before="120"/>
        <w:ind w:left="118" w:right="331"/>
      </w:pPr>
      <w:r>
        <w:rPr/>
        <w:t>Mature plane trees and peppercorns along Laurens Street currently provide both amenity and shade.</w:t>
      </w:r>
      <w:r>
        <w:rPr>
          <w:spacing w:val="-50"/>
        </w:rPr>
        <w:t> </w:t>
      </w:r>
      <w:r>
        <w:rPr/>
        <w:t>It is anticipated that these trees will be kept. There are currently few trees and little greenery within</w:t>
      </w:r>
      <w:r>
        <w:rPr>
          <w:spacing w:val="1"/>
        </w:rPr>
        <w:t> </w:t>
      </w:r>
      <w:r>
        <w:rPr/>
        <w:t>the precinct. In close collaboration with the City of Melbourne, the amended Development Plan</w:t>
      </w:r>
      <w:r>
        <w:rPr>
          <w:spacing w:val="1"/>
        </w:rPr>
        <w:t> </w:t>
      </w:r>
      <w:r>
        <w:rPr/>
        <w:t>retains more trees than the previous Development Plan submission. As part of project works, 90</w:t>
      </w:r>
      <w:r>
        <w:rPr>
          <w:spacing w:val="1"/>
        </w:rPr>
        <w:t> </w:t>
      </w:r>
      <w:r>
        <w:rPr/>
        <w:t>trees will be removed. 60 of these trees have been removed during early works with an additional 30</w:t>
      </w:r>
      <w:r>
        <w:rPr>
          <w:spacing w:val="-50"/>
        </w:rPr>
        <w:t> </w:t>
      </w:r>
      <w:r>
        <w:rPr/>
        <w:t>to be removed due to CYP design. In total, this is 32 less trees than identified during the EES and 15</w:t>
      </w:r>
      <w:r>
        <w:rPr>
          <w:spacing w:val="-50"/>
        </w:rPr>
        <w:t> </w:t>
      </w:r>
      <w:r>
        <w:rPr/>
        <w:t>less</w:t>
      </w:r>
      <w:r>
        <w:rPr>
          <w:spacing w:val="-1"/>
        </w:rPr>
        <w:t> </w:t>
      </w:r>
      <w:r>
        <w:rPr/>
        <w:t>than was</w:t>
      </w:r>
      <w:r>
        <w:rPr>
          <w:spacing w:val="1"/>
        </w:rPr>
        <w:t> </w:t>
      </w:r>
      <w:r>
        <w:rPr/>
        <w:t>presented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previously approved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Plan.</w:t>
      </w:r>
    </w:p>
    <w:p>
      <w:pPr>
        <w:pStyle w:val="BodyText"/>
        <w:spacing w:before="120"/>
        <w:ind w:left="118" w:right="375"/>
      </w:pPr>
      <w:r>
        <w:rPr/>
        <w:t>Additional trees are also proposed for planting on Barwise Street and Station Lane in the amended</w:t>
      </w:r>
      <w:r>
        <w:rPr>
          <w:spacing w:val="1"/>
        </w:rPr>
        <w:t> </w:t>
      </w:r>
      <w:r>
        <w:rPr/>
        <w:t>design. The CYP design reinstates approximately 103 new trees within the Arden Station precinct,</w:t>
      </w:r>
      <w:r>
        <w:rPr>
          <w:spacing w:val="1"/>
        </w:rPr>
        <w:t> </w:t>
      </w:r>
      <w:r>
        <w:rPr/>
        <w:t>which is more trees and more greenery than currently present. This will contribute to the project goal</w:t>
      </w:r>
      <w:r>
        <w:rPr>
          <w:spacing w:val="-50"/>
        </w:rPr>
        <w:t> </w:t>
      </w:r>
      <w:r>
        <w:rPr/>
        <w:t>of increasing overall tree canopy coverage and providing landscaped areas within the public realm,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well</w:t>
      </w:r>
      <w:r>
        <w:rPr>
          <w:spacing w:val="-2"/>
        </w:rPr>
        <w:t> </w:t>
      </w:r>
      <w:r>
        <w:rPr/>
        <w:t>as provide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comfortable microclimate for</w:t>
      </w:r>
      <w:r>
        <w:rPr>
          <w:spacing w:val="-3"/>
        </w:rPr>
        <w:t> </w:t>
      </w:r>
      <w:r>
        <w:rPr/>
        <w:t>passengers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community</w:t>
      </w:r>
      <w:r>
        <w:rPr>
          <w:spacing w:val="-1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through</w:t>
      </w:r>
    </w:p>
    <w:p>
      <w:pPr>
        <w:spacing w:after="0"/>
        <w:sectPr>
          <w:pgSz w:w="11910" w:h="16840"/>
          <w:pgMar w:header="899" w:footer="445" w:top="1860" w:bottom="640" w:left="130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93"/>
        <w:ind w:left="118" w:right="796"/>
      </w:pPr>
      <w:r>
        <w:rPr/>
        <w:t>dense canopy tree planting. The large station unpaid ticket concourse will provide further public</w:t>
      </w:r>
      <w:r>
        <w:rPr>
          <w:spacing w:val="-51"/>
        </w:rPr>
        <w:t> </w:t>
      </w:r>
      <w:r>
        <w:rPr/>
        <w:t>space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is protected</w:t>
      </w:r>
      <w:r>
        <w:rPr>
          <w:spacing w:val="-1"/>
        </w:rPr>
        <w:t> </w:t>
      </w:r>
      <w:r>
        <w:rPr/>
        <w:t>from the sun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rain.</w:t>
      </w:r>
    </w:p>
    <w:p>
      <w:pPr>
        <w:pStyle w:val="BodyText"/>
        <w:spacing w:before="120"/>
        <w:ind w:left="118"/>
      </w:pPr>
      <w:r>
        <w:rPr/>
        <w:t>Trees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planted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several different</w:t>
      </w:r>
      <w:r>
        <w:rPr>
          <w:spacing w:val="-2"/>
        </w:rPr>
        <w:t> </w:t>
      </w:r>
      <w:r>
        <w:rPr/>
        <w:t>conditions: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2" w:after="0"/>
        <w:ind w:left="402" w:right="0" w:hanging="285"/>
        <w:jc w:val="left"/>
        <w:rPr>
          <w:sz w:val="19"/>
        </w:rPr>
      </w:pPr>
      <w:r>
        <w:rPr>
          <w:sz w:val="19"/>
        </w:rPr>
        <w:t>Directly</w:t>
      </w:r>
      <w:r>
        <w:rPr>
          <w:spacing w:val="-2"/>
          <w:sz w:val="19"/>
        </w:rPr>
        <w:t> </w:t>
      </w:r>
      <w:r>
        <w:rPr>
          <w:sz w:val="19"/>
        </w:rPr>
        <w:t>in</w:t>
      </w:r>
      <w:r>
        <w:rPr>
          <w:spacing w:val="-2"/>
          <w:sz w:val="19"/>
        </w:rPr>
        <w:t> </w:t>
      </w:r>
      <w:r>
        <w:rPr>
          <w:sz w:val="19"/>
        </w:rPr>
        <w:t>garden</w:t>
      </w:r>
      <w:r>
        <w:rPr>
          <w:spacing w:val="-2"/>
          <w:sz w:val="19"/>
        </w:rPr>
        <w:t> </w:t>
      </w:r>
      <w:r>
        <w:rPr>
          <w:sz w:val="19"/>
        </w:rPr>
        <w:t>beds or</w:t>
      </w:r>
      <w:r>
        <w:rPr>
          <w:spacing w:val="-3"/>
          <w:sz w:val="19"/>
        </w:rPr>
        <w:t> </w:t>
      </w:r>
      <w:r>
        <w:rPr>
          <w:sz w:val="19"/>
        </w:rPr>
        <w:t>biofiltration</w:t>
      </w:r>
      <w:r>
        <w:rPr>
          <w:spacing w:val="-2"/>
          <w:sz w:val="19"/>
        </w:rPr>
        <w:t> </w:t>
      </w:r>
      <w:r>
        <w:rPr>
          <w:sz w:val="19"/>
        </w:rPr>
        <w:t>areas</w:t>
      </w:r>
      <w:r>
        <w:rPr>
          <w:spacing w:val="-1"/>
          <w:sz w:val="19"/>
        </w:rPr>
        <w:t> </w:t>
      </w:r>
      <w:r>
        <w:rPr>
          <w:sz w:val="19"/>
        </w:rPr>
        <w:t>where</w:t>
      </w:r>
      <w:r>
        <w:rPr>
          <w:spacing w:val="-2"/>
          <w:sz w:val="19"/>
        </w:rPr>
        <w:t> </w:t>
      </w:r>
      <w:r>
        <w:rPr>
          <w:sz w:val="19"/>
        </w:rPr>
        <w:t>there</w:t>
      </w:r>
      <w:r>
        <w:rPr>
          <w:spacing w:val="-3"/>
          <w:sz w:val="19"/>
        </w:rPr>
        <w:t> </w:t>
      </w:r>
      <w:r>
        <w:rPr>
          <w:sz w:val="19"/>
        </w:rPr>
        <w:t>will</w:t>
      </w:r>
      <w:r>
        <w:rPr>
          <w:spacing w:val="-1"/>
          <w:sz w:val="19"/>
        </w:rPr>
        <w:t> </w:t>
      </w:r>
      <w:r>
        <w:rPr>
          <w:sz w:val="19"/>
        </w:rPr>
        <w:t>be</w:t>
      </w:r>
      <w:r>
        <w:rPr>
          <w:spacing w:val="-2"/>
          <w:sz w:val="19"/>
        </w:rPr>
        <w:t> </w:t>
      </w:r>
      <w:r>
        <w:rPr>
          <w:sz w:val="19"/>
        </w:rPr>
        <w:t>large</w:t>
      </w:r>
      <w:r>
        <w:rPr>
          <w:spacing w:val="-3"/>
          <w:sz w:val="19"/>
        </w:rPr>
        <w:t> </w:t>
      </w:r>
      <w:r>
        <w:rPr>
          <w:sz w:val="19"/>
        </w:rPr>
        <w:t>natural</w:t>
      </w:r>
      <w:r>
        <w:rPr>
          <w:spacing w:val="-1"/>
          <w:sz w:val="19"/>
        </w:rPr>
        <w:t> </w:t>
      </w:r>
      <w:r>
        <w:rPr>
          <w:sz w:val="19"/>
        </w:rPr>
        <w:t>soil</w:t>
      </w:r>
      <w:r>
        <w:rPr>
          <w:spacing w:val="-2"/>
          <w:sz w:val="19"/>
        </w:rPr>
        <w:t> </w:t>
      </w:r>
      <w:r>
        <w:rPr>
          <w:sz w:val="19"/>
        </w:rPr>
        <w:t>conditions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7" w:after="0"/>
        <w:ind w:left="402" w:right="872" w:hanging="284"/>
        <w:jc w:val="left"/>
        <w:rPr>
          <w:sz w:val="19"/>
        </w:rPr>
      </w:pPr>
      <w:r>
        <w:rPr>
          <w:sz w:val="19"/>
        </w:rPr>
        <w:t>Within</w:t>
      </w:r>
      <w:r>
        <w:rPr>
          <w:spacing w:val="-3"/>
          <w:sz w:val="19"/>
        </w:rPr>
        <w:t> </w:t>
      </w:r>
      <w:r>
        <w:rPr>
          <w:sz w:val="19"/>
        </w:rPr>
        <w:t>paved</w:t>
      </w:r>
      <w:r>
        <w:rPr>
          <w:spacing w:val="-2"/>
          <w:sz w:val="19"/>
        </w:rPr>
        <w:t> </w:t>
      </w:r>
      <w:r>
        <w:rPr>
          <w:sz w:val="19"/>
        </w:rPr>
        <w:t>areas trees</w:t>
      </w:r>
      <w:r>
        <w:rPr>
          <w:spacing w:val="-2"/>
          <w:sz w:val="19"/>
        </w:rPr>
        <w:t> </w:t>
      </w:r>
      <w:r>
        <w:rPr>
          <w:sz w:val="19"/>
        </w:rPr>
        <w:t>will</w:t>
      </w:r>
      <w:r>
        <w:rPr>
          <w:spacing w:val="-3"/>
          <w:sz w:val="19"/>
        </w:rPr>
        <w:t> </w:t>
      </w:r>
      <w:r>
        <w:rPr>
          <w:sz w:val="19"/>
        </w:rPr>
        <w:t>be</w:t>
      </w:r>
      <w:r>
        <w:rPr>
          <w:spacing w:val="-2"/>
          <w:sz w:val="19"/>
        </w:rPr>
        <w:t> </w:t>
      </w:r>
      <w:r>
        <w:rPr>
          <w:sz w:val="19"/>
        </w:rPr>
        <w:t>planted</w:t>
      </w:r>
      <w:r>
        <w:rPr>
          <w:spacing w:val="-3"/>
          <w:sz w:val="19"/>
        </w:rPr>
        <w:t> </w:t>
      </w:r>
      <w:r>
        <w:rPr>
          <w:sz w:val="19"/>
        </w:rPr>
        <w:t>in</w:t>
      </w:r>
      <w:r>
        <w:rPr>
          <w:spacing w:val="-2"/>
          <w:sz w:val="19"/>
        </w:rPr>
        <w:t> </w:t>
      </w:r>
      <w:r>
        <w:rPr>
          <w:sz w:val="19"/>
        </w:rPr>
        <w:t>tree</w:t>
      </w:r>
      <w:r>
        <w:rPr>
          <w:spacing w:val="-2"/>
          <w:sz w:val="19"/>
        </w:rPr>
        <w:t> </w:t>
      </w:r>
      <w:r>
        <w:rPr>
          <w:sz w:val="19"/>
        </w:rPr>
        <w:t>pits</w:t>
      </w:r>
      <w:r>
        <w:rPr>
          <w:spacing w:val="-1"/>
          <w:sz w:val="19"/>
        </w:rPr>
        <w:t> </w:t>
      </w:r>
      <w:r>
        <w:rPr>
          <w:sz w:val="19"/>
        </w:rPr>
        <w:t>with</w:t>
      </w:r>
      <w:r>
        <w:rPr>
          <w:spacing w:val="-4"/>
          <w:sz w:val="19"/>
        </w:rPr>
        <w:t> </w:t>
      </w:r>
      <w:r>
        <w:rPr>
          <w:sz w:val="19"/>
        </w:rPr>
        <w:t>structural</w:t>
      </w:r>
      <w:r>
        <w:rPr>
          <w:spacing w:val="-1"/>
          <w:sz w:val="19"/>
        </w:rPr>
        <w:t> </w:t>
      </w:r>
      <w:r>
        <w:rPr>
          <w:sz w:val="19"/>
        </w:rPr>
        <w:t>soil</w:t>
      </w:r>
      <w:r>
        <w:rPr>
          <w:spacing w:val="-2"/>
          <w:sz w:val="19"/>
        </w:rPr>
        <w:t> </w:t>
      </w:r>
      <w:r>
        <w:rPr>
          <w:sz w:val="19"/>
        </w:rPr>
        <w:t>below</w:t>
      </w:r>
      <w:r>
        <w:rPr>
          <w:spacing w:val="-2"/>
          <w:sz w:val="19"/>
        </w:rPr>
        <w:t> </w:t>
      </w:r>
      <w:r>
        <w:rPr>
          <w:sz w:val="19"/>
        </w:rPr>
        <w:t>the</w:t>
      </w:r>
      <w:r>
        <w:rPr>
          <w:spacing w:val="-1"/>
          <w:sz w:val="19"/>
        </w:rPr>
        <w:t> </w:t>
      </w:r>
      <w:r>
        <w:rPr>
          <w:sz w:val="19"/>
        </w:rPr>
        <w:t>pavement.</w:t>
      </w:r>
      <w:r>
        <w:rPr>
          <w:spacing w:val="-50"/>
          <w:sz w:val="19"/>
        </w:rPr>
        <w:t> </w:t>
      </w:r>
      <w:r>
        <w:rPr>
          <w:sz w:val="19"/>
        </w:rPr>
        <w:t>Passive</w:t>
      </w:r>
      <w:r>
        <w:rPr>
          <w:spacing w:val="-2"/>
          <w:sz w:val="19"/>
        </w:rPr>
        <w:t> </w:t>
      </w:r>
      <w:r>
        <w:rPr>
          <w:sz w:val="19"/>
        </w:rPr>
        <w:t>irrigation</w:t>
      </w:r>
      <w:r>
        <w:rPr>
          <w:spacing w:val="-2"/>
          <w:sz w:val="19"/>
        </w:rPr>
        <w:t> </w:t>
      </w:r>
      <w:r>
        <w:rPr>
          <w:sz w:val="19"/>
        </w:rPr>
        <w:t>and</w:t>
      </w:r>
      <w:r>
        <w:rPr>
          <w:spacing w:val="-1"/>
          <w:sz w:val="19"/>
        </w:rPr>
        <w:t> </w:t>
      </w:r>
      <w:r>
        <w:rPr>
          <w:sz w:val="19"/>
        </w:rPr>
        <w:t>water</w:t>
      </w:r>
      <w:r>
        <w:rPr>
          <w:spacing w:val="-2"/>
          <w:sz w:val="19"/>
        </w:rPr>
        <w:t> </w:t>
      </w:r>
      <w:r>
        <w:rPr>
          <w:sz w:val="19"/>
        </w:rPr>
        <w:t>treatment</w:t>
      </w:r>
      <w:r>
        <w:rPr>
          <w:spacing w:val="-1"/>
          <w:sz w:val="19"/>
        </w:rPr>
        <w:t> </w:t>
      </w:r>
      <w:r>
        <w:rPr>
          <w:sz w:val="19"/>
        </w:rPr>
        <w:t>of</w:t>
      </w:r>
      <w:r>
        <w:rPr>
          <w:spacing w:val="-2"/>
          <w:sz w:val="19"/>
        </w:rPr>
        <w:t> </w:t>
      </w:r>
      <w:r>
        <w:rPr>
          <w:sz w:val="19"/>
        </w:rPr>
        <w:t>stormwater</w:t>
      </w:r>
      <w:r>
        <w:rPr>
          <w:spacing w:val="-1"/>
          <w:sz w:val="19"/>
        </w:rPr>
        <w:t> </w:t>
      </w:r>
      <w:r>
        <w:rPr>
          <w:sz w:val="19"/>
        </w:rPr>
        <w:t>will</w:t>
      </w:r>
      <w:r>
        <w:rPr>
          <w:spacing w:val="-1"/>
          <w:sz w:val="19"/>
        </w:rPr>
        <w:t> </w:t>
      </w:r>
      <w:r>
        <w:rPr>
          <w:sz w:val="19"/>
        </w:rPr>
        <w:t>be</w:t>
      </w:r>
      <w:r>
        <w:rPr>
          <w:spacing w:val="-2"/>
          <w:sz w:val="19"/>
        </w:rPr>
        <w:t> </w:t>
      </w:r>
      <w:r>
        <w:rPr>
          <w:sz w:val="19"/>
        </w:rPr>
        <w:t>integrated where</w:t>
      </w:r>
      <w:r>
        <w:rPr>
          <w:spacing w:val="-1"/>
          <w:sz w:val="19"/>
        </w:rPr>
        <w:t> </w:t>
      </w:r>
      <w:r>
        <w:rPr>
          <w:sz w:val="19"/>
        </w:rPr>
        <w:t>feasible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8" w:after="0"/>
        <w:ind w:left="402" w:right="1163" w:hanging="284"/>
        <w:jc w:val="left"/>
        <w:rPr>
          <w:sz w:val="19"/>
        </w:rPr>
      </w:pPr>
      <w:r>
        <w:rPr>
          <w:sz w:val="19"/>
        </w:rPr>
        <w:t>Trees located above the station structure will have sufficient soil depth. Where trees are</w:t>
      </w:r>
      <w:r>
        <w:rPr>
          <w:spacing w:val="-50"/>
          <w:sz w:val="19"/>
        </w:rPr>
        <w:t> </w:t>
      </w:r>
      <w:r>
        <w:rPr>
          <w:sz w:val="19"/>
        </w:rPr>
        <w:t>surrounded</w:t>
      </w:r>
      <w:r>
        <w:rPr>
          <w:spacing w:val="-2"/>
          <w:sz w:val="19"/>
        </w:rPr>
        <w:t> </w:t>
      </w:r>
      <w:r>
        <w:rPr>
          <w:sz w:val="19"/>
        </w:rPr>
        <w:t>by</w:t>
      </w:r>
      <w:r>
        <w:rPr>
          <w:spacing w:val="-1"/>
          <w:sz w:val="19"/>
        </w:rPr>
        <w:t> </w:t>
      </w:r>
      <w:r>
        <w:rPr>
          <w:sz w:val="19"/>
        </w:rPr>
        <w:t>paving,</w:t>
      </w:r>
      <w:r>
        <w:rPr>
          <w:spacing w:val="-2"/>
          <w:sz w:val="19"/>
        </w:rPr>
        <w:t> </w:t>
      </w:r>
      <w:r>
        <w:rPr>
          <w:sz w:val="19"/>
        </w:rPr>
        <w:t>they</w:t>
      </w:r>
      <w:r>
        <w:rPr>
          <w:spacing w:val="-3"/>
          <w:sz w:val="19"/>
        </w:rPr>
        <w:t> </w:t>
      </w:r>
      <w:r>
        <w:rPr>
          <w:sz w:val="19"/>
        </w:rPr>
        <w:t>will</w:t>
      </w:r>
      <w:r>
        <w:rPr>
          <w:spacing w:val="-1"/>
          <w:sz w:val="19"/>
        </w:rPr>
        <w:t> </w:t>
      </w:r>
      <w:r>
        <w:rPr>
          <w:sz w:val="19"/>
        </w:rPr>
        <w:t>be</w:t>
      </w:r>
      <w:r>
        <w:rPr>
          <w:spacing w:val="-2"/>
          <w:sz w:val="19"/>
        </w:rPr>
        <w:t> </w:t>
      </w:r>
      <w:r>
        <w:rPr>
          <w:sz w:val="19"/>
        </w:rPr>
        <w:t>installed</w:t>
      </w:r>
      <w:r>
        <w:rPr>
          <w:spacing w:val="-1"/>
          <w:sz w:val="19"/>
        </w:rPr>
        <w:t> </w:t>
      </w:r>
      <w:r>
        <w:rPr>
          <w:sz w:val="19"/>
        </w:rPr>
        <w:t>within</w:t>
      </w:r>
      <w:r>
        <w:rPr>
          <w:spacing w:val="-2"/>
          <w:sz w:val="19"/>
        </w:rPr>
        <w:t> </w:t>
      </w:r>
      <w:r>
        <w:rPr>
          <w:sz w:val="19"/>
        </w:rPr>
        <w:t>tree</w:t>
      </w:r>
      <w:r>
        <w:rPr>
          <w:spacing w:val="-2"/>
          <w:sz w:val="19"/>
        </w:rPr>
        <w:t> </w:t>
      </w:r>
      <w:r>
        <w:rPr>
          <w:sz w:val="19"/>
        </w:rPr>
        <w:t>trenches with</w:t>
      </w:r>
      <w:r>
        <w:rPr>
          <w:spacing w:val="-2"/>
          <w:sz w:val="19"/>
        </w:rPr>
        <w:t> </w:t>
      </w:r>
      <w:r>
        <w:rPr>
          <w:sz w:val="19"/>
        </w:rPr>
        <w:t>structural</w:t>
      </w:r>
      <w:r>
        <w:rPr>
          <w:spacing w:val="-3"/>
          <w:sz w:val="19"/>
        </w:rPr>
        <w:t> </w:t>
      </w:r>
      <w:r>
        <w:rPr>
          <w:sz w:val="19"/>
        </w:rPr>
        <w:t>soil.</w:t>
      </w:r>
    </w:p>
    <w:p>
      <w:pPr>
        <w:pStyle w:val="BodyText"/>
        <w:spacing w:before="118"/>
        <w:ind w:left="118" w:right="670"/>
      </w:pPr>
      <w:r>
        <w:rPr/>
        <w:t>Proposed species are Australian native plants with low water demand and strong climate change</w:t>
      </w:r>
      <w:r>
        <w:rPr>
          <w:spacing w:val="-50"/>
        </w:rPr>
        <w:t> </w:t>
      </w:r>
      <w:r>
        <w:rPr/>
        <w:t>resilience characteristics endemic to the Moonee Ponds Creek area and Victorian Volcanic Plain</w:t>
      </w:r>
      <w:r>
        <w:rPr>
          <w:spacing w:val="-50"/>
        </w:rPr>
        <w:t> </w:t>
      </w:r>
      <w:r>
        <w:rPr/>
        <w:t>Bioregion. Planting is supported by rainwater and stormwater runoff from adjacent surfaces to</w:t>
      </w:r>
      <w:r>
        <w:rPr>
          <w:spacing w:val="1"/>
        </w:rPr>
        <w:t> </w:t>
      </w:r>
      <w:r>
        <w:rPr/>
        <w:t>provide passive irrigation. Details regarding plant species are included in the Planting Schedule</w:t>
      </w:r>
      <w:r>
        <w:rPr>
          <w:spacing w:val="1"/>
        </w:rPr>
        <w:t> </w:t>
      </w:r>
      <w:r>
        <w:rPr/>
        <w:t>contained</w:t>
      </w:r>
      <w:r>
        <w:rPr>
          <w:spacing w:val="-1"/>
        </w:rPr>
        <w:t> </w:t>
      </w:r>
      <w:r>
        <w:rPr/>
        <w:t>in Appendix</w:t>
      </w:r>
      <w:r>
        <w:rPr>
          <w:spacing w:val="-1"/>
        </w:rPr>
        <w:t> </w:t>
      </w:r>
      <w:r>
        <w:rPr/>
        <w:t>C:</w:t>
      </w:r>
      <w:r>
        <w:rPr>
          <w:spacing w:val="-1"/>
        </w:rPr>
        <w:t> </w:t>
      </w:r>
      <w:r>
        <w:rPr/>
        <w:t>Arden</w:t>
      </w:r>
      <w:r>
        <w:rPr>
          <w:spacing w:val="1"/>
        </w:rPr>
        <w:t> </w:t>
      </w:r>
      <w:r>
        <w:rPr/>
        <w:t>Station</w:t>
      </w:r>
      <w:r>
        <w:rPr>
          <w:spacing w:val="-1"/>
        </w:rPr>
        <w:t> </w:t>
      </w:r>
      <w:r>
        <w:rPr/>
        <w:t>Precinct</w:t>
      </w:r>
      <w:r>
        <w:rPr>
          <w:spacing w:val="-1"/>
        </w:rPr>
        <w:t> </w:t>
      </w:r>
      <w:r>
        <w:rPr/>
        <w:t>Landscape</w:t>
      </w:r>
      <w:r>
        <w:rPr>
          <w:spacing w:val="-1"/>
        </w:rPr>
        <w:t> </w:t>
      </w:r>
      <w:r>
        <w:rPr/>
        <w:t>Plans and</w:t>
      </w:r>
      <w:r>
        <w:rPr>
          <w:spacing w:val="2"/>
        </w:rPr>
        <w:t> </w:t>
      </w:r>
      <w:r>
        <w:rPr/>
        <w:t>Elevations.</w:t>
      </w:r>
    </w:p>
    <w:p>
      <w:pPr>
        <w:pStyle w:val="BodyText"/>
        <w:spacing w:before="123"/>
        <w:ind w:left="118" w:right="913"/>
      </w:pPr>
      <w:r>
        <w:rPr/>
        <w:t>The water sensitive design approach will deliver positive visual benefits to the area in terms of</w:t>
      </w:r>
      <w:r>
        <w:rPr>
          <w:spacing w:val="-50"/>
        </w:rPr>
        <w:t> </w:t>
      </w:r>
      <w:r>
        <w:rPr/>
        <w:t>landscaping and planting – these will all have contextual identity linked to the site’s existing</w:t>
      </w:r>
      <w:r>
        <w:rPr>
          <w:spacing w:val="1"/>
        </w:rPr>
        <w:t> </w:t>
      </w:r>
      <w:r>
        <w:rPr/>
        <w:t>ecosystem.</w:t>
      </w:r>
    </w:p>
    <w:p>
      <w:pPr>
        <w:pStyle w:val="BodyText"/>
        <w:spacing w:before="120"/>
        <w:ind w:left="118" w:right="364"/>
      </w:pPr>
      <w:r>
        <w:rPr/>
        <w:t>The previous Arden Station Precinct Development Plan proposed flood management areas with an</w:t>
      </w:r>
      <w:r>
        <w:rPr>
          <w:spacing w:val="1"/>
        </w:rPr>
        <w:t> </w:t>
      </w:r>
      <w:r>
        <w:rPr/>
        <w:t>approximate 0.5 metre depth, built to the west of the station entrance. In close consultation with</w:t>
      </w:r>
      <w:r>
        <w:rPr>
          <w:spacing w:val="1"/>
        </w:rPr>
        <w:t> </w:t>
      </w:r>
      <w:r>
        <w:rPr/>
        <w:t>Melbourne Water and the Victorian Planning Authority, these areas have been maintained as</w:t>
      </w:r>
      <w:r>
        <w:rPr>
          <w:spacing w:val="1"/>
        </w:rPr>
        <w:t> </w:t>
      </w:r>
      <w:r>
        <w:rPr/>
        <w:t>grassed areas which will provide for the future Capital City open space and innovation hub as</w:t>
      </w:r>
      <w:r>
        <w:rPr>
          <w:spacing w:val="1"/>
        </w:rPr>
        <w:t> </w:t>
      </w:r>
      <w:r>
        <w:rPr/>
        <w:t>identified in the draft Arden Structure Plan (2020) (refer to Section </w:t>
      </w:r>
      <w:hyperlink w:history="true" w:anchor="_bookmark13">
        <w:r>
          <w:rPr/>
          <w:t>2.1</w:t>
        </w:r>
      </w:hyperlink>
      <w:r>
        <w:rPr/>
        <w:t>). Flooding across the Arden</w:t>
      </w:r>
      <w:r>
        <w:rPr>
          <w:spacing w:val="1"/>
        </w:rPr>
        <w:t> </w:t>
      </w:r>
      <w:r>
        <w:rPr/>
        <w:t>precinct will be managed by the precinct-wide flood management strategy contained in the draft</w:t>
      </w:r>
      <w:r>
        <w:rPr>
          <w:spacing w:val="1"/>
        </w:rPr>
        <w:t> </w:t>
      </w:r>
      <w:r>
        <w:rPr/>
        <w:t>Arden Structure Plan (2020). To ensure flooding is safely managed in the entire Arden precinct, this</w:t>
      </w:r>
      <w:r>
        <w:rPr>
          <w:spacing w:val="1"/>
        </w:rPr>
        <w:t> </w:t>
      </w:r>
      <w:r>
        <w:rPr/>
        <w:t>Strategy proposes a number of mechanisms across the Arden Urban Renewal Precinct such as new</w:t>
      </w:r>
      <w:r>
        <w:rPr>
          <w:spacing w:val="-50"/>
        </w:rPr>
        <w:t> </w:t>
      </w:r>
      <w:r>
        <w:rPr/>
        <w:t>integrated stormwater management open space, north of Arden Street. Refer to </w:t>
      </w:r>
      <w:hyperlink w:history="true" w:anchor="_bookmark28">
        <w:r>
          <w:rPr>
            <w:sz w:val="18"/>
          </w:rPr>
          <w:t>Figure 5 </w:t>
        </w:r>
      </w:hyperlink>
      <w:r>
        <w:rPr/>
        <w:t>for an</w:t>
      </w:r>
      <w:r>
        <w:rPr>
          <w:spacing w:val="1"/>
        </w:rPr>
        <w:t> </w:t>
      </w:r>
      <w:r>
        <w:rPr/>
        <w:t>overview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Arden’s</w:t>
      </w:r>
      <w:r>
        <w:rPr>
          <w:spacing w:val="-1"/>
        </w:rPr>
        <w:t> </w:t>
      </w:r>
      <w:r>
        <w:rPr/>
        <w:t>flood</w:t>
      </w:r>
      <w:r>
        <w:rPr>
          <w:spacing w:val="-2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strategy.</w:t>
      </w:r>
    </w:p>
    <w:p>
      <w:pPr>
        <w:pStyle w:val="BodyText"/>
        <w:spacing w:before="119"/>
        <w:ind w:left="118" w:right="680"/>
      </w:pPr>
      <w:r>
        <w:rPr/>
        <w:t>The relevant landscape drawings are attached in Appendix C: Arden Station Precinct Landscape</w:t>
      </w:r>
      <w:r>
        <w:rPr>
          <w:spacing w:val="-50"/>
        </w:rPr>
        <w:t> </w:t>
      </w:r>
      <w:r>
        <w:rPr/>
        <w:t>Plans and</w:t>
      </w:r>
      <w:r>
        <w:rPr>
          <w:spacing w:val="1"/>
        </w:rPr>
        <w:t> </w:t>
      </w:r>
      <w:r>
        <w:rPr/>
        <w:t>Elevations: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2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TAS-CYP-AR-00-DRG-AUD-ARD-710001-DP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7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TAS-CYP-AR-00-DRG-AUD-ARD-710002-DP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0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TAS-CYP-AR-00-DRG-AUD-ARD-710011-DP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8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TAS-CYP-AR-00-DRG-AUD-ARD-712201-DP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0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TAS-CYP-AR-00-DRG-AUD-ARD-712202-DP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8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TAS-CYP-AR-00-DRG-AUD-ARD-712203-DP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7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TAS-CYP-AR-00-DRG-AUD-ARD-712204-DP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1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TAS-CYP-AR-00-DRG-AUD-ARD-712205-DP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8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TAS-CYP-AR-00-DRG-AUD-ARD-712206-DP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7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TAS-CYP-AR-00-DRG-AUD-ARD-712207-DP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0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TAS-CYP-AR-00-DRG-AUD-ARD-712208-DP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8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TAS-CYP-AR-00-DRG-AUD-ARD-712209-DP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7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TAS-CYP-AR-00-DRG-AUD-ARD-712210-DP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1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TAS-CYP-AR-00-DRG-AUD-ARD-712211-DP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7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TAS-CYP-AR-00-DRG-AUD-ARD-714200-DP</w:t>
      </w:r>
    </w:p>
    <w:p>
      <w:pPr>
        <w:spacing w:after="0" w:line="240" w:lineRule="auto"/>
        <w:jc w:val="left"/>
        <w:rPr>
          <w:sz w:val="19"/>
        </w:rPr>
        <w:sectPr>
          <w:pgSz w:w="11910" w:h="16840"/>
          <w:pgMar w:header="899" w:footer="445" w:top="1860" w:bottom="640" w:left="130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00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TAS-CYP-AR-00-DRG-AUD-ARD-714201-DP.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  <w:r>
        <w:rPr/>
        <w:pict>
          <v:group style="position:absolute;margin-left:71.650002pt;margin-top:12.056532pt;width:406.95pt;height:509.25pt;mso-position-horizontal-relative:page;mso-position-vertical-relative:paragraph;z-index:-15718400;mso-wrap-distance-left:0;mso-wrap-distance-right:0" id="docshapegroup51" coordorigin="1433,241" coordsize="8139,10185">
            <v:shape style="position:absolute;left:1448;top:256;width:8109;height:10155" type="#_x0000_t75" id="docshape52" stroked="false">
              <v:imagedata r:id="rId26" o:title=""/>
            </v:shape>
            <v:rect style="position:absolute;left:1440;top:248;width:8124;height:10170" id="docshape53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spacing w:before="121"/>
        <w:ind w:left="118" w:right="0" w:firstLine="0"/>
        <w:jc w:val="left"/>
        <w:rPr>
          <w:sz w:val="18"/>
        </w:rPr>
      </w:pPr>
      <w:bookmarkStart w:name="_bookmark28" w:id="85"/>
      <w:bookmarkEnd w:id="85"/>
      <w:r>
        <w:rPr/>
      </w:r>
      <w:r>
        <w:rPr>
          <w:sz w:val="18"/>
        </w:rPr>
        <w:t>Figure</w:t>
      </w:r>
      <w:r>
        <w:rPr>
          <w:spacing w:val="-4"/>
          <w:sz w:val="18"/>
        </w:rPr>
        <w:t> </w:t>
      </w:r>
      <w:r>
        <w:rPr>
          <w:sz w:val="18"/>
        </w:rPr>
        <w:t>5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Arden</w:t>
      </w:r>
      <w:r>
        <w:rPr>
          <w:spacing w:val="-3"/>
          <w:sz w:val="18"/>
        </w:rPr>
        <w:t> </w:t>
      </w:r>
      <w:r>
        <w:rPr>
          <w:sz w:val="18"/>
        </w:rPr>
        <w:t>precinct</w:t>
      </w:r>
      <w:r>
        <w:rPr>
          <w:spacing w:val="-2"/>
          <w:sz w:val="18"/>
        </w:rPr>
        <w:t> </w:t>
      </w:r>
      <w:r>
        <w:rPr>
          <w:sz w:val="18"/>
        </w:rPr>
        <w:t>flood</w:t>
      </w:r>
      <w:r>
        <w:rPr>
          <w:spacing w:val="-2"/>
          <w:sz w:val="18"/>
        </w:rPr>
        <w:t> </w:t>
      </w:r>
      <w:r>
        <w:rPr>
          <w:sz w:val="18"/>
        </w:rPr>
        <w:t>management</w:t>
      </w:r>
      <w:r>
        <w:rPr>
          <w:spacing w:val="-2"/>
          <w:sz w:val="18"/>
        </w:rPr>
        <w:t> </w:t>
      </w:r>
      <w:r>
        <w:rPr>
          <w:sz w:val="18"/>
        </w:rPr>
        <w:t>strategy</w:t>
      </w:r>
    </w:p>
    <w:p>
      <w:pPr>
        <w:spacing w:before="123"/>
        <w:ind w:left="118" w:right="0" w:firstLine="0"/>
        <w:jc w:val="left"/>
        <w:rPr>
          <w:i/>
          <w:sz w:val="14"/>
        </w:rPr>
      </w:pPr>
      <w:r>
        <w:rPr>
          <w:i/>
          <w:sz w:val="14"/>
        </w:rPr>
        <w:t>Source:</w:t>
      </w:r>
      <w:r>
        <w:rPr>
          <w:i/>
          <w:spacing w:val="-4"/>
          <w:sz w:val="14"/>
        </w:rPr>
        <w:t> </w:t>
      </w:r>
      <w:r>
        <w:rPr>
          <w:i/>
          <w:sz w:val="14"/>
        </w:rPr>
        <w:t>Draft</w:t>
      </w:r>
      <w:r>
        <w:rPr>
          <w:i/>
          <w:spacing w:val="-3"/>
          <w:sz w:val="14"/>
        </w:rPr>
        <w:t> </w:t>
      </w:r>
      <w:r>
        <w:rPr>
          <w:i/>
          <w:sz w:val="14"/>
        </w:rPr>
        <w:t>Arden</w:t>
      </w:r>
      <w:r>
        <w:rPr>
          <w:i/>
          <w:spacing w:val="-4"/>
          <w:sz w:val="14"/>
        </w:rPr>
        <w:t> </w:t>
      </w:r>
      <w:r>
        <w:rPr>
          <w:i/>
          <w:sz w:val="14"/>
        </w:rPr>
        <w:t>Structure</w:t>
      </w:r>
      <w:r>
        <w:rPr>
          <w:i/>
          <w:spacing w:val="-1"/>
          <w:sz w:val="14"/>
        </w:rPr>
        <w:t> </w:t>
      </w:r>
      <w:r>
        <w:rPr>
          <w:i/>
          <w:sz w:val="14"/>
        </w:rPr>
        <w:t>Plan</w:t>
      </w:r>
      <w:r>
        <w:rPr>
          <w:i/>
          <w:spacing w:val="-2"/>
          <w:sz w:val="14"/>
        </w:rPr>
        <w:t> </w:t>
      </w:r>
      <w:r>
        <w:rPr>
          <w:i/>
          <w:sz w:val="14"/>
        </w:rPr>
        <w:t>(2020) –</w:t>
      </w:r>
      <w:r>
        <w:rPr>
          <w:i/>
          <w:spacing w:val="-1"/>
          <w:sz w:val="14"/>
        </w:rPr>
        <w:t> </w:t>
      </w:r>
      <w:r>
        <w:rPr>
          <w:i/>
          <w:sz w:val="14"/>
        </w:rPr>
        <w:t>page</w:t>
      </w:r>
      <w:r>
        <w:rPr>
          <w:i/>
          <w:spacing w:val="-2"/>
          <w:sz w:val="14"/>
        </w:rPr>
        <w:t> </w:t>
      </w:r>
      <w:r>
        <w:rPr>
          <w:i/>
          <w:sz w:val="14"/>
        </w:rPr>
        <w:t>77</w:t>
      </w:r>
    </w:p>
    <w:p>
      <w:pPr>
        <w:spacing w:after="0"/>
        <w:jc w:val="left"/>
        <w:rPr>
          <w:sz w:val="14"/>
        </w:rPr>
        <w:sectPr>
          <w:pgSz w:w="11910" w:h="16840"/>
          <w:pgMar w:header="899" w:footer="445" w:top="1860" w:bottom="640" w:left="1300" w:right="16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2"/>
        </w:rPr>
      </w:pPr>
    </w:p>
    <w:p>
      <w:pPr>
        <w:pStyle w:val="Heading3"/>
        <w:numPr>
          <w:ilvl w:val="2"/>
          <w:numId w:val="5"/>
        </w:numPr>
        <w:tabs>
          <w:tab w:pos="971" w:val="left" w:leader="none"/>
        </w:tabs>
        <w:spacing w:line="240" w:lineRule="auto" w:before="92" w:after="0"/>
        <w:ind w:left="970" w:right="0" w:hanging="853"/>
        <w:jc w:val="left"/>
      </w:pPr>
      <w:bookmarkStart w:name="_bookmark29" w:id="86"/>
      <w:bookmarkEnd w:id="86"/>
      <w:r>
        <w:rPr/>
      </w:r>
      <w:bookmarkStart w:name="_bookmark29" w:id="87"/>
      <w:bookmarkEnd w:id="87"/>
      <w:r>
        <w:rPr>
          <w:color w:val="808080"/>
        </w:rPr>
        <w:t>PUB</w:t>
      </w:r>
      <w:r>
        <w:rPr>
          <w:color w:val="808080"/>
        </w:rPr>
        <w:t>LIC</w:t>
      </w:r>
      <w:r>
        <w:rPr>
          <w:color w:val="808080"/>
          <w:spacing w:val="-3"/>
        </w:rPr>
        <w:t> </w:t>
      </w:r>
      <w:r>
        <w:rPr>
          <w:color w:val="808080"/>
        </w:rPr>
        <w:t>REALM</w:t>
      </w:r>
      <w:r>
        <w:rPr>
          <w:color w:val="808080"/>
          <w:spacing w:val="-3"/>
        </w:rPr>
        <w:t> </w:t>
      </w:r>
      <w:r>
        <w:rPr>
          <w:color w:val="808080"/>
        </w:rPr>
        <w:t>RESPONSE</w:t>
      </w:r>
    </w:p>
    <w:p>
      <w:pPr>
        <w:pStyle w:val="BodyText"/>
        <w:spacing w:before="120"/>
        <w:ind w:left="118" w:right="302"/>
        <w:jc w:val="both"/>
      </w:pPr>
      <w:r>
        <w:rPr/>
        <w:t>The Arden Station precinct public realm design response will create new spaces for transit users and</w:t>
      </w:r>
      <w:r>
        <w:rPr>
          <w:spacing w:val="-50"/>
        </w:rPr>
        <w:t> </w:t>
      </w:r>
      <w:r>
        <w:rPr/>
        <w:t>the community to interact and enjoy. The station plaza on Laurens Street provides a meeting place at</w:t>
      </w:r>
      <w:r>
        <w:rPr>
          <w:spacing w:val="-50"/>
        </w:rPr>
        <w:t> </w:t>
      </w:r>
      <w:r>
        <w:rPr/>
        <w:t>the station entry set back from Laurens Street, while the new ‘Laurens Lane’ provides an inviting and</w:t>
      </w:r>
      <w:r>
        <w:rPr>
          <w:spacing w:val="1"/>
        </w:rPr>
        <w:t> </w:t>
      </w:r>
      <w:r>
        <w:rPr/>
        <w:t>green</w:t>
      </w:r>
      <w:r>
        <w:rPr>
          <w:spacing w:val="-12"/>
        </w:rPr>
        <w:t> </w:t>
      </w:r>
      <w:r>
        <w:rPr/>
        <w:t>space,</w:t>
      </w:r>
      <w:r>
        <w:rPr>
          <w:spacing w:val="-11"/>
        </w:rPr>
        <w:t> </w:t>
      </w:r>
      <w:r>
        <w:rPr/>
        <w:t>set</w:t>
      </w:r>
      <w:r>
        <w:rPr>
          <w:spacing w:val="-11"/>
        </w:rPr>
        <w:t> </w:t>
      </w:r>
      <w:r>
        <w:rPr/>
        <w:t>amongst</w:t>
      </w:r>
      <w:r>
        <w:rPr>
          <w:spacing w:val="-11"/>
        </w:rPr>
        <w:t> </w:t>
      </w:r>
      <w:r>
        <w:rPr/>
        <w:t>trees,</w:t>
      </w:r>
      <w:r>
        <w:rPr>
          <w:spacing w:val="-11"/>
        </w:rPr>
        <w:t> </w:t>
      </w:r>
      <w:r>
        <w:rPr/>
        <w:t>encouraging</w:t>
      </w:r>
      <w:r>
        <w:rPr>
          <w:spacing w:val="-12"/>
        </w:rPr>
        <w:t> </w:t>
      </w:r>
      <w:r>
        <w:rPr/>
        <w:t>visitors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enjoy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surrounds.</w:t>
      </w:r>
      <w:r>
        <w:rPr>
          <w:spacing w:val="-12"/>
        </w:rPr>
        <w:t> </w:t>
      </w:r>
      <w:r>
        <w:rPr/>
        <w:t>Project</w:t>
      </w:r>
      <w:r>
        <w:rPr>
          <w:spacing w:val="-11"/>
        </w:rPr>
        <w:t> </w:t>
      </w:r>
      <w:r>
        <w:rPr/>
        <w:t>works</w:t>
      </w:r>
      <w:r>
        <w:rPr>
          <w:spacing w:val="-10"/>
        </w:rPr>
        <w:t> </w:t>
      </w:r>
      <w:r>
        <w:rPr/>
        <w:t>will</w:t>
      </w:r>
      <w:r>
        <w:rPr>
          <w:spacing w:val="-10"/>
        </w:rPr>
        <w:t> </w:t>
      </w:r>
      <w:r>
        <w:rPr/>
        <w:t>change</w:t>
      </w:r>
      <w:r>
        <w:rPr>
          <w:spacing w:val="-51"/>
        </w:rPr>
        <w:t> </w:t>
      </w:r>
      <w:r>
        <w:rPr/>
        <w:t>the streetscape of Laurens Street, encouraging ongoing urban renewal in an area currently heavily</w:t>
      </w:r>
      <w:r>
        <w:rPr>
          <w:spacing w:val="1"/>
        </w:rPr>
        <w:t> </w:t>
      </w:r>
      <w:r>
        <w:rPr/>
        <w:t>dominated by industrial uses. Works along Barwise Street will reinvigorate an underused space and</w:t>
      </w:r>
      <w:r>
        <w:rPr>
          <w:spacing w:val="1"/>
        </w:rPr>
        <w:t> </w:t>
      </w:r>
      <w:r>
        <w:rPr/>
        <w:t>the design will reinstate a greener more sustainable precinct as a legacy with future development</w:t>
      </w:r>
      <w:r>
        <w:rPr>
          <w:spacing w:val="1"/>
        </w:rPr>
        <w:t> </w:t>
      </w:r>
      <w:r>
        <w:rPr/>
        <w:t>opportunities.</w:t>
      </w:r>
    </w:p>
    <w:p>
      <w:pPr>
        <w:pStyle w:val="BodyText"/>
        <w:spacing w:before="122"/>
        <w:ind w:left="118" w:right="302"/>
        <w:jc w:val="both"/>
      </w:pPr>
      <w:r>
        <w:rPr/>
        <w:t>Laurens</w:t>
      </w:r>
      <w:r>
        <w:rPr>
          <w:spacing w:val="-5"/>
        </w:rPr>
        <w:t> </w:t>
      </w:r>
      <w:r>
        <w:rPr/>
        <w:t>Street</w:t>
      </w:r>
      <w:r>
        <w:rPr>
          <w:spacing w:val="-6"/>
        </w:rPr>
        <w:t> </w:t>
      </w:r>
      <w:r>
        <w:rPr/>
        <w:t>will</w:t>
      </w:r>
      <w:r>
        <w:rPr>
          <w:spacing w:val="-4"/>
        </w:rPr>
        <w:t> </w:t>
      </w:r>
      <w:r>
        <w:rPr/>
        <w:t>accommodate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main</w:t>
      </w:r>
      <w:r>
        <w:rPr>
          <w:spacing w:val="-6"/>
        </w:rPr>
        <w:t> </w:t>
      </w:r>
      <w:r>
        <w:rPr/>
        <w:t>station</w:t>
      </w:r>
      <w:r>
        <w:rPr>
          <w:spacing w:val="-5"/>
        </w:rPr>
        <w:t> </w:t>
      </w:r>
      <w:r>
        <w:rPr/>
        <w:t>entry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exit</w:t>
      </w:r>
      <w:r>
        <w:rPr>
          <w:spacing w:val="-5"/>
        </w:rPr>
        <w:t> </w:t>
      </w:r>
      <w:r>
        <w:rPr/>
        <w:t>point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Day</w:t>
      </w:r>
      <w:r>
        <w:rPr>
          <w:spacing w:val="-5"/>
        </w:rPr>
        <w:t> </w:t>
      </w:r>
      <w:r>
        <w:rPr/>
        <w:t>1</w:t>
      </w:r>
      <w:r>
        <w:rPr>
          <w:spacing w:val="-5"/>
        </w:rPr>
        <w:t> </w:t>
      </w:r>
      <w:r>
        <w:rPr/>
        <w:t>operation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well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50"/>
        </w:rPr>
        <w:t> </w:t>
      </w:r>
      <w:r>
        <w:rPr/>
        <w:t>associated functional requirements including bicycle access, pedestrian crossings, kiss-and-ride, taxi</w:t>
      </w:r>
      <w:r>
        <w:rPr>
          <w:spacing w:val="-50"/>
        </w:rPr>
        <w:t> </w:t>
      </w:r>
      <w:r>
        <w:rPr/>
        <w:t>zone and bus stops (for future bus routes), and private vehicle thoroughfare. The majority of bicycle</w:t>
      </w:r>
      <w:r>
        <w:rPr>
          <w:spacing w:val="1"/>
        </w:rPr>
        <w:t> </w:t>
      </w:r>
      <w:r>
        <w:rPr>
          <w:spacing w:val="-1"/>
        </w:rPr>
        <w:t>parking</w:t>
      </w:r>
      <w:r>
        <w:rPr>
          <w:spacing w:val="-12"/>
        </w:rPr>
        <w:t> </w:t>
      </w:r>
      <w:r>
        <w:rPr>
          <w:spacing w:val="-1"/>
        </w:rPr>
        <w:t>will</w:t>
      </w:r>
      <w:r>
        <w:rPr>
          <w:spacing w:val="-12"/>
        </w:rPr>
        <w:t> </w:t>
      </w:r>
      <w:r>
        <w:rPr/>
        <w:t>be</w:t>
      </w:r>
      <w:r>
        <w:rPr>
          <w:spacing w:val="-11"/>
        </w:rPr>
        <w:t> </w:t>
      </w:r>
      <w:r>
        <w:rPr/>
        <w:t>accessible</w:t>
      </w:r>
      <w:r>
        <w:rPr>
          <w:spacing w:val="-13"/>
        </w:rPr>
        <w:t> </w:t>
      </w:r>
      <w:r>
        <w:rPr/>
        <w:t>via</w:t>
      </w:r>
      <w:r>
        <w:rPr>
          <w:spacing w:val="-13"/>
        </w:rPr>
        <w:t> </w:t>
      </w:r>
      <w:r>
        <w:rPr/>
        <w:t>Barwise</w:t>
      </w:r>
      <w:r>
        <w:rPr>
          <w:spacing w:val="-11"/>
        </w:rPr>
        <w:t> </w:t>
      </w:r>
      <w:r>
        <w:rPr/>
        <w:t>Street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service</w:t>
      </w:r>
      <w:r>
        <w:rPr>
          <w:spacing w:val="-11"/>
        </w:rPr>
        <w:t> </w:t>
      </w:r>
      <w:r>
        <w:rPr/>
        <w:t>road</w:t>
      </w:r>
      <w:r>
        <w:rPr>
          <w:spacing w:val="-10"/>
        </w:rPr>
        <w:t> </w:t>
      </w:r>
      <w:r>
        <w:rPr/>
        <w:t>entry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station.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station</w:t>
      </w:r>
      <w:r>
        <w:rPr>
          <w:spacing w:val="-11"/>
        </w:rPr>
        <w:t> </w:t>
      </w:r>
      <w:r>
        <w:rPr/>
        <w:t>plaza</w:t>
      </w:r>
      <w:r>
        <w:rPr>
          <w:spacing w:val="-50"/>
        </w:rPr>
        <w:t> </w:t>
      </w:r>
      <w:r>
        <w:rPr/>
        <w:t>will</w:t>
      </w:r>
      <w:r>
        <w:rPr>
          <w:spacing w:val="-9"/>
        </w:rPr>
        <w:t> </w:t>
      </w:r>
      <w:r>
        <w:rPr/>
        <w:t>feature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number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retail</w:t>
      </w:r>
      <w:r>
        <w:rPr>
          <w:spacing w:val="-13"/>
        </w:rPr>
        <w:t> </w:t>
      </w:r>
      <w:r>
        <w:rPr/>
        <w:t>stores</w:t>
      </w:r>
      <w:r>
        <w:rPr>
          <w:spacing w:val="-8"/>
        </w:rPr>
        <w:t> </w:t>
      </w:r>
      <w:r>
        <w:rPr/>
        <w:t>providing</w:t>
      </w:r>
      <w:r>
        <w:rPr>
          <w:spacing w:val="-11"/>
        </w:rPr>
        <w:t> </w:t>
      </w:r>
      <w:r>
        <w:rPr/>
        <w:t>passengers</w:t>
      </w:r>
      <w:r>
        <w:rPr>
          <w:spacing w:val="-11"/>
        </w:rPr>
        <w:t> </w:t>
      </w:r>
      <w:r>
        <w:rPr/>
        <w:t>with</w:t>
      </w:r>
      <w:r>
        <w:rPr>
          <w:spacing w:val="-8"/>
        </w:rPr>
        <w:t> </w:t>
      </w:r>
      <w:r>
        <w:rPr/>
        <w:t>an</w:t>
      </w:r>
      <w:r>
        <w:rPr>
          <w:spacing w:val="-9"/>
        </w:rPr>
        <w:t> </w:t>
      </w:r>
      <w:r>
        <w:rPr/>
        <w:t>opportunity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buy</w:t>
      </w:r>
      <w:r>
        <w:rPr>
          <w:spacing w:val="-9"/>
        </w:rPr>
        <w:t> </w:t>
      </w:r>
      <w:r>
        <w:rPr/>
        <w:t>refreshments</w:t>
      </w:r>
      <w:r>
        <w:rPr>
          <w:spacing w:val="-7"/>
        </w:rPr>
        <w:t> </w:t>
      </w:r>
      <w:r>
        <w:rPr/>
        <w:t>and</w:t>
      </w:r>
      <w:r>
        <w:rPr>
          <w:spacing w:val="-51"/>
        </w:rPr>
        <w:t> </w:t>
      </w:r>
      <w:r>
        <w:rPr/>
        <w:t>food whilst within the Arden Station precinct. There is also a digital passenger information display</w:t>
      </w:r>
      <w:r>
        <w:rPr>
          <w:spacing w:val="1"/>
        </w:rPr>
        <w:t> </w:t>
      </w:r>
      <w:r>
        <w:rPr/>
        <w:t>proposed to enhance the user experience, and to ensure safety the station precinct will be monitored</w:t>
      </w:r>
      <w:r>
        <w:rPr>
          <w:spacing w:val="-50"/>
        </w:rPr>
        <w:t> </w:t>
      </w:r>
      <w:r>
        <w:rPr/>
        <w:t>by video</w:t>
      </w:r>
      <w:r>
        <w:rPr>
          <w:spacing w:val="-2"/>
        </w:rPr>
        <w:t> </w:t>
      </w:r>
      <w:r>
        <w:rPr/>
        <w:t>surveillance.</w:t>
      </w:r>
    </w:p>
    <w:p>
      <w:pPr>
        <w:pStyle w:val="BodyText"/>
        <w:spacing w:before="120"/>
        <w:ind w:left="118" w:right="298"/>
        <w:jc w:val="both"/>
      </w:pPr>
      <w:r>
        <w:rPr/>
        <w:t>Two new service laneways will be developed as part of the Project. This includes a service laneway;</w:t>
      </w:r>
      <w:r>
        <w:rPr>
          <w:spacing w:val="1"/>
        </w:rPr>
        <w:t> </w:t>
      </w:r>
      <w:r>
        <w:rPr/>
        <w:t>Station Lane, at the rear of the main station building, which will also provide cyclist and pedestrian</w:t>
      </w:r>
      <w:r>
        <w:rPr>
          <w:spacing w:val="1"/>
        </w:rPr>
        <w:t> </w:t>
      </w:r>
      <w:r>
        <w:rPr/>
        <w:t>access. In consultation with the Victorian Planning Authority and City of Melbourne, the total road</w:t>
      </w:r>
      <w:r>
        <w:rPr>
          <w:spacing w:val="1"/>
        </w:rPr>
        <w:t> </w:t>
      </w:r>
      <w:r>
        <w:rPr/>
        <w:t>reserve width of the Station Lane has been increased to 16m in this amended Development Plan to</w:t>
      </w:r>
      <w:r>
        <w:rPr>
          <w:spacing w:val="1"/>
        </w:rPr>
        <w:t> </w:t>
      </w:r>
      <w:r>
        <w:rPr/>
        <w:t>better accommodate the potential future entry to the station and pedestrian access. Another service</w:t>
      </w:r>
      <w:r>
        <w:rPr>
          <w:spacing w:val="1"/>
        </w:rPr>
        <w:t> </w:t>
      </w:r>
      <w:r>
        <w:rPr/>
        <w:t>laneway</w:t>
      </w:r>
      <w:r>
        <w:rPr>
          <w:spacing w:val="-5"/>
        </w:rPr>
        <w:t> </w:t>
      </w:r>
      <w:r>
        <w:rPr/>
        <w:t>off</w:t>
      </w:r>
      <w:r>
        <w:rPr>
          <w:spacing w:val="-4"/>
        </w:rPr>
        <w:t> </w:t>
      </w:r>
      <w:r>
        <w:rPr/>
        <w:t>Barwise</w:t>
      </w:r>
      <w:r>
        <w:rPr>
          <w:spacing w:val="-8"/>
        </w:rPr>
        <w:t> </w:t>
      </w:r>
      <w:r>
        <w:rPr/>
        <w:t>Street;</w:t>
      </w:r>
      <w:r>
        <w:rPr>
          <w:spacing w:val="-5"/>
        </w:rPr>
        <w:t> </w:t>
      </w:r>
      <w:r>
        <w:rPr/>
        <w:t>Fogarty</w:t>
      </w:r>
      <w:r>
        <w:rPr>
          <w:spacing w:val="-4"/>
        </w:rPr>
        <w:t> </w:t>
      </w:r>
      <w:r>
        <w:rPr/>
        <w:t>Street,</w:t>
      </w:r>
      <w:r>
        <w:rPr>
          <w:spacing w:val="-5"/>
        </w:rPr>
        <w:t> </w:t>
      </w:r>
      <w:r>
        <w:rPr/>
        <w:t>will</w:t>
      </w:r>
      <w:r>
        <w:rPr>
          <w:spacing w:val="-4"/>
        </w:rPr>
        <w:t> </w:t>
      </w:r>
      <w:r>
        <w:rPr/>
        <w:t>service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Western</w:t>
      </w:r>
      <w:r>
        <w:rPr>
          <w:spacing w:val="-5"/>
        </w:rPr>
        <w:t> </w:t>
      </w:r>
      <w:r>
        <w:rPr/>
        <w:t>Building.</w:t>
      </w:r>
      <w:r>
        <w:rPr>
          <w:spacing w:val="-6"/>
        </w:rPr>
        <w:t> </w:t>
      </w:r>
      <w:r>
        <w:rPr/>
        <w:t>This</w:t>
      </w:r>
      <w:r>
        <w:rPr>
          <w:spacing w:val="-4"/>
        </w:rPr>
        <w:t> </w:t>
      </w:r>
      <w:r>
        <w:rPr/>
        <w:t>laneway</w:t>
      </w:r>
      <w:r>
        <w:rPr>
          <w:spacing w:val="-5"/>
        </w:rPr>
        <w:t> </w:t>
      </w:r>
      <w:r>
        <w:rPr/>
        <w:t>aligns</w:t>
      </w:r>
      <w:r>
        <w:rPr>
          <w:spacing w:val="-2"/>
        </w:rPr>
        <w:t> </w:t>
      </w:r>
      <w:r>
        <w:rPr/>
        <w:t>with</w:t>
      </w:r>
      <w:r>
        <w:rPr>
          <w:spacing w:val="-51"/>
        </w:rPr>
        <w:t> </w:t>
      </w:r>
      <w:r>
        <w:rPr/>
        <w:t>the proposed extension of Fogarty Street (north of the Arden Station) and can be integrated into the</w:t>
      </w:r>
      <w:r>
        <w:rPr>
          <w:spacing w:val="1"/>
        </w:rPr>
        <w:t> </w:t>
      </w:r>
      <w:r>
        <w:rPr/>
        <w:t>future</w:t>
      </w:r>
      <w:r>
        <w:rPr>
          <w:spacing w:val="-2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 Arden precinct’s</w:t>
      </w:r>
      <w:r>
        <w:rPr>
          <w:spacing w:val="-1"/>
        </w:rPr>
        <w:t> </w:t>
      </w:r>
      <w:r>
        <w:rPr/>
        <w:t>transport</w:t>
      </w:r>
      <w:r>
        <w:rPr>
          <w:spacing w:val="-2"/>
        </w:rPr>
        <w:t> </w:t>
      </w:r>
      <w:r>
        <w:rPr/>
        <w:t>network,</w:t>
      </w:r>
      <w:r>
        <w:rPr>
          <w:spacing w:val="-2"/>
        </w:rPr>
        <w:t> </w:t>
      </w:r>
      <w:r>
        <w:rPr/>
        <w:t>illustrated in</w:t>
      </w:r>
      <w:r>
        <w:rPr>
          <w:spacing w:val="2"/>
        </w:rPr>
        <w:t> </w:t>
      </w:r>
      <w:hyperlink w:history="true" w:anchor="_bookmark39">
        <w:r>
          <w:rPr>
            <w:sz w:val="18"/>
          </w:rPr>
          <w:t>Figure 11</w:t>
        </w:r>
        <w:r>
          <w:rPr/>
          <w:t>.</w:t>
        </w:r>
      </w:hyperlink>
    </w:p>
    <w:p>
      <w:pPr>
        <w:pStyle w:val="BodyText"/>
        <w:spacing w:before="120"/>
        <w:ind w:left="118" w:right="298"/>
        <w:jc w:val="both"/>
      </w:pPr>
      <w:r>
        <w:rPr/>
        <w:t>As part of the design development, there have been amendments to the public realm features. The</w:t>
      </w:r>
      <w:r>
        <w:rPr>
          <w:spacing w:val="1"/>
        </w:rPr>
        <w:t> </w:t>
      </w:r>
      <w:r>
        <w:rPr/>
        <w:t>total extent of public realm has increased around the Western Building by revising the kerb alignment</w:t>
      </w:r>
      <w:r>
        <w:rPr>
          <w:spacing w:val="-50"/>
        </w:rPr>
        <w:t> </w:t>
      </w:r>
      <w:r>
        <w:rPr/>
        <w:t>of Station Lane. A plinth terrace has been introduced on Barwise Street which has led to adjustments</w:t>
      </w:r>
      <w:r>
        <w:rPr>
          <w:spacing w:val="-50"/>
        </w:rPr>
        <w:t> </w:t>
      </w:r>
      <w:r>
        <w:rPr/>
        <w:t>to the ramps and stairs to provide access to the retail units. This change is associated with the raised</w:t>
      </w:r>
      <w:r>
        <w:rPr>
          <w:spacing w:val="-50"/>
        </w:rPr>
        <w:t> </w:t>
      </w:r>
      <w:r>
        <w:rPr/>
        <w:t>interfacing retail entrances to better address flood protection, as discussed in Section </w:t>
      </w:r>
      <w:hyperlink w:history="true" w:anchor="_bookmark26">
        <w:r>
          <w:rPr/>
          <w:t>4.3.1. </w:t>
        </w:r>
      </w:hyperlink>
      <w:r>
        <w:rPr/>
        <w:t>Linear</w:t>
      </w:r>
      <w:r>
        <w:rPr>
          <w:spacing w:val="1"/>
        </w:rPr>
        <w:t> </w:t>
      </w:r>
      <w:r>
        <w:rPr/>
        <w:t>garden beds (including a rain garden) have also been incorporated along the northern edge of the</w:t>
      </w:r>
      <w:r>
        <w:rPr>
          <w:spacing w:val="1"/>
        </w:rPr>
        <w:t> </w:t>
      </w:r>
      <w:r>
        <w:rPr/>
        <w:t>outdoor dining area on Barwise Street. These garden beds will help to clearly define the proposed</w:t>
      </w:r>
      <w:r>
        <w:rPr>
          <w:spacing w:val="1"/>
        </w:rPr>
        <w:t> </w:t>
      </w:r>
      <w:r>
        <w:rPr/>
        <w:t>pedestrian avenue and retail spill out/ outdoor dining. In addition, public realm features along Station</w:t>
      </w:r>
      <w:r>
        <w:rPr>
          <w:spacing w:val="1"/>
        </w:rPr>
        <w:t> </w:t>
      </w:r>
      <w:r>
        <w:rPr/>
        <w:t>Lane and Laurens Lane have been subject to change. On Station Lane, improved features such as</w:t>
      </w:r>
      <w:r>
        <w:rPr>
          <w:spacing w:val="1"/>
        </w:rPr>
        <w:t> </w:t>
      </w:r>
      <w:r>
        <w:rPr>
          <w:spacing w:val="-1"/>
        </w:rPr>
        <w:t>additional</w:t>
      </w:r>
      <w:r>
        <w:rPr>
          <w:spacing w:val="-12"/>
        </w:rPr>
        <w:t> </w:t>
      </w:r>
      <w:r>
        <w:rPr>
          <w:spacing w:val="-1"/>
        </w:rPr>
        <w:t>WSUD</w:t>
      </w:r>
      <w:r>
        <w:rPr>
          <w:spacing w:val="-10"/>
        </w:rPr>
        <w:t> </w:t>
      </w:r>
      <w:r>
        <w:rPr>
          <w:spacing w:val="-1"/>
        </w:rPr>
        <w:t>features</w:t>
      </w:r>
      <w:r>
        <w:rPr>
          <w:spacing w:val="-9"/>
        </w:rPr>
        <w:t> </w:t>
      </w:r>
      <w:r>
        <w:rPr/>
        <w:t>(including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long</w:t>
      </w:r>
      <w:r>
        <w:rPr>
          <w:spacing w:val="-12"/>
        </w:rPr>
        <w:t> </w:t>
      </w:r>
      <w:r>
        <w:rPr/>
        <w:t>linear</w:t>
      </w:r>
      <w:r>
        <w:rPr>
          <w:spacing w:val="-13"/>
        </w:rPr>
        <w:t> </w:t>
      </w:r>
      <w:r>
        <w:rPr/>
        <w:t>sunken</w:t>
      </w:r>
      <w:r>
        <w:rPr>
          <w:spacing w:val="-12"/>
        </w:rPr>
        <w:t> </w:t>
      </w:r>
      <w:r>
        <w:rPr/>
        <w:t>garden),</w:t>
      </w:r>
      <w:r>
        <w:rPr>
          <w:spacing w:val="-10"/>
        </w:rPr>
        <w:t> </w:t>
      </w:r>
      <w:r>
        <w:rPr/>
        <w:t>trees,</w:t>
      </w:r>
      <w:r>
        <w:rPr>
          <w:spacing w:val="-10"/>
        </w:rPr>
        <w:t> </w:t>
      </w:r>
      <w:r>
        <w:rPr/>
        <w:t>bike</w:t>
      </w:r>
      <w:r>
        <w:rPr>
          <w:spacing w:val="-10"/>
        </w:rPr>
        <w:t> </w:t>
      </w:r>
      <w:r>
        <w:rPr/>
        <w:t>hoops</w:t>
      </w:r>
      <w:r>
        <w:rPr>
          <w:spacing w:val="-12"/>
        </w:rPr>
        <w:t> </w:t>
      </w:r>
      <w:r>
        <w:rPr/>
        <w:t>and</w:t>
      </w:r>
      <w:r>
        <w:rPr>
          <w:spacing w:val="-9"/>
        </w:rPr>
        <w:t> </w:t>
      </w:r>
      <w:r>
        <w:rPr/>
        <w:t>public</w:t>
      </w:r>
      <w:r>
        <w:rPr>
          <w:spacing w:val="-10"/>
        </w:rPr>
        <w:t> </w:t>
      </w:r>
      <w:r>
        <w:rPr/>
        <w:t>seating</w:t>
      </w:r>
      <w:r>
        <w:rPr>
          <w:spacing w:val="-50"/>
        </w:rPr>
        <w:t> </w:t>
      </w:r>
      <w:r>
        <w:rPr/>
        <w:t>areas</w:t>
      </w:r>
      <w:r>
        <w:rPr>
          <w:spacing w:val="-10"/>
        </w:rPr>
        <w:t> </w:t>
      </w:r>
      <w:r>
        <w:rPr/>
        <w:t>are</w:t>
      </w:r>
      <w:r>
        <w:rPr>
          <w:spacing w:val="-11"/>
        </w:rPr>
        <w:t> </w:t>
      </w:r>
      <w:r>
        <w:rPr/>
        <w:t>proposed.</w:t>
      </w:r>
      <w:r>
        <w:rPr>
          <w:spacing w:val="-10"/>
        </w:rPr>
        <w:t> </w:t>
      </w:r>
      <w:r>
        <w:rPr/>
        <w:t>Laurens</w:t>
      </w:r>
      <w:r>
        <w:rPr>
          <w:spacing w:val="-10"/>
        </w:rPr>
        <w:t> </w:t>
      </w:r>
      <w:r>
        <w:rPr/>
        <w:t>Lane</w:t>
      </w:r>
      <w:r>
        <w:rPr>
          <w:spacing w:val="-10"/>
        </w:rPr>
        <w:t> </w:t>
      </w:r>
      <w:r>
        <w:rPr/>
        <w:t>design</w:t>
      </w:r>
      <w:r>
        <w:rPr>
          <w:spacing w:val="-11"/>
        </w:rPr>
        <w:t> </w:t>
      </w:r>
      <w:r>
        <w:rPr/>
        <w:t>has</w:t>
      </w:r>
      <w:r>
        <w:rPr>
          <w:spacing w:val="-10"/>
        </w:rPr>
        <w:t> </w:t>
      </w:r>
      <w:r>
        <w:rPr/>
        <w:t>been</w:t>
      </w:r>
      <w:r>
        <w:rPr>
          <w:spacing w:val="-10"/>
        </w:rPr>
        <w:t> </w:t>
      </w:r>
      <w:r>
        <w:rPr/>
        <w:t>amended</w:t>
      </w:r>
      <w:r>
        <w:rPr>
          <w:spacing w:val="-11"/>
        </w:rPr>
        <w:t> </w:t>
      </w:r>
      <w:r>
        <w:rPr/>
        <w:t>by</w:t>
      </w:r>
      <w:r>
        <w:rPr>
          <w:spacing w:val="-10"/>
        </w:rPr>
        <w:t> </w:t>
      </w:r>
      <w:r>
        <w:rPr/>
        <w:t>relocating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fire</w:t>
      </w:r>
      <w:r>
        <w:rPr>
          <w:spacing w:val="-11"/>
        </w:rPr>
        <w:t> </w:t>
      </w:r>
      <w:r>
        <w:rPr/>
        <w:t>booster,</w:t>
      </w:r>
      <w:r>
        <w:rPr>
          <w:spacing w:val="-7"/>
        </w:rPr>
        <w:t> </w:t>
      </w:r>
      <w:r>
        <w:rPr/>
        <w:t>increasing</w:t>
      </w:r>
      <w:r>
        <w:rPr>
          <w:spacing w:val="-51"/>
        </w:rPr>
        <w:t> </w:t>
      </w:r>
      <w:r>
        <w:rPr/>
        <w:t>the plinth terrace area and adjusting the stair alignment to address access requirements to station</w:t>
      </w:r>
      <w:r>
        <w:rPr>
          <w:spacing w:val="1"/>
        </w:rPr>
        <w:t> </w:t>
      </w:r>
      <w:r>
        <w:rPr/>
        <w:t>services,</w:t>
      </w:r>
      <w:r>
        <w:rPr>
          <w:spacing w:val="-2"/>
        </w:rPr>
        <w:t> </w:t>
      </w:r>
      <w:r>
        <w:rPr/>
        <w:t>increasing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scale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WSUD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garden</w:t>
      </w:r>
      <w:r>
        <w:rPr>
          <w:spacing w:val="-2"/>
        </w:rPr>
        <w:t> </w:t>
      </w:r>
      <w:r>
        <w:rPr/>
        <w:t>beds and</w:t>
      </w:r>
      <w:r>
        <w:rPr>
          <w:spacing w:val="-1"/>
        </w:rPr>
        <w:t> </w:t>
      </w:r>
      <w:r>
        <w:rPr/>
        <w:t>re-arranging</w:t>
      </w:r>
      <w:r>
        <w:rPr>
          <w:spacing w:val="-1"/>
        </w:rPr>
        <w:t> </w:t>
      </w:r>
      <w:r>
        <w:rPr/>
        <w:t>street furniture.</w:t>
      </w:r>
    </w:p>
    <w:p>
      <w:pPr>
        <w:pStyle w:val="BodyText"/>
        <w:spacing w:before="118"/>
        <w:ind w:left="118" w:right="300"/>
        <w:jc w:val="both"/>
      </w:pPr>
      <w:r>
        <w:rPr/>
        <w:t>Integrated art that speaks to the above themes will be included in Arden Station precinct finishings. A</w:t>
      </w:r>
      <w:r>
        <w:rPr>
          <w:spacing w:val="-50"/>
        </w:rPr>
        <w:t> </w:t>
      </w:r>
      <w:r>
        <w:rPr/>
        <w:t>collaborative commission for areas of the landscape with various designers will form part of our</w:t>
      </w:r>
      <w:r>
        <w:rPr>
          <w:spacing w:val="1"/>
        </w:rPr>
        <w:t> </w:t>
      </w:r>
      <w:r>
        <w:rPr/>
        <w:t>Connection to Country Strategy. By celebrating the unique character of the precinct and amplifying</w:t>
      </w:r>
      <w:r>
        <w:rPr>
          <w:spacing w:val="1"/>
        </w:rPr>
        <w:t> </w:t>
      </w:r>
      <w:r>
        <w:rPr/>
        <w:t>these qualities, the Project supports a unique identity and connection to place, country and heritage.</w:t>
      </w:r>
      <w:r>
        <w:rPr>
          <w:spacing w:val="1"/>
        </w:rPr>
        <w:t> </w:t>
      </w:r>
      <w:r>
        <w:rPr/>
        <w:t>Provisional</w:t>
      </w:r>
      <w:r>
        <w:rPr>
          <w:spacing w:val="-1"/>
        </w:rPr>
        <w:t> </w:t>
      </w:r>
      <w:r>
        <w:rPr/>
        <w:t>locations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implementation</w:t>
      </w:r>
      <w:r>
        <w:rPr>
          <w:spacing w:val="-1"/>
        </w:rPr>
        <w:t> </w:t>
      </w:r>
      <w:r>
        <w:rPr/>
        <w:t>of art</w:t>
      </w:r>
      <w:r>
        <w:rPr>
          <w:spacing w:val="-1"/>
        </w:rPr>
        <w:t> </w:t>
      </w:r>
      <w:r>
        <w:rPr/>
        <w:t>installations is provided.</w:t>
      </w:r>
    </w:p>
    <w:p>
      <w:pPr>
        <w:pStyle w:val="BodyText"/>
        <w:spacing w:before="123"/>
        <w:ind w:left="118" w:right="459"/>
      </w:pPr>
      <w:r>
        <w:rPr/>
        <w:t>The relevant public realm drawings listed below are attached in Appendix D: Arden Station Precinct</w:t>
      </w:r>
      <w:r>
        <w:rPr>
          <w:spacing w:val="-50"/>
        </w:rPr>
        <w:t> </w:t>
      </w:r>
      <w:r>
        <w:rPr/>
        <w:t>Public</w:t>
      </w:r>
      <w:r>
        <w:rPr>
          <w:spacing w:val="-1"/>
        </w:rPr>
        <w:t> </w:t>
      </w:r>
      <w:r>
        <w:rPr/>
        <w:t>Realm</w:t>
      </w:r>
      <w:r>
        <w:rPr>
          <w:spacing w:val="-1"/>
        </w:rPr>
        <w:t> </w:t>
      </w:r>
      <w:r>
        <w:rPr/>
        <w:t>Plans: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2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TAS-CYP-AR-00-DRG-AUD-ARD-710001-DP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7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TAS-CYP-AR-00-DRG-AUD-ARD-710002-DP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8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TAS-CYP-AR-00-DRG-AUD-ARD-712101-DP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0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TAS-CYP-AR-00-DRG-AUD-ARD-712102-DP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7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TAS-CYP-AR-00-DRG-AUD-ARD-712103-DP</w:t>
      </w:r>
    </w:p>
    <w:p>
      <w:pPr>
        <w:spacing w:after="0" w:line="240" w:lineRule="auto"/>
        <w:jc w:val="left"/>
        <w:rPr>
          <w:sz w:val="19"/>
        </w:rPr>
        <w:sectPr>
          <w:pgSz w:w="11910" w:h="16840"/>
          <w:pgMar w:header="899" w:footer="445" w:top="1860" w:bottom="640" w:left="130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00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TAS-CYP-AR-00-DRG-AUD-ARD-712104-DP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8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TAS-CYP-AR-00-DRG-AUD-ARD-712105-DP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0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TAS-CYP-AR-00-DRG-AUD-ARD-712106-DP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7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TAS-CYP-AR-00-DRG-AUD-ARD-712107-DP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0" w:after="0"/>
        <w:ind w:left="402" w:right="0" w:hanging="285"/>
        <w:jc w:val="left"/>
        <w:rPr>
          <w:sz w:val="19"/>
        </w:rPr>
      </w:pPr>
      <w:r>
        <w:rPr>
          <w:sz w:val="19"/>
        </w:rPr>
        <w:t>TAS-CYP-AR-00-DRG-AUD-ARD-712108-DP.</w:t>
      </w:r>
    </w:p>
    <w:p>
      <w:pPr>
        <w:pStyle w:val="BodyText"/>
        <w:rPr>
          <w:sz w:val="22"/>
        </w:rPr>
      </w:pPr>
    </w:p>
    <w:p>
      <w:pPr>
        <w:pStyle w:val="Heading3"/>
        <w:numPr>
          <w:ilvl w:val="2"/>
          <w:numId w:val="5"/>
        </w:numPr>
        <w:tabs>
          <w:tab w:pos="971" w:val="left" w:leader="none"/>
        </w:tabs>
        <w:spacing w:line="240" w:lineRule="auto" w:before="182" w:after="0"/>
        <w:ind w:left="970" w:right="0" w:hanging="853"/>
        <w:jc w:val="left"/>
      </w:pPr>
      <w:bookmarkStart w:name="_bookmark30" w:id="88"/>
      <w:bookmarkEnd w:id="88"/>
      <w:r>
        <w:rPr/>
      </w:r>
      <w:bookmarkStart w:name="_bookmark30" w:id="89"/>
      <w:bookmarkEnd w:id="89"/>
      <w:r>
        <w:rPr>
          <w:color w:val="808080"/>
        </w:rPr>
        <w:t>C</w:t>
      </w:r>
      <w:r>
        <w:rPr>
          <w:color w:val="808080"/>
        </w:rPr>
        <w:t>OMMUNITY</w:t>
      </w:r>
      <w:r>
        <w:rPr>
          <w:color w:val="808080"/>
          <w:spacing w:val="-9"/>
        </w:rPr>
        <w:t> </w:t>
      </w:r>
      <w:r>
        <w:rPr>
          <w:color w:val="808080"/>
        </w:rPr>
        <w:t>EXPERIENCE</w:t>
      </w:r>
    </w:p>
    <w:p>
      <w:pPr>
        <w:pStyle w:val="BodyText"/>
        <w:spacing w:before="121"/>
        <w:ind w:left="118" w:right="289"/>
      </w:pPr>
      <w:r>
        <w:rPr/>
        <w:t>The Arden Station</w:t>
      </w:r>
      <w:r>
        <w:rPr>
          <w:spacing w:val="1"/>
        </w:rPr>
        <w:t> </w:t>
      </w:r>
      <w:r>
        <w:rPr/>
        <w:t>precinct has been designed to allow seamless movement through both the station</w:t>
      </w:r>
      <w:r>
        <w:rPr>
          <w:spacing w:val="-51"/>
        </w:rPr>
        <w:t> </w:t>
      </w:r>
      <w:r>
        <w:rPr/>
        <w:t>and</w:t>
      </w:r>
      <w:r>
        <w:rPr>
          <w:spacing w:val="-1"/>
        </w:rPr>
        <w:t> </w:t>
      </w:r>
      <w:r>
        <w:rPr/>
        <w:t>public</w:t>
      </w:r>
      <w:r>
        <w:rPr>
          <w:spacing w:val="1"/>
        </w:rPr>
        <w:t> </w:t>
      </w:r>
      <w:r>
        <w:rPr/>
        <w:t>realm.</w:t>
      </w:r>
    </w:p>
    <w:p>
      <w:pPr>
        <w:pStyle w:val="BodyText"/>
        <w:spacing w:before="120"/>
        <w:ind w:left="118" w:right="417"/>
      </w:pPr>
      <w:r>
        <w:rPr/>
        <w:t>The Arden Station precinct presents an opportunity for urban renewal in an area heavily dominated</w:t>
      </w:r>
      <w:r>
        <w:rPr>
          <w:spacing w:val="1"/>
        </w:rPr>
        <w:t> </w:t>
      </w:r>
      <w:r>
        <w:rPr/>
        <w:t>by industrial uses. The precinct is located at the intersection between Laurens Street and Barwise</w:t>
      </w:r>
      <w:r>
        <w:rPr>
          <w:spacing w:val="1"/>
        </w:rPr>
        <w:t> </w:t>
      </w:r>
      <w:r>
        <w:rPr/>
        <w:t>Street, in a space that is currently underused by pedestrians and cyclists. Existing conditions at the</w:t>
      </w:r>
      <w:r>
        <w:rPr>
          <w:spacing w:val="1"/>
        </w:rPr>
        <w:t> </w:t>
      </w:r>
      <w:r>
        <w:rPr/>
        <w:t>site mean that access to public transport is poor and the quiet streets are primarily used by private</w:t>
      </w:r>
      <w:r>
        <w:rPr>
          <w:spacing w:val="1"/>
        </w:rPr>
        <w:t> </w:t>
      </w:r>
      <w:r>
        <w:rPr/>
        <w:t>vehicles. The precinct design will transform this space to prioritise pedestrians and cyclists and their</w:t>
      </w:r>
      <w:r>
        <w:rPr>
          <w:spacing w:val="-51"/>
        </w:rPr>
        <w:t> </w:t>
      </w:r>
      <w:r>
        <w:rPr/>
        <w:t>access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station,</w:t>
      </w:r>
      <w:r>
        <w:rPr>
          <w:spacing w:val="-1"/>
        </w:rPr>
        <w:t> </w:t>
      </w:r>
      <w:r>
        <w:rPr/>
        <w:t>while</w:t>
      </w:r>
      <w:r>
        <w:rPr>
          <w:spacing w:val="-2"/>
        </w:rPr>
        <w:t> </w:t>
      </w:r>
      <w:r>
        <w:rPr/>
        <w:t>taking</w:t>
      </w:r>
      <w:r>
        <w:rPr>
          <w:spacing w:val="-1"/>
        </w:rPr>
        <w:t> </w:t>
      </w:r>
      <w:r>
        <w:rPr/>
        <w:t>into</w:t>
      </w:r>
      <w:r>
        <w:rPr>
          <w:spacing w:val="-2"/>
        </w:rPr>
        <w:t> </w:t>
      </w:r>
      <w:r>
        <w:rPr/>
        <w:t>account the</w:t>
      </w:r>
      <w:r>
        <w:rPr>
          <w:spacing w:val="-1"/>
        </w:rPr>
        <w:t> </w:t>
      </w:r>
      <w:r>
        <w:rPr/>
        <w:t>needs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businesses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area.</w:t>
      </w:r>
    </w:p>
    <w:p>
      <w:pPr>
        <w:pStyle w:val="BodyText"/>
        <w:spacing w:before="122"/>
        <w:ind w:left="118"/>
      </w:pPr>
      <w:r>
        <w:rPr/>
        <w:t>Upon</w:t>
      </w:r>
      <w:r>
        <w:rPr>
          <w:spacing w:val="-2"/>
        </w:rPr>
        <w:t> </w:t>
      </w:r>
      <w:r>
        <w:rPr/>
        <w:t>Project</w:t>
      </w:r>
      <w:r>
        <w:rPr>
          <w:spacing w:val="-2"/>
        </w:rPr>
        <w:t> </w:t>
      </w:r>
      <w:r>
        <w:rPr/>
        <w:t>completion,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Day 1,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Arden</w:t>
      </w:r>
      <w:r>
        <w:rPr>
          <w:spacing w:val="2"/>
        </w:rPr>
        <w:t> </w:t>
      </w:r>
      <w:r>
        <w:rPr/>
        <w:t>Station</w:t>
      </w:r>
      <w:r>
        <w:rPr>
          <w:spacing w:val="-1"/>
        </w:rPr>
        <w:t> </w:t>
      </w:r>
      <w:r>
        <w:rPr/>
        <w:t>precinct</w:t>
      </w:r>
      <w:r>
        <w:rPr>
          <w:spacing w:val="-1"/>
        </w:rPr>
        <w:t> </w:t>
      </w:r>
      <w:r>
        <w:rPr/>
        <w:t>will: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9" w:after="0"/>
        <w:ind w:left="402" w:right="350" w:hanging="284"/>
        <w:jc w:val="left"/>
        <w:rPr>
          <w:sz w:val="19"/>
        </w:rPr>
      </w:pPr>
      <w:r>
        <w:rPr>
          <w:sz w:val="19"/>
        </w:rPr>
        <w:t>Be integrated into the broader pedestrian network via existing pedestrian paths along Arden</w:t>
      </w:r>
      <w:r>
        <w:rPr>
          <w:spacing w:val="1"/>
          <w:sz w:val="19"/>
        </w:rPr>
        <w:t> </w:t>
      </w:r>
      <w:r>
        <w:rPr>
          <w:sz w:val="19"/>
        </w:rPr>
        <w:t>Street and Queensberry Street. New pedestrian connections will be provided along Laurens</w:t>
      </w:r>
      <w:r>
        <w:rPr>
          <w:spacing w:val="1"/>
          <w:sz w:val="19"/>
        </w:rPr>
        <w:t> </w:t>
      </w:r>
      <w:r>
        <w:rPr>
          <w:sz w:val="19"/>
        </w:rPr>
        <w:t>Street and Barwise Street, linking the new Arden Station precinct into the existing surrounding</w:t>
      </w:r>
      <w:r>
        <w:rPr>
          <w:spacing w:val="1"/>
          <w:sz w:val="19"/>
        </w:rPr>
        <w:t> </w:t>
      </w:r>
      <w:r>
        <w:rPr>
          <w:sz w:val="19"/>
        </w:rPr>
        <w:t>space (refer to </w:t>
      </w:r>
      <w:hyperlink w:history="true" w:anchor="_bookmark35">
        <w:r>
          <w:rPr>
            <w:sz w:val="18"/>
          </w:rPr>
          <w:t>Figure 8</w:t>
        </w:r>
      </w:hyperlink>
      <w:r>
        <w:rPr>
          <w:sz w:val="19"/>
        </w:rPr>
        <w:t>). This also in accordance with the draft Arden Structure Plan (2020) (refer</w:t>
      </w:r>
      <w:r>
        <w:rPr>
          <w:spacing w:val="-50"/>
          <w:sz w:val="19"/>
        </w:rPr>
        <w:t> </w:t>
      </w:r>
      <w:r>
        <w:rPr>
          <w:sz w:val="19"/>
        </w:rPr>
        <w:t>to </w:t>
      </w:r>
      <w:hyperlink w:history="true" w:anchor="_bookmark39">
        <w:r>
          <w:rPr>
            <w:sz w:val="18"/>
          </w:rPr>
          <w:t>Figure</w:t>
        </w:r>
        <w:r>
          <w:rPr>
            <w:spacing w:val="-1"/>
            <w:sz w:val="18"/>
          </w:rPr>
          <w:t> </w:t>
        </w:r>
        <w:r>
          <w:rPr>
            <w:sz w:val="18"/>
          </w:rPr>
          <w:t>11</w:t>
        </w:r>
      </w:hyperlink>
      <w:r>
        <w:rPr>
          <w:sz w:val="19"/>
        </w:rPr>
        <w:t>)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7" w:after="0"/>
        <w:ind w:left="402" w:right="380" w:hanging="284"/>
        <w:jc w:val="left"/>
        <w:rPr>
          <w:sz w:val="19"/>
        </w:rPr>
      </w:pPr>
      <w:r>
        <w:rPr>
          <w:sz w:val="19"/>
        </w:rPr>
        <w:t>Have cyclist access through the Arden Station precinct. A new separated raised bicycle path and</w:t>
      </w:r>
      <w:r>
        <w:rPr>
          <w:spacing w:val="-50"/>
          <w:sz w:val="19"/>
        </w:rPr>
        <w:t> </w:t>
      </w:r>
      <w:r>
        <w:rPr>
          <w:sz w:val="19"/>
        </w:rPr>
        <w:t>a shared on-road bike path will be provided west and east of Laurens Street, respectively. These</w:t>
      </w:r>
      <w:r>
        <w:rPr>
          <w:spacing w:val="-50"/>
          <w:sz w:val="19"/>
        </w:rPr>
        <w:t> </w:t>
      </w:r>
      <w:r>
        <w:rPr>
          <w:sz w:val="19"/>
        </w:rPr>
        <w:t>bicycle paths will link into the existing bike paths along Arden Street and Queensberry Street and</w:t>
      </w:r>
      <w:r>
        <w:rPr>
          <w:spacing w:val="-50"/>
          <w:sz w:val="19"/>
        </w:rPr>
        <w:t> </w:t>
      </w:r>
      <w:r>
        <w:rPr>
          <w:sz w:val="19"/>
        </w:rPr>
        <w:t>will provide direct access to the Arden Station precinct (refer to </w:t>
      </w:r>
      <w:hyperlink w:history="true" w:anchor="_bookmark37">
        <w:r>
          <w:rPr>
            <w:sz w:val="18"/>
          </w:rPr>
          <w:t>Figure 9</w:t>
        </w:r>
      </w:hyperlink>
      <w:r>
        <w:rPr>
          <w:sz w:val="19"/>
        </w:rPr>
        <w:t>). The provision of bicycle</w:t>
      </w:r>
      <w:r>
        <w:rPr>
          <w:spacing w:val="-50"/>
          <w:sz w:val="19"/>
        </w:rPr>
        <w:t> </w:t>
      </w:r>
      <w:r>
        <w:rPr>
          <w:sz w:val="19"/>
        </w:rPr>
        <w:t>paths enhances the existing connections to surrounding bike routes, such as the Moonee Ponds</w:t>
      </w:r>
      <w:r>
        <w:rPr>
          <w:spacing w:val="1"/>
          <w:sz w:val="19"/>
        </w:rPr>
        <w:t> </w:t>
      </w:r>
      <w:r>
        <w:rPr>
          <w:sz w:val="19"/>
        </w:rPr>
        <w:t>Creek trail, and allows for the future development of the precinct to enhance cyclist connections</w:t>
      </w:r>
      <w:r>
        <w:rPr>
          <w:spacing w:val="1"/>
          <w:sz w:val="19"/>
        </w:rPr>
        <w:t> </w:t>
      </w:r>
      <w:r>
        <w:rPr>
          <w:sz w:val="19"/>
        </w:rPr>
        <w:t>(as identified within the draft Arden Structure Plan (2020) and shown in </w:t>
      </w:r>
      <w:hyperlink w:history="true" w:anchor="_bookmark39">
        <w:r>
          <w:rPr>
            <w:sz w:val="18"/>
          </w:rPr>
          <w:t>Figure 11</w:t>
        </w:r>
      </w:hyperlink>
      <w:r>
        <w:rPr>
          <w:sz w:val="19"/>
        </w:rPr>
        <w:t>). Bicycle hoops</w:t>
      </w:r>
      <w:r>
        <w:rPr>
          <w:spacing w:val="-50"/>
          <w:sz w:val="19"/>
        </w:rPr>
        <w:t> </w:t>
      </w:r>
      <w:r>
        <w:rPr>
          <w:sz w:val="19"/>
        </w:rPr>
        <w:t>are provided in multiple locations within the precinct, providing cyclists the opportunity to easily</w:t>
      </w:r>
      <w:r>
        <w:rPr>
          <w:spacing w:val="1"/>
          <w:sz w:val="19"/>
        </w:rPr>
        <w:t> </w:t>
      </w:r>
      <w:r>
        <w:rPr>
          <w:sz w:val="19"/>
        </w:rPr>
        <w:t>access</w:t>
      </w:r>
      <w:r>
        <w:rPr>
          <w:spacing w:val="-1"/>
          <w:sz w:val="19"/>
        </w:rPr>
        <w:t> </w:t>
      </w:r>
      <w:r>
        <w:rPr>
          <w:sz w:val="19"/>
        </w:rPr>
        <w:t>transport</w:t>
      </w:r>
      <w:r>
        <w:rPr>
          <w:spacing w:val="-1"/>
          <w:sz w:val="19"/>
        </w:rPr>
        <w:t> </w:t>
      </w:r>
      <w:r>
        <w:rPr>
          <w:sz w:val="19"/>
        </w:rPr>
        <w:t>services</w:t>
      </w:r>
      <w:r>
        <w:rPr>
          <w:spacing w:val="3"/>
          <w:sz w:val="19"/>
        </w:rPr>
        <w:t> </w:t>
      </w:r>
      <w:r>
        <w:rPr>
          <w:sz w:val="19"/>
        </w:rPr>
        <w:t>(refer</w:t>
      </w:r>
      <w:r>
        <w:rPr>
          <w:spacing w:val="-1"/>
          <w:sz w:val="19"/>
        </w:rPr>
        <w:t> </w:t>
      </w:r>
      <w:r>
        <w:rPr>
          <w:sz w:val="19"/>
        </w:rPr>
        <w:t>to </w:t>
      </w:r>
      <w:hyperlink w:history="true" w:anchor="_bookmark37">
        <w:r>
          <w:rPr>
            <w:sz w:val="18"/>
          </w:rPr>
          <w:t>Figure</w:t>
        </w:r>
        <w:r>
          <w:rPr>
            <w:spacing w:val="1"/>
            <w:sz w:val="18"/>
          </w:rPr>
          <w:t> </w:t>
        </w:r>
        <w:r>
          <w:rPr>
            <w:sz w:val="18"/>
          </w:rPr>
          <w:t>9</w:t>
        </w:r>
      </w:hyperlink>
      <w:r>
        <w:rPr>
          <w:sz w:val="19"/>
        </w:rPr>
        <w:t>)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0" w:after="0"/>
        <w:ind w:left="402" w:right="619" w:hanging="284"/>
        <w:jc w:val="left"/>
        <w:rPr>
          <w:sz w:val="19"/>
        </w:rPr>
      </w:pPr>
      <w:r>
        <w:rPr>
          <w:sz w:val="19"/>
        </w:rPr>
        <w:t>Integrate a bus stop along Laurens Street, providing connections to further destinations within</w:t>
      </w:r>
      <w:r>
        <w:rPr>
          <w:spacing w:val="-50"/>
          <w:sz w:val="19"/>
        </w:rPr>
        <w:t> </w:t>
      </w:r>
      <w:r>
        <w:rPr>
          <w:sz w:val="19"/>
        </w:rPr>
        <w:t>Melbourne (refer to </w:t>
      </w:r>
      <w:hyperlink w:history="true" w:anchor="_bookmark38">
        <w:r>
          <w:rPr>
            <w:sz w:val="18"/>
          </w:rPr>
          <w:t>Figure 10</w:t>
        </w:r>
      </w:hyperlink>
      <w:r>
        <w:rPr>
          <w:sz w:val="19"/>
        </w:rPr>
        <w:t>). The design allows for the future development of additional</w:t>
      </w:r>
      <w:r>
        <w:rPr>
          <w:spacing w:val="1"/>
          <w:sz w:val="19"/>
        </w:rPr>
        <w:t> </w:t>
      </w:r>
      <w:r>
        <w:rPr>
          <w:sz w:val="19"/>
        </w:rPr>
        <w:t>transport</w:t>
      </w:r>
      <w:r>
        <w:rPr>
          <w:spacing w:val="-3"/>
          <w:sz w:val="19"/>
        </w:rPr>
        <w:t> </w:t>
      </w:r>
      <w:r>
        <w:rPr>
          <w:sz w:val="19"/>
        </w:rPr>
        <w:t>connections,</w:t>
      </w:r>
      <w:r>
        <w:rPr>
          <w:spacing w:val="-2"/>
          <w:sz w:val="19"/>
        </w:rPr>
        <w:t> </w:t>
      </w:r>
      <w:r>
        <w:rPr>
          <w:sz w:val="19"/>
        </w:rPr>
        <w:t>as</w:t>
      </w:r>
      <w:r>
        <w:rPr>
          <w:spacing w:val="-3"/>
          <w:sz w:val="19"/>
        </w:rPr>
        <w:t> </w:t>
      </w:r>
      <w:r>
        <w:rPr>
          <w:sz w:val="19"/>
        </w:rPr>
        <w:t>identified</w:t>
      </w:r>
      <w:r>
        <w:rPr>
          <w:spacing w:val="-2"/>
          <w:sz w:val="19"/>
        </w:rPr>
        <w:t> </w:t>
      </w:r>
      <w:r>
        <w:rPr>
          <w:sz w:val="19"/>
        </w:rPr>
        <w:t>in</w:t>
      </w:r>
      <w:r>
        <w:rPr>
          <w:spacing w:val="-2"/>
          <w:sz w:val="19"/>
        </w:rPr>
        <w:t> </w:t>
      </w:r>
      <w:r>
        <w:rPr>
          <w:sz w:val="19"/>
        </w:rPr>
        <w:t>the draft</w:t>
      </w:r>
      <w:r>
        <w:rPr>
          <w:spacing w:val="-2"/>
          <w:sz w:val="19"/>
        </w:rPr>
        <w:t> </w:t>
      </w:r>
      <w:r>
        <w:rPr>
          <w:sz w:val="19"/>
        </w:rPr>
        <w:t>Arden</w:t>
      </w:r>
      <w:r>
        <w:rPr>
          <w:spacing w:val="-1"/>
          <w:sz w:val="19"/>
        </w:rPr>
        <w:t> </w:t>
      </w:r>
      <w:r>
        <w:rPr>
          <w:sz w:val="19"/>
        </w:rPr>
        <w:t>Structure</w:t>
      </w:r>
      <w:r>
        <w:rPr>
          <w:spacing w:val="-1"/>
          <w:sz w:val="19"/>
        </w:rPr>
        <w:t> </w:t>
      </w:r>
      <w:r>
        <w:rPr>
          <w:sz w:val="19"/>
        </w:rPr>
        <w:t>Plan</w:t>
      </w:r>
      <w:r>
        <w:rPr>
          <w:spacing w:val="-1"/>
          <w:sz w:val="19"/>
        </w:rPr>
        <w:t> </w:t>
      </w:r>
      <w:r>
        <w:rPr>
          <w:sz w:val="19"/>
        </w:rPr>
        <w:t>(2020)</w:t>
      </w:r>
      <w:r>
        <w:rPr>
          <w:spacing w:val="-2"/>
          <w:sz w:val="19"/>
        </w:rPr>
        <w:t> </w:t>
      </w:r>
      <w:r>
        <w:rPr>
          <w:sz w:val="19"/>
        </w:rPr>
        <w:t>(refer</w:t>
      </w:r>
      <w:r>
        <w:rPr>
          <w:spacing w:val="-2"/>
          <w:sz w:val="19"/>
        </w:rPr>
        <w:t> </w:t>
      </w:r>
      <w:r>
        <w:rPr>
          <w:sz w:val="19"/>
        </w:rPr>
        <w:t>to</w:t>
      </w:r>
      <w:r>
        <w:rPr>
          <w:spacing w:val="-1"/>
          <w:sz w:val="19"/>
        </w:rPr>
        <w:t> </w:t>
      </w:r>
      <w:hyperlink w:history="true" w:anchor="_bookmark39">
        <w:r>
          <w:rPr>
            <w:sz w:val="18"/>
          </w:rPr>
          <w:t>Figure</w:t>
        </w:r>
        <w:r>
          <w:rPr>
            <w:spacing w:val="1"/>
            <w:sz w:val="18"/>
          </w:rPr>
          <w:t> </w:t>
        </w:r>
        <w:r>
          <w:rPr>
            <w:sz w:val="18"/>
          </w:rPr>
          <w:t>11</w:t>
        </w:r>
      </w:hyperlink>
      <w:r>
        <w:rPr>
          <w:sz w:val="19"/>
        </w:rPr>
        <w:t>)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7" w:after="0"/>
        <w:ind w:left="402" w:right="319" w:hanging="284"/>
        <w:jc w:val="left"/>
        <w:rPr>
          <w:sz w:val="19"/>
        </w:rPr>
      </w:pPr>
      <w:r>
        <w:rPr>
          <w:sz w:val="19"/>
        </w:rPr>
        <w:t>Allow users access to the new station at Arden from Laurens Street, via steps or a graded ramp.</w:t>
      </w:r>
      <w:r>
        <w:rPr>
          <w:spacing w:val="1"/>
          <w:sz w:val="19"/>
        </w:rPr>
        <w:t> </w:t>
      </w:r>
      <w:r>
        <w:rPr>
          <w:sz w:val="19"/>
        </w:rPr>
        <w:t>In the amended design, the proposed DDA ramps have been relocated from Barwise Street to the</w:t>
      </w:r>
      <w:r>
        <w:rPr>
          <w:spacing w:val="-51"/>
          <w:sz w:val="19"/>
        </w:rPr>
        <w:t> </w:t>
      </w:r>
      <w:r>
        <w:rPr>
          <w:sz w:val="19"/>
        </w:rPr>
        <w:t>station entry on Laurens Street to improve intuitive wayfinding and visual connectivity. This</w:t>
      </w:r>
      <w:r>
        <w:rPr>
          <w:spacing w:val="1"/>
          <w:sz w:val="19"/>
        </w:rPr>
        <w:t> </w:t>
      </w:r>
      <w:r>
        <w:rPr>
          <w:sz w:val="19"/>
        </w:rPr>
        <w:t>entrance feeds into an unpaid plaza space, with ticketed barriers leading to the escalators that</w:t>
      </w:r>
      <w:r>
        <w:rPr>
          <w:spacing w:val="1"/>
          <w:sz w:val="19"/>
        </w:rPr>
        <w:t> </w:t>
      </w:r>
      <w:r>
        <w:rPr>
          <w:sz w:val="19"/>
        </w:rPr>
        <w:t>descend to the train platforms below. There will be three escalators providing access up to and</w:t>
      </w:r>
      <w:r>
        <w:rPr>
          <w:spacing w:val="1"/>
          <w:sz w:val="19"/>
        </w:rPr>
        <w:t> </w:t>
      </w:r>
      <w:r>
        <w:rPr>
          <w:sz w:val="19"/>
        </w:rPr>
        <w:t>down from the platforms. Two lifts are located adjacent to the escalators providing additional</w:t>
      </w:r>
      <w:r>
        <w:rPr>
          <w:spacing w:val="1"/>
          <w:sz w:val="19"/>
        </w:rPr>
        <w:t> </w:t>
      </w:r>
      <w:r>
        <w:rPr>
          <w:sz w:val="19"/>
        </w:rPr>
        <w:t>access to the</w:t>
      </w:r>
      <w:r>
        <w:rPr>
          <w:spacing w:val="-1"/>
          <w:sz w:val="19"/>
        </w:rPr>
        <w:t> </w:t>
      </w:r>
      <w:r>
        <w:rPr>
          <w:sz w:val="19"/>
        </w:rPr>
        <w:t>platforms. Mobility impaired</w:t>
      </w:r>
      <w:r>
        <w:rPr>
          <w:spacing w:val="4"/>
          <w:sz w:val="19"/>
        </w:rPr>
        <w:t> </w:t>
      </w:r>
      <w:r>
        <w:rPr>
          <w:sz w:val="19"/>
        </w:rPr>
        <w:t>users will</w:t>
      </w:r>
      <w:r>
        <w:rPr>
          <w:spacing w:val="1"/>
          <w:sz w:val="19"/>
        </w:rPr>
        <w:t> </w:t>
      </w:r>
      <w:r>
        <w:rPr>
          <w:sz w:val="19"/>
        </w:rPr>
        <w:t>be</w:t>
      </w:r>
      <w:r>
        <w:rPr>
          <w:spacing w:val="-1"/>
          <w:sz w:val="19"/>
        </w:rPr>
        <w:t> </w:t>
      </w:r>
      <w:r>
        <w:rPr>
          <w:sz w:val="19"/>
        </w:rPr>
        <w:t>able to get from the</w:t>
      </w:r>
      <w:r>
        <w:rPr>
          <w:spacing w:val="1"/>
          <w:sz w:val="19"/>
        </w:rPr>
        <w:t> </w:t>
      </w:r>
      <w:r>
        <w:rPr>
          <w:sz w:val="19"/>
        </w:rPr>
        <w:t>station</w:t>
      </w:r>
      <w:r>
        <w:rPr>
          <w:spacing w:val="-1"/>
          <w:sz w:val="19"/>
        </w:rPr>
        <w:t> </w:t>
      </w:r>
      <w:r>
        <w:rPr>
          <w:sz w:val="19"/>
        </w:rPr>
        <w:t>entrance, to</w:t>
      </w:r>
      <w:r>
        <w:rPr>
          <w:spacing w:val="1"/>
          <w:sz w:val="19"/>
        </w:rPr>
        <w:t> </w:t>
      </w:r>
      <w:r>
        <w:rPr>
          <w:sz w:val="19"/>
        </w:rPr>
        <w:t>the</w:t>
      </w:r>
      <w:r>
        <w:rPr>
          <w:spacing w:val="-2"/>
          <w:sz w:val="19"/>
        </w:rPr>
        <w:t> </w:t>
      </w:r>
      <w:r>
        <w:rPr>
          <w:sz w:val="19"/>
        </w:rPr>
        <w:t>platform,</w:t>
      </w:r>
      <w:r>
        <w:rPr>
          <w:spacing w:val="-1"/>
          <w:sz w:val="19"/>
        </w:rPr>
        <w:t> </w:t>
      </w:r>
      <w:r>
        <w:rPr>
          <w:sz w:val="19"/>
        </w:rPr>
        <w:t>step</w:t>
      </w:r>
      <w:r>
        <w:rPr>
          <w:spacing w:val="-1"/>
          <w:sz w:val="19"/>
        </w:rPr>
        <w:t> </w:t>
      </w:r>
      <w:r>
        <w:rPr>
          <w:sz w:val="19"/>
        </w:rPr>
        <w:t>free</w:t>
      </w:r>
      <w:r>
        <w:rPr>
          <w:spacing w:val="1"/>
          <w:sz w:val="19"/>
        </w:rPr>
        <w:t> </w:t>
      </w:r>
      <w:r>
        <w:rPr>
          <w:sz w:val="19"/>
        </w:rPr>
        <w:t>(refer</w:t>
      </w:r>
      <w:r>
        <w:rPr>
          <w:spacing w:val="2"/>
          <w:sz w:val="19"/>
        </w:rPr>
        <w:t> </w:t>
      </w:r>
      <w:r>
        <w:rPr>
          <w:sz w:val="19"/>
        </w:rPr>
        <w:t>to</w:t>
      </w:r>
      <w:r>
        <w:rPr>
          <w:spacing w:val="1"/>
          <w:sz w:val="19"/>
        </w:rPr>
        <w:t> </w:t>
      </w:r>
      <w:hyperlink w:history="true" w:anchor="_bookmark33">
        <w:r>
          <w:rPr>
            <w:sz w:val="18"/>
          </w:rPr>
          <w:t>Figure</w:t>
        </w:r>
        <w:r>
          <w:rPr>
            <w:spacing w:val="-1"/>
            <w:sz w:val="18"/>
          </w:rPr>
          <w:t> </w:t>
        </w:r>
        <w:r>
          <w:rPr>
            <w:sz w:val="18"/>
          </w:rPr>
          <w:t>7</w:t>
        </w:r>
      </w:hyperlink>
      <w:r>
        <w:rPr>
          <w:sz w:val="19"/>
        </w:rPr>
        <w:t>)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0" w:after="0"/>
        <w:ind w:left="402" w:right="415" w:hanging="284"/>
        <w:jc w:val="both"/>
        <w:rPr>
          <w:sz w:val="19"/>
        </w:rPr>
      </w:pPr>
      <w:r>
        <w:rPr>
          <w:sz w:val="19"/>
        </w:rPr>
        <w:t>Have a station concourse and train platforms located underground that feature natural light from</w:t>
      </w:r>
      <w:r>
        <w:rPr>
          <w:spacing w:val="1"/>
          <w:sz w:val="19"/>
        </w:rPr>
        <w:t> </w:t>
      </w:r>
      <w:r>
        <w:rPr>
          <w:sz w:val="19"/>
        </w:rPr>
        <w:t>the three skylights positioned to the west of the station entrance. The unpaid concourse area will</w:t>
      </w:r>
      <w:r>
        <w:rPr>
          <w:spacing w:val="-50"/>
          <w:sz w:val="19"/>
        </w:rPr>
        <w:t> </w:t>
      </w:r>
      <w:r>
        <w:rPr>
          <w:sz w:val="19"/>
        </w:rPr>
        <w:t>feature retail space and station facilities such as ticket machines. The station has been designed</w:t>
      </w:r>
      <w:r>
        <w:rPr>
          <w:spacing w:val="-50"/>
          <w:sz w:val="19"/>
        </w:rPr>
        <w:t> </w:t>
      </w:r>
      <w:r>
        <w:rPr>
          <w:sz w:val="19"/>
        </w:rPr>
        <w:t>in</w:t>
      </w:r>
      <w:r>
        <w:rPr>
          <w:spacing w:val="-3"/>
          <w:sz w:val="19"/>
        </w:rPr>
        <w:t> </w:t>
      </w:r>
      <w:r>
        <w:rPr>
          <w:sz w:val="19"/>
        </w:rPr>
        <w:t>a</w:t>
      </w:r>
      <w:r>
        <w:rPr>
          <w:spacing w:val="-2"/>
          <w:sz w:val="19"/>
        </w:rPr>
        <w:t> </w:t>
      </w:r>
      <w:r>
        <w:rPr>
          <w:sz w:val="19"/>
        </w:rPr>
        <w:t>manner</w:t>
      </w:r>
      <w:r>
        <w:rPr>
          <w:spacing w:val="-3"/>
          <w:sz w:val="19"/>
        </w:rPr>
        <w:t> </w:t>
      </w:r>
      <w:r>
        <w:rPr>
          <w:sz w:val="19"/>
        </w:rPr>
        <w:t>to</w:t>
      </w:r>
      <w:r>
        <w:rPr>
          <w:spacing w:val="-2"/>
          <w:sz w:val="19"/>
        </w:rPr>
        <w:t> </w:t>
      </w:r>
      <w:r>
        <w:rPr>
          <w:sz w:val="19"/>
        </w:rPr>
        <w:t>reduce</w:t>
      </w:r>
      <w:r>
        <w:rPr>
          <w:spacing w:val="-2"/>
          <w:sz w:val="19"/>
        </w:rPr>
        <w:t> </w:t>
      </w:r>
      <w:r>
        <w:rPr>
          <w:sz w:val="19"/>
        </w:rPr>
        <w:t>the</w:t>
      </w:r>
      <w:r>
        <w:rPr>
          <w:spacing w:val="-2"/>
          <w:sz w:val="19"/>
        </w:rPr>
        <w:t> </w:t>
      </w:r>
      <w:r>
        <w:rPr>
          <w:sz w:val="19"/>
        </w:rPr>
        <w:t>need</w:t>
      </w:r>
      <w:r>
        <w:rPr>
          <w:spacing w:val="-2"/>
          <w:sz w:val="19"/>
        </w:rPr>
        <w:t> </w:t>
      </w:r>
      <w:r>
        <w:rPr>
          <w:sz w:val="19"/>
        </w:rPr>
        <w:t>for</w:t>
      </w:r>
      <w:r>
        <w:rPr>
          <w:spacing w:val="-2"/>
          <w:sz w:val="19"/>
        </w:rPr>
        <w:t> </w:t>
      </w:r>
      <w:r>
        <w:rPr>
          <w:sz w:val="19"/>
        </w:rPr>
        <w:t>signage,</w:t>
      </w:r>
      <w:r>
        <w:rPr>
          <w:spacing w:val="-3"/>
          <w:sz w:val="19"/>
        </w:rPr>
        <w:t> </w:t>
      </w:r>
      <w:r>
        <w:rPr>
          <w:sz w:val="19"/>
        </w:rPr>
        <w:t>encouraging</w:t>
      </w:r>
      <w:r>
        <w:rPr>
          <w:spacing w:val="-2"/>
          <w:sz w:val="19"/>
        </w:rPr>
        <w:t> </w:t>
      </w:r>
      <w:r>
        <w:rPr>
          <w:sz w:val="19"/>
        </w:rPr>
        <w:t>intuitive</w:t>
      </w:r>
      <w:r>
        <w:rPr>
          <w:spacing w:val="-2"/>
          <w:sz w:val="19"/>
        </w:rPr>
        <w:t> </w:t>
      </w:r>
      <w:r>
        <w:rPr>
          <w:sz w:val="19"/>
        </w:rPr>
        <w:t>wayfinding</w:t>
      </w:r>
      <w:r>
        <w:rPr>
          <w:spacing w:val="-3"/>
          <w:sz w:val="19"/>
        </w:rPr>
        <w:t> </w:t>
      </w:r>
      <w:r>
        <w:rPr>
          <w:sz w:val="19"/>
        </w:rPr>
        <w:t>through</w:t>
      </w:r>
      <w:r>
        <w:rPr>
          <w:spacing w:val="-1"/>
          <w:sz w:val="19"/>
        </w:rPr>
        <w:t> </w:t>
      </w:r>
      <w:r>
        <w:rPr>
          <w:sz w:val="19"/>
        </w:rPr>
        <w:t>the</w:t>
      </w:r>
      <w:r>
        <w:rPr>
          <w:spacing w:val="-3"/>
          <w:sz w:val="19"/>
        </w:rPr>
        <w:t> </w:t>
      </w:r>
      <w:r>
        <w:rPr>
          <w:sz w:val="19"/>
        </w:rPr>
        <w:t>design.</w:t>
      </w:r>
    </w:p>
    <w:p>
      <w:pPr>
        <w:spacing w:after="0" w:line="240" w:lineRule="auto"/>
        <w:jc w:val="both"/>
        <w:rPr>
          <w:sz w:val="19"/>
        </w:rPr>
        <w:sectPr>
          <w:pgSz w:w="11910" w:h="16840"/>
          <w:pgMar w:header="899" w:footer="445" w:top="1860" w:bottom="640" w:left="130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</w:p>
    <w:p>
      <w:pPr>
        <w:pStyle w:val="BodyText"/>
        <w:ind w:left="244"/>
        <w:rPr>
          <w:sz w:val="20"/>
        </w:rPr>
      </w:pPr>
      <w:r>
        <w:rPr>
          <w:sz w:val="20"/>
        </w:rPr>
        <w:pict>
          <v:group style="width:412.05pt;height:162pt;mso-position-horizontal-relative:char;mso-position-vertical-relative:line" id="docshapegroup54" coordorigin="0,0" coordsize="8241,3240">
            <v:shape style="position:absolute;left:15;top:762;width:7479;height:2244" type="#_x0000_t75" id="docshape55" stroked="false">
              <v:imagedata r:id="rId27" o:title=""/>
            </v:shape>
            <v:rect style="position:absolute;left:7;top:7;width:8226;height:3225" id="docshape56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before="101"/>
        <w:ind w:left="118" w:right="0" w:firstLine="0"/>
        <w:jc w:val="left"/>
        <w:rPr>
          <w:sz w:val="18"/>
        </w:rPr>
      </w:pPr>
      <w:bookmarkStart w:name="_bookmark31" w:id="90"/>
      <w:bookmarkEnd w:id="90"/>
      <w:r>
        <w:rPr/>
      </w:r>
      <w:r>
        <w:rPr>
          <w:sz w:val="18"/>
        </w:rPr>
        <w:t>Figure</w:t>
      </w:r>
      <w:r>
        <w:rPr>
          <w:spacing w:val="-3"/>
          <w:sz w:val="18"/>
        </w:rPr>
        <w:t> </w:t>
      </w:r>
      <w:r>
        <w:rPr>
          <w:sz w:val="18"/>
        </w:rPr>
        <w:t>6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Arden</w:t>
      </w:r>
      <w:r>
        <w:rPr>
          <w:spacing w:val="-2"/>
          <w:sz w:val="18"/>
        </w:rPr>
        <w:t> </w:t>
      </w:r>
      <w:r>
        <w:rPr>
          <w:sz w:val="18"/>
        </w:rPr>
        <w:t>Station</w:t>
      </w:r>
      <w:r>
        <w:rPr>
          <w:spacing w:val="-2"/>
          <w:sz w:val="18"/>
        </w:rPr>
        <w:t> </w:t>
      </w:r>
      <w:r>
        <w:rPr>
          <w:sz w:val="18"/>
        </w:rPr>
        <w:t>user</w:t>
      </w:r>
      <w:r>
        <w:rPr>
          <w:spacing w:val="-3"/>
          <w:sz w:val="18"/>
        </w:rPr>
        <w:t> </w:t>
      </w:r>
      <w:r>
        <w:rPr>
          <w:sz w:val="18"/>
        </w:rPr>
        <w:t>experience</w:t>
      </w:r>
      <w:r>
        <w:rPr>
          <w:spacing w:val="-4"/>
          <w:sz w:val="18"/>
        </w:rPr>
        <w:t> </w:t>
      </w:r>
      <w:r>
        <w:rPr>
          <w:sz w:val="18"/>
        </w:rPr>
        <w:t>design</w:t>
      </w:r>
    </w:p>
    <w:p>
      <w:pPr>
        <w:pStyle w:val="BodyText"/>
        <w:spacing w:before="5"/>
        <w:rPr>
          <w:sz w:val="24"/>
        </w:rPr>
      </w:pPr>
    </w:p>
    <w:p>
      <w:pPr>
        <w:pStyle w:val="Heading4"/>
        <w:numPr>
          <w:ilvl w:val="3"/>
          <w:numId w:val="5"/>
        </w:numPr>
        <w:tabs>
          <w:tab w:pos="1109" w:val="left" w:leader="none"/>
          <w:tab w:pos="1110" w:val="left" w:leader="none"/>
        </w:tabs>
        <w:spacing w:line="240" w:lineRule="auto" w:before="0" w:after="0"/>
        <w:ind w:left="1110" w:right="0" w:hanging="992"/>
        <w:jc w:val="left"/>
      </w:pPr>
      <w:bookmarkStart w:name="_bookmark32" w:id="91"/>
      <w:bookmarkEnd w:id="91"/>
      <w:r>
        <w:rPr>
          <w:b w:val="0"/>
        </w:rPr>
      </w:r>
      <w:bookmarkStart w:name="_bookmark32" w:id="92"/>
      <w:bookmarkEnd w:id="92"/>
      <w:r>
        <w:rPr>
          <w:color w:val="252525"/>
        </w:rPr>
        <w:t>U</w:t>
      </w:r>
      <w:r>
        <w:rPr>
          <w:color w:val="252525"/>
        </w:rPr>
        <w:t>NIVERSAL</w:t>
      </w:r>
      <w:r>
        <w:rPr>
          <w:color w:val="252525"/>
          <w:spacing w:val="-8"/>
        </w:rPr>
        <w:t> </w:t>
      </w:r>
      <w:r>
        <w:rPr>
          <w:color w:val="252525"/>
        </w:rPr>
        <w:t>ACCESS</w:t>
      </w:r>
    </w:p>
    <w:p>
      <w:pPr>
        <w:pStyle w:val="BodyText"/>
        <w:spacing w:before="118"/>
        <w:ind w:left="118" w:right="300"/>
      </w:pPr>
      <w:r>
        <w:rPr/>
        <w:t>Universal access has been incorporated into the design of Arden Station precinct. Two universal</w:t>
      </w:r>
      <w:r>
        <w:rPr>
          <w:spacing w:val="1"/>
        </w:rPr>
        <w:t> </w:t>
      </w:r>
      <w:r>
        <w:rPr/>
        <w:t>access vehicle bays for disabled parking are provided on Barwise Street, and two kiss-and-ride bays</w:t>
      </w:r>
      <w:r>
        <w:rPr>
          <w:spacing w:val="1"/>
        </w:rPr>
        <w:t> </w:t>
      </w:r>
      <w:r>
        <w:rPr/>
        <w:t>are located</w:t>
      </w:r>
      <w:r>
        <w:rPr>
          <w:spacing w:val="1"/>
        </w:rPr>
        <w:t> </w:t>
      </w:r>
      <w:r>
        <w:rPr/>
        <w:t>on Laurens</w:t>
      </w:r>
      <w:r>
        <w:rPr>
          <w:spacing w:val="2"/>
        </w:rPr>
        <w:t> </w:t>
      </w:r>
      <w:r>
        <w:rPr/>
        <w:t>Street.</w:t>
      </w:r>
      <w:r>
        <w:rPr>
          <w:spacing w:val="1"/>
        </w:rPr>
        <w:t> </w:t>
      </w:r>
      <w:r>
        <w:rPr/>
        <w:t>There is</w:t>
      </w:r>
      <w:r>
        <w:rPr>
          <w:spacing w:val="2"/>
        </w:rPr>
        <w:t> </w:t>
      </w:r>
      <w:r>
        <w:rPr/>
        <w:t>step-free access</w:t>
      </w:r>
      <w:r>
        <w:rPr>
          <w:spacing w:val="1"/>
        </w:rPr>
        <w:t> </w:t>
      </w:r>
      <w:r>
        <w:rPr/>
        <w:t>to the</w:t>
      </w:r>
      <w:r>
        <w:rPr>
          <w:spacing w:val="2"/>
        </w:rPr>
        <w:t> </w:t>
      </w:r>
      <w:r>
        <w:rPr/>
        <w:t>station platform, via</w:t>
      </w:r>
      <w:r>
        <w:rPr>
          <w:spacing w:val="1"/>
        </w:rPr>
        <w:t> </w:t>
      </w:r>
      <w:r>
        <w:rPr/>
        <w:t>a pedestrian</w:t>
      </w:r>
      <w:r>
        <w:rPr>
          <w:spacing w:val="1"/>
        </w:rPr>
        <w:t> </w:t>
      </w:r>
      <w:r>
        <w:rPr/>
        <w:t>ramp from Laurens Street up to the station infrastructure and a lift down to the station platform. As</w:t>
      </w:r>
      <w:r>
        <w:rPr>
          <w:spacing w:val="1"/>
        </w:rPr>
        <w:t> </w:t>
      </w:r>
      <w:r>
        <w:rPr/>
        <w:t>part of the amendments to the Arden Station Precinct Development Plan, the DDA ramp has been</w:t>
      </w:r>
      <w:r>
        <w:rPr>
          <w:spacing w:val="1"/>
        </w:rPr>
        <w:t> </w:t>
      </w:r>
      <w:r>
        <w:rPr/>
        <w:t>relocated</w:t>
      </w:r>
      <w:r>
        <w:rPr>
          <w:spacing w:val="1"/>
        </w:rPr>
        <w:t> </w:t>
      </w:r>
      <w:r>
        <w:rPr/>
        <w:t>from</w:t>
      </w:r>
      <w:r>
        <w:rPr>
          <w:spacing w:val="2"/>
        </w:rPr>
        <w:t> </w:t>
      </w:r>
      <w:r>
        <w:rPr/>
        <w:t>Barwise</w:t>
      </w:r>
      <w:r>
        <w:rPr>
          <w:spacing w:val="1"/>
        </w:rPr>
        <w:t> </w:t>
      </w:r>
      <w:r>
        <w:rPr/>
        <w:t>Street</w:t>
      </w:r>
      <w:r>
        <w:rPr>
          <w:spacing w:val="1"/>
        </w:rPr>
        <w:t> </w:t>
      </w:r>
      <w:r>
        <w:rPr/>
        <w:t>to the</w:t>
      </w:r>
      <w:r>
        <w:rPr>
          <w:spacing w:val="4"/>
        </w:rPr>
        <w:t> </w:t>
      </w:r>
      <w:r>
        <w:rPr/>
        <w:t>station</w:t>
      </w:r>
      <w:r>
        <w:rPr>
          <w:spacing w:val="2"/>
        </w:rPr>
        <w:t> </w:t>
      </w:r>
      <w:r>
        <w:rPr/>
        <w:t>entry</w:t>
      </w:r>
      <w:r>
        <w:rPr>
          <w:spacing w:val="2"/>
        </w:rPr>
        <w:t> </w:t>
      </w:r>
      <w:r>
        <w:rPr/>
        <w:t>on</w:t>
      </w:r>
      <w:r>
        <w:rPr>
          <w:spacing w:val="1"/>
        </w:rPr>
        <w:t> </w:t>
      </w:r>
      <w:r>
        <w:rPr/>
        <w:t>Laurens</w:t>
      </w:r>
      <w:r>
        <w:rPr>
          <w:spacing w:val="1"/>
        </w:rPr>
        <w:t> </w:t>
      </w:r>
      <w:r>
        <w:rPr/>
        <w:t>Street.</w:t>
      </w:r>
      <w:r>
        <w:rPr>
          <w:spacing w:val="2"/>
        </w:rPr>
        <w:t> </w:t>
      </w:r>
      <w:r>
        <w:rPr/>
        <w:t>This</w:t>
      </w:r>
      <w:r>
        <w:rPr>
          <w:spacing w:val="4"/>
        </w:rPr>
        <w:t> </w:t>
      </w:r>
      <w:r>
        <w:rPr/>
        <w:t>relocation improves</w:t>
      </w:r>
      <w:r>
        <w:rPr>
          <w:spacing w:val="1"/>
        </w:rPr>
        <w:t> </w:t>
      </w:r>
      <w:r>
        <w:rPr/>
        <w:t>intuitive wayfinding and visual connectivity for those arriving at the station. Additionally, a new DDA</w:t>
      </w:r>
      <w:r>
        <w:rPr>
          <w:spacing w:val="1"/>
        </w:rPr>
        <w:t> </w:t>
      </w:r>
      <w:r>
        <w:rPr/>
        <w:t>ramp and stairs are proposed from Station Lane at the buildings rear, which will provide disabled and</w:t>
      </w:r>
      <w:r>
        <w:rPr>
          <w:spacing w:val="-50"/>
        </w:rPr>
        <w:t> </w:t>
      </w:r>
      <w:r>
        <w:rPr/>
        <w:t>able-bodied access to station facilities from the western redevelopment area. Pedestrian ramps have</w:t>
      </w:r>
      <w:r>
        <w:rPr>
          <w:spacing w:val="-50"/>
        </w:rPr>
        <w:t> </w:t>
      </w:r>
      <w:r>
        <w:rPr/>
        <w:t>been designed in accordance with Section 23 of the </w:t>
      </w:r>
      <w:r>
        <w:rPr>
          <w:i/>
        </w:rPr>
        <w:t>Disability Discrimination Act 1992</w:t>
      </w:r>
      <w:r>
        <w:rPr/>
        <w:t>. A Changing</w:t>
      </w:r>
      <w:r>
        <w:rPr>
          <w:spacing w:val="1"/>
        </w:rPr>
        <w:t> </w:t>
      </w:r>
      <w:r>
        <w:rPr/>
        <w:t>Places facility is also included in the station building, to provide suitable support for people who</w:t>
      </w:r>
      <w:r>
        <w:rPr>
          <w:spacing w:val="1"/>
        </w:rPr>
        <w:t> </w:t>
      </w:r>
      <w:r>
        <w:rPr/>
        <w:t>cannot use standard accessible toilet facilities. Along with the retail units, the Changing Places facility</w:t>
      </w:r>
      <w:r>
        <w:rPr>
          <w:spacing w:val="-50"/>
        </w:rPr>
        <w:t> </w:t>
      </w:r>
      <w:r>
        <w:rPr/>
        <w:t>has been rearranged through design development of the station to improve sightlines from the</w:t>
      </w:r>
      <w:r>
        <w:rPr>
          <w:spacing w:val="1"/>
        </w:rPr>
        <w:t> </w:t>
      </w:r>
      <w:r>
        <w:rPr/>
        <w:t>customer service centre, in accordance with the MTM’s requirements. These features ensure that all</w:t>
      </w:r>
      <w:r>
        <w:rPr>
          <w:spacing w:val="1"/>
        </w:rPr>
        <w:t> </w:t>
      </w:r>
      <w:r>
        <w:rPr/>
        <w:t>precinct</w:t>
      </w:r>
      <w:r>
        <w:rPr>
          <w:spacing w:val="-3"/>
        </w:rPr>
        <w:t> </w:t>
      </w:r>
      <w:r>
        <w:rPr/>
        <w:t>users</w:t>
      </w:r>
      <w:r>
        <w:rPr>
          <w:spacing w:val="-3"/>
        </w:rPr>
        <w:t> </w:t>
      </w:r>
      <w:r>
        <w:rPr/>
        <w:t>can</w:t>
      </w:r>
      <w:r>
        <w:rPr>
          <w:spacing w:val="-2"/>
        </w:rPr>
        <w:t> </w:t>
      </w:r>
      <w:r>
        <w:rPr/>
        <w:t>access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station,</w:t>
      </w:r>
      <w:r>
        <w:rPr>
          <w:spacing w:val="-1"/>
        </w:rPr>
        <w:t> </w:t>
      </w:r>
      <w:r>
        <w:rPr/>
        <w:t>regardless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physical ability,</w:t>
      </w:r>
      <w:r>
        <w:rPr>
          <w:spacing w:val="-1"/>
        </w:rPr>
        <w:t> </w:t>
      </w:r>
      <w:r>
        <w:rPr/>
        <w:t>on</w:t>
      </w:r>
      <w:r>
        <w:rPr>
          <w:spacing w:val="-3"/>
        </w:rPr>
        <w:t> </w:t>
      </w:r>
      <w:r>
        <w:rPr/>
        <w:t>opening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future.</w:t>
      </w:r>
    </w:p>
    <w:p>
      <w:pPr>
        <w:pStyle w:val="BodyText"/>
        <w:spacing w:before="122"/>
        <w:ind w:left="118"/>
      </w:pPr>
      <w:r>
        <w:rPr/>
        <w:t>DDA</w:t>
      </w:r>
      <w:r>
        <w:rPr>
          <w:spacing w:val="-2"/>
        </w:rPr>
        <w:t> </w:t>
      </w:r>
      <w:r>
        <w:rPr/>
        <w:t>access</w:t>
      </w:r>
      <w:r>
        <w:rPr>
          <w:spacing w:val="-1"/>
        </w:rPr>
        <w:t> </w:t>
      </w:r>
      <w:r>
        <w:rPr/>
        <w:t>within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Arden</w:t>
      </w:r>
      <w:r>
        <w:rPr>
          <w:spacing w:val="-2"/>
        </w:rPr>
        <w:t> </w:t>
      </w:r>
      <w:r>
        <w:rPr/>
        <w:t>Station</w:t>
      </w:r>
      <w:r>
        <w:rPr>
          <w:spacing w:val="-2"/>
        </w:rPr>
        <w:t> </w:t>
      </w:r>
      <w:r>
        <w:rPr/>
        <w:t>precinct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shown</w:t>
      </w:r>
      <w:r>
        <w:rPr>
          <w:spacing w:val="-3"/>
        </w:rPr>
        <w:t> </w:t>
      </w:r>
      <w:r>
        <w:rPr/>
        <w:t>in</w:t>
      </w:r>
      <w:r>
        <w:rPr>
          <w:spacing w:val="3"/>
        </w:rPr>
        <w:t> </w:t>
      </w:r>
      <w:hyperlink w:history="true" w:anchor="_bookmark33">
        <w:r>
          <w:rPr/>
          <w:t>Figure</w:t>
        </w:r>
        <w:r>
          <w:rPr>
            <w:spacing w:val="-1"/>
          </w:rPr>
          <w:t> </w:t>
        </w:r>
        <w:r>
          <w:rPr/>
          <w:t>7.</w:t>
        </w:r>
      </w:hyperlink>
    </w:p>
    <w:p>
      <w:pPr>
        <w:spacing w:after="0"/>
        <w:sectPr>
          <w:pgSz w:w="11910" w:h="16840"/>
          <w:pgMar w:header="899" w:footer="445" w:top="1860" w:bottom="640" w:left="1300" w:right="1680"/>
        </w:sectPr>
      </w:pPr>
    </w:p>
    <w:p>
      <w:pPr>
        <w:pStyle w:val="BodyText"/>
        <w:ind w:left="116"/>
        <w:rPr>
          <w:sz w:val="20"/>
        </w:rPr>
      </w:pPr>
      <w:r>
        <w:rPr>
          <w:sz w:val="20"/>
        </w:rPr>
        <w:drawing>
          <wp:inline distT="0" distB="0" distL="0" distR="0">
            <wp:extent cx="9415675" cy="658368"/>
            <wp:effectExtent l="0" t="0" r="0" b="0"/>
            <wp:docPr id="2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5675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900430</wp:posOffset>
            </wp:positionH>
            <wp:positionV relativeFrom="paragraph">
              <wp:posOffset>163576</wp:posOffset>
            </wp:positionV>
            <wp:extent cx="7169563" cy="4828032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9563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7"/>
        <w:ind w:left="498" w:right="0" w:firstLine="0"/>
        <w:jc w:val="left"/>
        <w:rPr>
          <w:sz w:val="18"/>
        </w:rPr>
      </w:pPr>
      <w:bookmarkStart w:name="_bookmark33" w:id="93"/>
      <w:bookmarkEnd w:id="93"/>
      <w:r>
        <w:rPr/>
      </w:r>
      <w:r>
        <w:rPr>
          <w:sz w:val="18"/>
        </w:rPr>
        <w:t>Figure</w:t>
      </w:r>
      <w:r>
        <w:rPr>
          <w:spacing w:val="-3"/>
          <w:sz w:val="18"/>
        </w:rPr>
        <w:t> </w:t>
      </w:r>
      <w:r>
        <w:rPr>
          <w:sz w:val="18"/>
        </w:rPr>
        <w:t>7 – DDA</w:t>
      </w:r>
      <w:r>
        <w:rPr>
          <w:spacing w:val="-5"/>
          <w:sz w:val="18"/>
        </w:rPr>
        <w:t> </w:t>
      </w:r>
      <w:r>
        <w:rPr>
          <w:sz w:val="18"/>
        </w:rPr>
        <w:t>access within</w:t>
      </w:r>
      <w:r>
        <w:rPr>
          <w:spacing w:val="-3"/>
          <w:sz w:val="18"/>
        </w:rPr>
        <w:t> </w:t>
      </w:r>
      <w:r>
        <w:rPr>
          <w:sz w:val="18"/>
        </w:rPr>
        <w:t>the Arden</w:t>
      </w:r>
      <w:r>
        <w:rPr>
          <w:spacing w:val="-1"/>
          <w:sz w:val="18"/>
        </w:rPr>
        <w:t> </w:t>
      </w:r>
      <w:r>
        <w:rPr>
          <w:sz w:val="18"/>
        </w:rPr>
        <w:t>Station</w:t>
      </w:r>
      <w:r>
        <w:rPr>
          <w:spacing w:val="-3"/>
          <w:sz w:val="18"/>
        </w:rPr>
        <w:t> </w:t>
      </w:r>
      <w:r>
        <w:rPr>
          <w:sz w:val="18"/>
        </w:rPr>
        <w:t>precinct</w:t>
      </w:r>
    </w:p>
    <w:p>
      <w:pPr>
        <w:spacing w:after="0"/>
        <w:jc w:val="left"/>
        <w:rPr>
          <w:sz w:val="18"/>
        </w:rPr>
        <w:sectPr>
          <w:headerReference w:type="default" r:id="rId28"/>
          <w:footerReference w:type="default" r:id="rId29"/>
          <w:pgSz w:w="16840" w:h="11910" w:orient="landscape"/>
          <w:pgMar w:header="0" w:footer="445" w:top="740" w:bottom="640" w:left="920" w:right="900"/>
        </w:sectPr>
      </w:pPr>
    </w:p>
    <w:p>
      <w:pPr>
        <w:pStyle w:val="BodyText"/>
        <w:ind w:left="109"/>
        <w:rPr>
          <w:sz w:val="20"/>
        </w:rPr>
      </w:pPr>
      <w:r>
        <w:rPr>
          <w:sz w:val="20"/>
        </w:rPr>
        <w:drawing>
          <wp:inline distT="0" distB="0" distL="0" distR="0">
            <wp:extent cx="6262180" cy="621792"/>
            <wp:effectExtent l="0" t="0" r="0" b="0"/>
            <wp:docPr id="3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180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4"/>
        <w:numPr>
          <w:ilvl w:val="3"/>
          <w:numId w:val="5"/>
        </w:numPr>
        <w:tabs>
          <w:tab w:pos="1449" w:val="left" w:leader="none"/>
          <w:tab w:pos="1450" w:val="left" w:leader="none"/>
        </w:tabs>
        <w:spacing w:line="240" w:lineRule="auto" w:before="0" w:after="0"/>
        <w:ind w:left="1450" w:right="0" w:hanging="992"/>
        <w:jc w:val="left"/>
      </w:pPr>
      <w:bookmarkStart w:name="_bookmark34" w:id="94"/>
      <w:bookmarkEnd w:id="94"/>
      <w:r>
        <w:rPr>
          <w:b w:val="0"/>
        </w:rPr>
      </w:r>
      <w:bookmarkStart w:name="_bookmark34" w:id="95"/>
      <w:bookmarkEnd w:id="95"/>
      <w:r>
        <w:rPr>
          <w:color w:val="252525"/>
        </w:rPr>
        <w:t>P</w:t>
      </w:r>
      <w:r>
        <w:rPr>
          <w:color w:val="252525"/>
        </w:rPr>
        <w:t>EDESTRIAN</w:t>
      </w:r>
      <w:r>
        <w:rPr>
          <w:color w:val="252525"/>
          <w:spacing w:val="-7"/>
        </w:rPr>
        <w:t> </w:t>
      </w:r>
      <w:r>
        <w:rPr>
          <w:color w:val="252525"/>
        </w:rPr>
        <w:t>ACCESS</w:t>
      </w:r>
    </w:p>
    <w:p>
      <w:pPr>
        <w:pStyle w:val="BodyText"/>
        <w:spacing w:before="118"/>
        <w:ind w:left="458" w:right="1050"/>
      </w:pPr>
      <w:r>
        <w:rPr/>
        <w:t>Most station passenger movements will involve pedestrian journeys to the Station or interchanging</w:t>
      </w:r>
      <w:r>
        <w:rPr>
          <w:spacing w:val="1"/>
        </w:rPr>
        <w:t> </w:t>
      </w:r>
      <w:r>
        <w:rPr/>
        <w:t>with the connecting bus or Moonee Ponds Creek Trail cycling trail. For passengers commuting to and</w:t>
      </w:r>
      <w:r>
        <w:rPr>
          <w:spacing w:val="-51"/>
        </w:rPr>
        <w:t> </w:t>
      </w:r>
      <w:r>
        <w:rPr/>
        <w:t>from the Station by foot the precinct design accommodates movement using a series of dedicated</w:t>
      </w:r>
      <w:r>
        <w:rPr>
          <w:spacing w:val="1"/>
        </w:rPr>
        <w:t> </w:t>
      </w:r>
      <w:r>
        <w:rPr/>
        <w:t>pedestrian crossings on Laurens Street and Queensberry Street. The pedestrian movement network</w:t>
      </w:r>
      <w:r>
        <w:rPr>
          <w:spacing w:val="1"/>
        </w:rPr>
        <w:t> </w:t>
      </w:r>
      <w:r>
        <w:rPr/>
        <w:t>through the Arden Station precinct is shown in </w:t>
      </w:r>
      <w:hyperlink w:history="true" w:anchor="_bookmark35">
        <w:r>
          <w:rPr/>
          <w:t>Figure 8. </w:t>
        </w:r>
      </w:hyperlink>
      <w:r>
        <w:rPr/>
        <w:t>The station features one set of ramps, stairs</w:t>
      </w:r>
      <w:r>
        <w:rPr>
          <w:spacing w:val="1"/>
        </w:rPr>
        <w:t> </w:t>
      </w:r>
      <w:r>
        <w:rPr/>
        <w:t>and lifts to link with universal access bays on the northern side of the station entry and the bus stops</w:t>
      </w:r>
      <w:r>
        <w:rPr>
          <w:spacing w:val="1"/>
        </w:rPr>
        <w:t> </w:t>
      </w:r>
      <w:r>
        <w:rPr/>
        <w:t>(for future bus routes) to the west on Laurens Street. This will create a swift movement between bus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train</w:t>
      </w:r>
      <w:r>
        <w:rPr>
          <w:spacing w:val="-2"/>
        </w:rPr>
        <w:t> </w:t>
      </w:r>
      <w:r>
        <w:rPr/>
        <w:t>modes</w:t>
      </w:r>
      <w:r>
        <w:rPr>
          <w:spacing w:val="1"/>
        </w:rPr>
        <w:t> </w:t>
      </w:r>
      <w:r>
        <w:rPr/>
        <w:t>through</w:t>
      </w:r>
      <w:r>
        <w:rPr>
          <w:spacing w:val="-2"/>
        </w:rPr>
        <w:t> </w:t>
      </w:r>
      <w:r>
        <w:rPr/>
        <w:t>a short</w:t>
      </w:r>
      <w:r>
        <w:rPr>
          <w:spacing w:val="-2"/>
        </w:rPr>
        <w:t> </w:t>
      </w:r>
      <w:r>
        <w:rPr/>
        <w:t>walk that</w:t>
      </w:r>
      <w:r>
        <w:rPr>
          <w:spacing w:val="-1"/>
        </w:rPr>
        <w:t> </w:t>
      </w:r>
      <w:r>
        <w:rPr/>
        <w:t>utilises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dedicated</w:t>
      </w:r>
      <w:r>
        <w:rPr>
          <w:spacing w:val="-1"/>
        </w:rPr>
        <w:t> </w:t>
      </w:r>
      <w:r>
        <w:rPr/>
        <w:t>pedestrian</w:t>
      </w:r>
      <w:r>
        <w:rPr>
          <w:spacing w:val="-1"/>
        </w:rPr>
        <w:t> </w:t>
      </w:r>
      <w:r>
        <w:rPr/>
        <w:t>crossings.</w:t>
      </w:r>
    </w:p>
    <w:p>
      <w:pPr>
        <w:pStyle w:val="BodyText"/>
        <w:spacing w:before="122"/>
        <w:ind w:left="458" w:right="1134"/>
      </w:pPr>
      <w:r>
        <w:rPr/>
        <w:t>During detailed design, opportunities were investigated to improve pedestrian access with the ticket</w:t>
      </w:r>
      <w:r>
        <w:rPr>
          <w:spacing w:val="1"/>
        </w:rPr>
        <w:t> </w:t>
      </w:r>
      <w:r>
        <w:rPr/>
        <w:t>gates re-oriented to improve pedestrian movement in response to the expected pedestrian traffic</w:t>
      </w:r>
      <w:r>
        <w:rPr>
          <w:spacing w:val="1"/>
        </w:rPr>
        <w:t> </w:t>
      </w:r>
      <w:r>
        <w:rPr/>
        <w:t>from the west. In the previous design, the ticket gates were orientated in a north-south alignment,</w:t>
      </w:r>
      <w:r>
        <w:rPr>
          <w:spacing w:val="1"/>
        </w:rPr>
        <w:t> </w:t>
      </w:r>
      <w:r>
        <w:rPr/>
        <w:t>however this has been changed to a north-west south-east alignment to better face Barwise Street.</w:t>
      </w:r>
      <w:r>
        <w:rPr>
          <w:spacing w:val="1"/>
        </w:rPr>
        <w:t> </w:t>
      </w:r>
      <w:r>
        <w:rPr/>
        <w:t>In addition, the total road reserve width of Station Lane has been increased to 16m as requested by</w:t>
      </w:r>
      <w:r>
        <w:rPr>
          <w:spacing w:val="1"/>
        </w:rPr>
        <w:t> </w:t>
      </w:r>
      <w:r>
        <w:rPr/>
        <w:t>City of Melbourne and the Victorian Planning Authority to better accommodate pedestrian access for</w:t>
      </w:r>
      <w:r>
        <w:rPr>
          <w:spacing w:val="-50"/>
        </w:rPr>
        <w:t> </w:t>
      </w:r>
      <w:r>
        <w:rPr/>
        <w:t>the future station entrance. This change allows for better integration with the draft Arden Structure</w:t>
      </w:r>
      <w:r>
        <w:rPr>
          <w:spacing w:val="1"/>
        </w:rPr>
        <w:t> </w:t>
      </w:r>
      <w:r>
        <w:rPr/>
        <w:t>Plan</w:t>
      </w:r>
      <w:r>
        <w:rPr>
          <w:spacing w:val="-2"/>
        </w:rPr>
        <w:t> </w:t>
      </w:r>
      <w:r>
        <w:rPr/>
        <w:t>(2020)</w:t>
      </w:r>
      <w:r>
        <w:rPr>
          <w:spacing w:val="-2"/>
        </w:rPr>
        <w:t> </w:t>
      </w:r>
      <w:r>
        <w:rPr/>
        <w:t>which proposes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Station</w:t>
      </w:r>
      <w:r>
        <w:rPr>
          <w:spacing w:val="-1"/>
        </w:rPr>
        <w:t> </w:t>
      </w:r>
      <w:r>
        <w:rPr/>
        <w:t>Lane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be a</w:t>
      </w:r>
      <w:r>
        <w:rPr>
          <w:spacing w:val="-2"/>
        </w:rPr>
        <w:t> </w:t>
      </w:r>
      <w:r>
        <w:rPr/>
        <w:t>pedestrian</w:t>
      </w:r>
      <w:r>
        <w:rPr>
          <w:spacing w:val="-2"/>
        </w:rPr>
        <w:t> </w:t>
      </w:r>
      <w:r>
        <w:rPr/>
        <w:t>priority zone</w:t>
      </w:r>
      <w:r>
        <w:rPr>
          <w:spacing w:val="3"/>
        </w:rPr>
        <w:t> </w:t>
      </w:r>
      <w:r>
        <w:rPr/>
        <w:t>(refer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hyperlink w:history="true" w:anchor="_bookmark39">
        <w:r>
          <w:rPr>
            <w:sz w:val="18"/>
          </w:rPr>
          <w:t>Figure</w:t>
        </w:r>
        <w:r>
          <w:rPr>
            <w:spacing w:val="-1"/>
            <w:sz w:val="18"/>
          </w:rPr>
          <w:t> </w:t>
        </w:r>
        <w:r>
          <w:rPr>
            <w:sz w:val="18"/>
          </w:rPr>
          <w:t>11</w:t>
        </w:r>
      </w:hyperlink>
      <w:r>
        <w:rPr/>
        <w:t>).</w:t>
      </w:r>
    </w:p>
    <w:p>
      <w:pPr>
        <w:pStyle w:val="BodyText"/>
        <w:ind w:left="458" w:right="1049"/>
      </w:pPr>
      <w:r>
        <w:rPr/>
        <w:t>This amendment has led to additional pavement on Station Lane to accommodate the additional road</w:t>
      </w:r>
      <w:r>
        <w:rPr>
          <w:spacing w:val="-50"/>
        </w:rPr>
        <w:t> </w:t>
      </w:r>
      <w:r>
        <w:rPr/>
        <w:t>width,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inclusion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planted</w:t>
      </w:r>
      <w:r>
        <w:rPr>
          <w:spacing w:val="-1"/>
        </w:rPr>
        <w:t> </w:t>
      </w:r>
      <w:r>
        <w:rPr/>
        <w:t>landscape</w:t>
      </w:r>
      <w:r>
        <w:rPr>
          <w:spacing w:val="-1"/>
        </w:rPr>
        <w:t> </w:t>
      </w:r>
      <w:r>
        <w:rPr/>
        <w:t>beds,</w:t>
      </w:r>
      <w:r>
        <w:rPr>
          <w:spacing w:val="-2"/>
        </w:rPr>
        <w:t> </w:t>
      </w:r>
      <w:r>
        <w:rPr/>
        <w:t>one</w:t>
      </w:r>
      <w:r>
        <w:rPr>
          <w:spacing w:val="-1"/>
        </w:rPr>
        <w:t> </w:t>
      </w:r>
      <w:r>
        <w:rPr/>
        <w:t>additional tree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additional bike</w:t>
      </w:r>
      <w:r>
        <w:rPr>
          <w:spacing w:val="-4"/>
        </w:rPr>
        <w:t> </w:t>
      </w:r>
      <w:r>
        <w:rPr/>
        <w:t>parking.</w:t>
      </w:r>
    </w:p>
    <w:p>
      <w:pPr>
        <w:pStyle w:val="BodyText"/>
        <w:spacing w:before="119"/>
        <w:ind w:left="458" w:right="1061"/>
      </w:pPr>
      <w:r>
        <w:rPr/>
        <w:t>Private parking spaces will not be increased as part of the station works, as the area’s walkability has</w:t>
      </w:r>
      <w:r>
        <w:rPr>
          <w:spacing w:val="-50"/>
        </w:rPr>
        <w:t> </w:t>
      </w:r>
      <w:r>
        <w:rPr/>
        <w:t>been increased through enhancements to the footpaths, including widening on Laurens Street. The</w:t>
      </w:r>
      <w:r>
        <w:rPr>
          <w:spacing w:val="1"/>
        </w:rPr>
        <w:t> </w:t>
      </w:r>
      <w:r>
        <w:rPr/>
        <w:t>Arden Station precinct will also provide universal access compliant parking bays and access to the</w:t>
      </w:r>
      <w:r>
        <w:rPr>
          <w:spacing w:val="1"/>
        </w:rPr>
        <w:t> </w:t>
      </w:r>
      <w:r>
        <w:rPr/>
        <w:t>station</w:t>
      </w:r>
      <w:r>
        <w:rPr>
          <w:spacing w:val="-2"/>
        </w:rPr>
        <w:t> </w:t>
      </w:r>
      <w:r>
        <w:rPr/>
        <w:t>via</w:t>
      </w:r>
      <w:r>
        <w:rPr>
          <w:spacing w:val="-2"/>
        </w:rPr>
        <w:t> </w:t>
      </w:r>
      <w:r>
        <w:rPr/>
        <w:t>ramps and</w:t>
      </w:r>
      <w:r>
        <w:rPr>
          <w:spacing w:val="-1"/>
        </w:rPr>
        <w:t> </w:t>
      </w:r>
      <w:r>
        <w:rPr/>
        <w:t>lifts</w:t>
      </w:r>
      <w:r>
        <w:rPr>
          <w:spacing w:val="-1"/>
        </w:rPr>
        <w:t> </w:t>
      </w:r>
      <w:r>
        <w:rPr/>
        <w:t>ensuring</w:t>
      </w:r>
      <w:r>
        <w:rPr>
          <w:spacing w:val="-2"/>
        </w:rPr>
        <w:t> </w:t>
      </w:r>
      <w:r>
        <w:rPr/>
        <w:t>station</w:t>
      </w:r>
      <w:r>
        <w:rPr>
          <w:spacing w:val="-2"/>
        </w:rPr>
        <w:t> </w:t>
      </w:r>
      <w:r>
        <w:rPr/>
        <w:t>access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passengers</w:t>
      </w:r>
      <w:r>
        <w:rPr>
          <w:spacing w:val="2"/>
        </w:rPr>
        <w:t> </w:t>
      </w:r>
      <w:r>
        <w:rPr/>
        <w:t>(refer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Section </w:t>
      </w:r>
      <w:hyperlink w:history="true" w:anchor="_bookmark32">
        <w:r>
          <w:rPr/>
          <w:t>4.3.4.1</w:t>
        </w:r>
      </w:hyperlink>
      <w:r>
        <w:rPr/>
        <w:t>).</w:t>
      </w:r>
    </w:p>
    <w:p>
      <w:pPr>
        <w:spacing w:after="0"/>
        <w:sectPr>
          <w:headerReference w:type="default" r:id="rId31"/>
          <w:footerReference w:type="default" r:id="rId32"/>
          <w:pgSz w:w="11910" w:h="16840"/>
          <w:pgMar w:header="0" w:footer="445" w:top="940" w:bottom="640" w:left="960" w:right="92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drawing>
          <wp:inline distT="0" distB="0" distL="0" distR="0">
            <wp:extent cx="9376366" cy="658368"/>
            <wp:effectExtent l="0" t="0" r="0" b="0"/>
            <wp:docPr id="3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6366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900430</wp:posOffset>
            </wp:positionH>
            <wp:positionV relativeFrom="paragraph">
              <wp:posOffset>176276</wp:posOffset>
            </wp:positionV>
            <wp:extent cx="6522359" cy="4392168"/>
            <wp:effectExtent l="0" t="0" r="0" b="0"/>
            <wp:wrapTopAndBottom/>
            <wp:docPr id="3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359" cy="439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4"/>
        <w:ind w:left="478" w:right="0" w:firstLine="0"/>
        <w:jc w:val="left"/>
        <w:rPr>
          <w:sz w:val="18"/>
        </w:rPr>
      </w:pPr>
      <w:bookmarkStart w:name="_bookmark35" w:id="96"/>
      <w:bookmarkEnd w:id="96"/>
      <w:r>
        <w:rPr/>
      </w:r>
      <w:r>
        <w:rPr>
          <w:sz w:val="18"/>
        </w:rPr>
        <w:t>Figure</w:t>
      </w:r>
      <w:r>
        <w:rPr>
          <w:spacing w:val="-4"/>
          <w:sz w:val="18"/>
        </w:rPr>
        <w:t> </w:t>
      </w:r>
      <w:r>
        <w:rPr>
          <w:sz w:val="18"/>
        </w:rPr>
        <w:t>8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Pedestrian</w:t>
      </w:r>
      <w:r>
        <w:rPr>
          <w:spacing w:val="-4"/>
          <w:sz w:val="18"/>
        </w:rPr>
        <w:t> </w:t>
      </w:r>
      <w:r>
        <w:rPr>
          <w:sz w:val="18"/>
        </w:rPr>
        <w:t>movements</w:t>
      </w:r>
      <w:r>
        <w:rPr>
          <w:spacing w:val="-3"/>
          <w:sz w:val="18"/>
        </w:rPr>
        <w:t> </w:t>
      </w:r>
      <w:r>
        <w:rPr>
          <w:sz w:val="18"/>
        </w:rPr>
        <w:t>through</w:t>
      </w:r>
      <w:r>
        <w:rPr>
          <w:spacing w:val="-3"/>
          <w:sz w:val="18"/>
        </w:rPr>
        <w:t> </w:t>
      </w:r>
      <w:r>
        <w:rPr>
          <w:sz w:val="18"/>
        </w:rPr>
        <w:t>the</w:t>
      </w:r>
      <w:r>
        <w:rPr>
          <w:spacing w:val="-2"/>
          <w:sz w:val="18"/>
        </w:rPr>
        <w:t> </w:t>
      </w:r>
      <w:r>
        <w:rPr>
          <w:sz w:val="18"/>
        </w:rPr>
        <w:t>Arden</w:t>
      </w:r>
      <w:r>
        <w:rPr>
          <w:spacing w:val="1"/>
          <w:sz w:val="18"/>
        </w:rPr>
        <w:t> </w:t>
      </w:r>
      <w:r>
        <w:rPr>
          <w:sz w:val="18"/>
        </w:rPr>
        <w:t>Station</w:t>
      </w:r>
      <w:r>
        <w:rPr>
          <w:spacing w:val="-4"/>
          <w:sz w:val="18"/>
        </w:rPr>
        <w:t> </w:t>
      </w:r>
      <w:r>
        <w:rPr>
          <w:sz w:val="18"/>
        </w:rPr>
        <w:t>precinct</w:t>
      </w:r>
    </w:p>
    <w:p>
      <w:pPr>
        <w:spacing w:after="0"/>
        <w:jc w:val="left"/>
        <w:rPr>
          <w:sz w:val="18"/>
        </w:rPr>
        <w:sectPr>
          <w:headerReference w:type="default" r:id="rId34"/>
          <w:footerReference w:type="default" r:id="rId35"/>
          <w:pgSz w:w="16840" w:h="11910" w:orient="landscape"/>
          <w:pgMar w:header="0" w:footer="445" w:top="720" w:bottom="640" w:left="940" w:right="860"/>
        </w:sectPr>
      </w:pPr>
    </w:p>
    <w:p>
      <w:pPr>
        <w:pStyle w:val="BodyText"/>
        <w:ind w:left="113"/>
        <w:rPr>
          <w:sz w:val="20"/>
        </w:rPr>
      </w:pPr>
      <w:r>
        <w:rPr>
          <w:sz w:val="20"/>
        </w:rPr>
        <w:drawing>
          <wp:inline distT="0" distB="0" distL="0" distR="0">
            <wp:extent cx="6196300" cy="621792"/>
            <wp:effectExtent l="0" t="0" r="0" b="0"/>
            <wp:docPr id="3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6300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4"/>
        <w:numPr>
          <w:ilvl w:val="3"/>
          <w:numId w:val="5"/>
        </w:numPr>
        <w:tabs>
          <w:tab w:pos="1529" w:val="left" w:leader="none"/>
          <w:tab w:pos="1530" w:val="left" w:leader="none"/>
        </w:tabs>
        <w:spacing w:line="240" w:lineRule="auto" w:before="0" w:after="0"/>
        <w:ind w:left="1530" w:right="0" w:hanging="992"/>
        <w:jc w:val="left"/>
      </w:pPr>
      <w:bookmarkStart w:name="_bookmark36" w:id="97"/>
      <w:bookmarkEnd w:id="97"/>
      <w:r>
        <w:rPr>
          <w:b w:val="0"/>
        </w:rPr>
      </w:r>
      <w:bookmarkStart w:name="_bookmark36" w:id="98"/>
      <w:bookmarkEnd w:id="98"/>
      <w:r>
        <w:rPr>
          <w:color w:val="252525"/>
        </w:rPr>
        <w:t>B</w:t>
      </w:r>
      <w:r>
        <w:rPr>
          <w:color w:val="252525"/>
        </w:rPr>
        <w:t>ICYCLE</w:t>
      </w:r>
      <w:r>
        <w:rPr>
          <w:color w:val="252525"/>
          <w:spacing w:val="-7"/>
        </w:rPr>
        <w:t> </w:t>
      </w:r>
      <w:r>
        <w:rPr>
          <w:color w:val="252525"/>
        </w:rPr>
        <w:t>ACCESS</w:t>
      </w:r>
    </w:p>
    <w:p>
      <w:pPr>
        <w:pStyle w:val="BodyText"/>
        <w:spacing w:before="118"/>
        <w:ind w:left="538" w:right="742"/>
      </w:pPr>
      <w:r>
        <w:rPr/>
        <w:t>Improving</w:t>
      </w:r>
      <w:r>
        <w:rPr>
          <w:spacing w:val="-7"/>
        </w:rPr>
        <w:t> </w:t>
      </w:r>
      <w:r>
        <w:rPr/>
        <w:t>Melbourne’s</w:t>
      </w:r>
      <w:r>
        <w:rPr>
          <w:spacing w:val="-7"/>
        </w:rPr>
        <w:t> </w:t>
      </w:r>
      <w:r>
        <w:rPr/>
        <w:t>cycling</w:t>
      </w:r>
      <w:r>
        <w:rPr>
          <w:spacing w:val="-6"/>
        </w:rPr>
        <w:t> </w:t>
      </w:r>
      <w:r>
        <w:rPr/>
        <w:t>network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encouraging</w:t>
      </w:r>
      <w:r>
        <w:rPr>
          <w:spacing w:val="-6"/>
        </w:rPr>
        <w:t> </w:t>
      </w:r>
      <w:r>
        <w:rPr/>
        <w:t>active</w:t>
      </w:r>
      <w:r>
        <w:rPr>
          <w:spacing w:val="-6"/>
        </w:rPr>
        <w:t> </w:t>
      </w:r>
      <w:r>
        <w:rPr/>
        <w:t>transport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intermodal</w:t>
      </w:r>
      <w:r>
        <w:rPr>
          <w:spacing w:val="-5"/>
        </w:rPr>
        <w:t> </w:t>
      </w:r>
      <w:r>
        <w:rPr/>
        <w:t>connections</w:t>
      </w:r>
      <w:r>
        <w:rPr>
          <w:spacing w:val="1"/>
        </w:rPr>
        <w:t> </w:t>
      </w:r>
      <w:r>
        <w:rPr/>
        <w:t>with</w:t>
      </w:r>
      <w:r>
        <w:rPr>
          <w:spacing w:val="-2"/>
        </w:rPr>
        <w:t> </w:t>
      </w:r>
      <w:r>
        <w:rPr/>
        <w:t>Melbourne’s metro</w:t>
      </w:r>
      <w:r>
        <w:rPr>
          <w:spacing w:val="-2"/>
        </w:rPr>
        <w:t> </w:t>
      </w:r>
      <w:r>
        <w:rPr/>
        <w:t>system is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important</w:t>
      </w:r>
      <w:r>
        <w:rPr>
          <w:spacing w:val="2"/>
        </w:rPr>
        <w:t> </w:t>
      </w:r>
      <w:r>
        <w:rPr/>
        <w:t>Project</w:t>
      </w:r>
      <w:r>
        <w:rPr>
          <w:spacing w:val="-1"/>
        </w:rPr>
        <w:t> </w:t>
      </w:r>
      <w:r>
        <w:rPr/>
        <w:t>objective.</w:t>
      </w:r>
    </w:p>
    <w:p>
      <w:pPr>
        <w:pStyle w:val="BodyText"/>
        <w:spacing w:before="120"/>
        <w:ind w:left="538" w:right="1108"/>
      </w:pPr>
      <w:r>
        <w:rPr/>
        <w:t>Our design provides high-quality bicycle paths and generous amounts of bicycle parking. These will</w:t>
      </w:r>
      <w:r>
        <w:rPr>
          <w:spacing w:val="-50"/>
        </w:rPr>
        <w:t> </w:t>
      </w:r>
      <w:r>
        <w:rPr/>
        <w:t>facilitate sustainable transport and healthy lifestyle options for commuters and the station’s</w:t>
      </w:r>
      <w:r>
        <w:rPr>
          <w:spacing w:val="1"/>
        </w:rPr>
        <w:t> </w:t>
      </w:r>
      <w:r>
        <w:rPr/>
        <w:t>surrounding</w:t>
      </w:r>
      <w:r>
        <w:rPr>
          <w:spacing w:val="-3"/>
        </w:rPr>
        <w:t> </w:t>
      </w:r>
      <w:r>
        <w:rPr/>
        <w:t>communities.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Day</w:t>
      </w:r>
      <w:r>
        <w:rPr>
          <w:spacing w:val="-1"/>
        </w:rPr>
        <w:t> </w:t>
      </w:r>
      <w:r>
        <w:rPr/>
        <w:t>1,</w:t>
      </w:r>
      <w:r>
        <w:rPr>
          <w:spacing w:val="-3"/>
        </w:rPr>
        <w:t> </w:t>
      </w:r>
      <w:r>
        <w:rPr/>
        <w:t>126</w:t>
      </w:r>
      <w:r>
        <w:rPr>
          <w:spacing w:val="-3"/>
        </w:rPr>
        <w:t> </w:t>
      </w:r>
      <w:r>
        <w:rPr/>
        <w:t>bike-parking</w:t>
      </w:r>
      <w:r>
        <w:rPr>
          <w:spacing w:val="-2"/>
        </w:rPr>
        <w:t> </w:t>
      </w:r>
      <w:r>
        <w:rPr/>
        <w:t>spaces</w:t>
      </w:r>
      <w:r>
        <w:rPr>
          <w:spacing w:val="-1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available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around</w:t>
      </w:r>
      <w:r>
        <w:rPr>
          <w:spacing w:val="-3"/>
        </w:rPr>
        <w:t> </w:t>
      </w:r>
      <w:r>
        <w:rPr/>
        <w:t>Arden</w:t>
      </w:r>
      <w:r>
        <w:rPr>
          <w:spacing w:val="-50"/>
        </w:rPr>
        <w:t> </w:t>
      </w:r>
      <w:r>
        <w:rPr/>
        <w:t>Station. The design also has provision for an additional 200 secure bike spaces located near the</w:t>
      </w:r>
      <w:r>
        <w:rPr>
          <w:spacing w:val="1"/>
        </w:rPr>
        <w:t> </w:t>
      </w:r>
      <w:r>
        <w:rPr/>
        <w:t>proposed future station entries, west of the station building, and the design provides for Melbourne</w:t>
      </w:r>
      <w:r>
        <w:rPr>
          <w:spacing w:val="1"/>
        </w:rPr>
        <w:t> </w:t>
      </w:r>
      <w:r>
        <w:rPr/>
        <w:t>bike share stands. In the amended drawings, these bike share facilities have been relocated from</w:t>
      </w:r>
      <w:r>
        <w:rPr>
          <w:spacing w:val="1"/>
        </w:rPr>
        <w:t> </w:t>
      </w:r>
      <w:r>
        <w:rPr/>
        <w:t>Laurens Lane to Laurens</w:t>
      </w:r>
      <w:r>
        <w:rPr>
          <w:spacing w:val="1"/>
        </w:rPr>
        <w:t> </w:t>
      </w:r>
      <w:r>
        <w:rPr/>
        <w:t>Street,</w:t>
      </w:r>
      <w:r>
        <w:rPr>
          <w:spacing w:val="-1"/>
        </w:rPr>
        <w:t> </w:t>
      </w:r>
      <w:r>
        <w:rPr/>
        <w:t>near</w:t>
      </w:r>
      <w:r>
        <w:rPr>
          <w:spacing w:val="-1"/>
        </w:rPr>
        <w:t> </w:t>
      </w:r>
      <w:r>
        <w:rPr/>
        <w:t>the station</w:t>
      </w:r>
      <w:r>
        <w:rPr>
          <w:spacing w:val="-2"/>
        </w:rPr>
        <w:t> </w:t>
      </w:r>
      <w:r>
        <w:rPr/>
        <w:t>entry DDA ramp.</w:t>
      </w:r>
    </w:p>
    <w:p>
      <w:pPr>
        <w:pStyle w:val="BodyText"/>
        <w:spacing w:before="122"/>
        <w:ind w:left="538" w:right="1034"/>
      </w:pPr>
      <w:r>
        <w:rPr/>
        <w:t>As outlined in Section </w:t>
      </w:r>
      <w:hyperlink w:history="true" w:anchor="_bookmark32">
        <w:r>
          <w:rPr/>
          <w:t>4.3.4.1, </w:t>
        </w:r>
      </w:hyperlink>
      <w:r>
        <w:rPr/>
        <w:t>a new DDA ramp and additional stairs are proposed from Station</w:t>
      </w:r>
      <w:r>
        <w:rPr>
          <w:spacing w:val="1"/>
        </w:rPr>
        <w:t> </w:t>
      </w:r>
      <w:r>
        <w:rPr/>
        <w:t>Lane. This change has led to the displacement of an undercover bike storage that was previously</w:t>
      </w:r>
      <w:r>
        <w:rPr>
          <w:spacing w:val="1"/>
        </w:rPr>
        <w:t> </w:t>
      </w:r>
      <w:r>
        <w:rPr/>
        <w:t>proposed on the south-west corner of the station building. However, the total number of bike-parking</w:t>
      </w:r>
      <w:r>
        <w:rPr>
          <w:spacing w:val="-50"/>
        </w:rPr>
        <w:t> </w:t>
      </w:r>
      <w:r>
        <w:rPr/>
        <w:t>spaces has remained unchanged in this amended Development Plan due to the additional spaces</w:t>
      </w:r>
      <w:r>
        <w:rPr>
          <w:spacing w:val="1"/>
        </w:rPr>
        <w:t> </w:t>
      </w:r>
      <w:r>
        <w:rPr/>
        <w:t>provided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Station</w:t>
      </w:r>
      <w:r>
        <w:rPr>
          <w:spacing w:val="-1"/>
        </w:rPr>
        <w:t> </w:t>
      </w:r>
      <w:r>
        <w:rPr/>
        <w:t>Lane and</w:t>
      </w:r>
      <w:r>
        <w:rPr>
          <w:spacing w:val="-1"/>
        </w:rPr>
        <w:t> </w:t>
      </w:r>
      <w:r>
        <w:rPr/>
        <w:t>Laurens Lane.</w:t>
      </w:r>
    </w:p>
    <w:p>
      <w:pPr>
        <w:pStyle w:val="BodyText"/>
        <w:spacing w:before="120"/>
        <w:ind w:left="538" w:right="1034"/>
      </w:pPr>
      <w:r>
        <w:rPr/>
        <w:t>In close consultation with the Victorian Planning Authority and City of Melbourne, the design has</w:t>
      </w:r>
      <w:r>
        <w:rPr>
          <w:spacing w:val="1"/>
        </w:rPr>
        <w:t> </w:t>
      </w:r>
      <w:r>
        <w:rPr/>
        <w:t>been amended to incorporate a separated raised bicycle path on the west side of Laurens Street.</w:t>
      </w:r>
      <w:r>
        <w:rPr>
          <w:spacing w:val="1"/>
        </w:rPr>
        <w:t> </w:t>
      </w:r>
      <w:r>
        <w:rPr/>
        <w:t>Note the majority of the bicycle lanes within the CYP extent of works are two metres in width,</w:t>
      </w:r>
      <w:r>
        <w:rPr>
          <w:spacing w:val="1"/>
        </w:rPr>
        <w:t> </w:t>
      </w:r>
      <w:r>
        <w:rPr/>
        <w:t>however this reduces in width to 1.5 metres behind kerb along the southbound carriageway of</w:t>
      </w:r>
      <w:r>
        <w:rPr>
          <w:spacing w:val="1"/>
        </w:rPr>
        <w:t> </w:t>
      </w:r>
      <w:r>
        <w:rPr/>
        <w:t>Laurens Street to eliminate dooring issues between the bicycle lane and the taxi bays, park and ride</w:t>
      </w:r>
      <w:r>
        <w:rPr>
          <w:spacing w:val="-50"/>
        </w:rPr>
        <w:t> </w:t>
      </w:r>
      <w:r>
        <w:rPr/>
        <w:t>bays and the bus bay. This supports the draft Arden Structure Plan (2020) that identifies Laurens</w:t>
      </w:r>
      <w:r>
        <w:rPr>
          <w:spacing w:val="1"/>
        </w:rPr>
        <w:t> </w:t>
      </w:r>
      <w:r>
        <w:rPr/>
        <w:t>Street as part of a proposed Strategic Cycling Corridor network. As discussed in Section </w:t>
      </w:r>
      <w:hyperlink w:history="true" w:anchor="_bookmark13">
        <w:r>
          <w:rPr/>
          <w:t>2.1, </w:t>
        </w:r>
      </w:hyperlink>
      <w:r>
        <w:rPr/>
        <w:t>those</w:t>
      </w:r>
      <w:r>
        <w:rPr>
          <w:spacing w:val="1"/>
        </w:rPr>
        <w:t> </w:t>
      </w:r>
      <w:r>
        <w:rPr/>
        <w:t>cycling corridors are proposed to improve cycling to and around major activity centres and cater for</w:t>
      </w:r>
      <w:r>
        <w:rPr>
          <w:spacing w:val="1"/>
        </w:rPr>
        <w:t> </w:t>
      </w:r>
      <w:r>
        <w:rPr/>
        <w:t>the highest cycling volumes while offering protection from other vehicles (refer to </w:t>
      </w:r>
      <w:hyperlink w:history="true" w:anchor="_bookmark39">
        <w:r>
          <w:rPr>
            <w:sz w:val="18"/>
          </w:rPr>
          <w:t>Figure 11</w:t>
        </w:r>
      </w:hyperlink>
      <w:r>
        <w:rPr/>
        <w:t>). The</w:t>
      </w:r>
      <w:r>
        <w:rPr>
          <w:spacing w:val="1"/>
        </w:rPr>
        <w:t> </w:t>
      </w:r>
      <w:r>
        <w:rPr/>
        <w:t>existing painted-on road bicycle lanes on the east side of Laurens Street will be reinstated, providing</w:t>
      </w:r>
      <w:r>
        <w:rPr>
          <w:spacing w:val="-50"/>
        </w:rPr>
        <w:t> </w:t>
      </w:r>
      <w:r>
        <w:rPr/>
        <w:t>good</w:t>
      </w:r>
      <w:r>
        <w:rPr>
          <w:spacing w:val="-1"/>
        </w:rPr>
        <w:t> </w:t>
      </w:r>
      <w:r>
        <w:rPr/>
        <w:t>access from</w:t>
      </w:r>
      <w:r>
        <w:rPr>
          <w:spacing w:val="-1"/>
        </w:rPr>
        <w:t> </w:t>
      </w:r>
      <w:r>
        <w:rPr/>
        <w:t>the surrounding</w:t>
      </w:r>
      <w:r>
        <w:rPr>
          <w:spacing w:val="-1"/>
        </w:rPr>
        <w:t> </w:t>
      </w:r>
      <w:r>
        <w:rPr/>
        <w:t>network to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station.</w:t>
      </w:r>
    </w:p>
    <w:p>
      <w:pPr>
        <w:pStyle w:val="BodyText"/>
        <w:spacing w:before="119"/>
        <w:ind w:left="538"/>
      </w:pPr>
      <w:r>
        <w:rPr/>
        <w:t>Bicycle</w:t>
      </w:r>
      <w:r>
        <w:rPr>
          <w:spacing w:val="-3"/>
        </w:rPr>
        <w:t> </w:t>
      </w:r>
      <w:r>
        <w:rPr/>
        <w:t>facilities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Arden</w:t>
      </w:r>
      <w:r>
        <w:rPr>
          <w:spacing w:val="-3"/>
        </w:rPr>
        <w:t> </w:t>
      </w:r>
      <w:r>
        <w:rPr/>
        <w:t>Station</w:t>
      </w:r>
      <w:r>
        <w:rPr>
          <w:spacing w:val="-3"/>
        </w:rPr>
        <w:t> </w:t>
      </w:r>
      <w:r>
        <w:rPr/>
        <w:t>precinct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shown</w:t>
      </w:r>
      <w:r>
        <w:rPr>
          <w:spacing w:val="-2"/>
        </w:rPr>
        <w:t> </w:t>
      </w:r>
      <w:r>
        <w:rPr/>
        <w:t>in</w:t>
      </w:r>
      <w:r>
        <w:rPr>
          <w:spacing w:val="3"/>
        </w:rPr>
        <w:t> </w:t>
      </w:r>
      <w:hyperlink w:history="true" w:anchor="_bookmark37">
        <w:r>
          <w:rPr/>
          <w:t>Figure</w:t>
        </w:r>
        <w:r>
          <w:rPr>
            <w:spacing w:val="-3"/>
          </w:rPr>
          <w:t> </w:t>
        </w:r>
        <w:r>
          <w:rPr/>
          <w:t>9.</w:t>
        </w:r>
      </w:hyperlink>
    </w:p>
    <w:p>
      <w:pPr>
        <w:spacing w:after="0"/>
        <w:sectPr>
          <w:headerReference w:type="default" r:id="rId37"/>
          <w:footerReference w:type="default" r:id="rId38"/>
          <w:pgSz w:w="11910" w:h="16840"/>
          <w:pgMar w:header="0" w:footer="445" w:top="940" w:bottom="640" w:left="880" w:right="1020"/>
        </w:sectPr>
      </w:pPr>
    </w:p>
    <w:p>
      <w:pPr>
        <w:pStyle w:val="BodyText"/>
        <w:ind w:left="117"/>
        <w:rPr>
          <w:sz w:val="20"/>
        </w:rPr>
      </w:pPr>
      <w:r>
        <w:rPr>
          <w:sz w:val="20"/>
        </w:rPr>
        <w:drawing>
          <wp:inline distT="0" distB="0" distL="0" distR="0">
            <wp:extent cx="9376365" cy="658368"/>
            <wp:effectExtent l="0" t="0" r="0" b="0"/>
            <wp:docPr id="3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6365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  <w:r>
        <w:rPr/>
        <w:pict>
          <v:group style="position:absolute;margin-left:70.900002pt;margin-top:17.142317pt;width:529pt;height:356.25pt;mso-position-horizontal-relative:page;mso-position-vertical-relative:paragraph;z-index:-15716352;mso-wrap-distance-left:0;mso-wrap-distance-right:0" id="docshapegroup67" coordorigin="1418,343" coordsize="10580,7125">
            <v:shape style="position:absolute;left:8011;top:6872;width:1901;height:578" type="#_x0000_t75" id="docshape68" stroked="false">
              <v:imagedata r:id="rId41" o:title=""/>
            </v:shape>
            <v:shape style="position:absolute;left:1418;top:342;width:10580;height:7125" type="#_x0000_t75" id="docshape69" stroked="false">
              <v:imagedata r:id="rId42" o:title=""/>
            </v:shape>
            <w10:wrap type="topAndBottom"/>
          </v:group>
        </w:pict>
      </w:r>
    </w:p>
    <w:p>
      <w:pPr>
        <w:spacing w:before="121"/>
        <w:ind w:left="498" w:right="0" w:firstLine="0"/>
        <w:jc w:val="left"/>
        <w:rPr>
          <w:sz w:val="18"/>
        </w:rPr>
      </w:pPr>
      <w:bookmarkStart w:name="_bookmark37" w:id="99"/>
      <w:bookmarkEnd w:id="99"/>
      <w:r>
        <w:rPr/>
      </w:r>
      <w:r>
        <w:rPr>
          <w:sz w:val="18"/>
        </w:rPr>
        <w:t>Figure</w:t>
      </w:r>
      <w:r>
        <w:rPr>
          <w:spacing w:val="-4"/>
          <w:sz w:val="18"/>
        </w:rPr>
        <w:t> </w:t>
      </w:r>
      <w:r>
        <w:rPr>
          <w:sz w:val="18"/>
        </w:rPr>
        <w:t>9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Bicycle</w:t>
      </w:r>
      <w:r>
        <w:rPr>
          <w:spacing w:val="-2"/>
          <w:sz w:val="18"/>
        </w:rPr>
        <w:t> </w:t>
      </w:r>
      <w:r>
        <w:rPr>
          <w:sz w:val="18"/>
        </w:rPr>
        <w:t>facilities</w:t>
      </w:r>
      <w:r>
        <w:rPr>
          <w:spacing w:val="-3"/>
          <w:sz w:val="18"/>
        </w:rPr>
        <w:t> </w:t>
      </w:r>
      <w:r>
        <w:rPr>
          <w:sz w:val="18"/>
        </w:rPr>
        <w:t>in</w:t>
      </w:r>
      <w:r>
        <w:rPr>
          <w:spacing w:val="-3"/>
          <w:sz w:val="18"/>
        </w:rPr>
        <w:t> </w:t>
      </w:r>
      <w:r>
        <w:rPr>
          <w:sz w:val="18"/>
        </w:rPr>
        <w:t>the</w:t>
      </w:r>
      <w:r>
        <w:rPr>
          <w:spacing w:val="-2"/>
          <w:sz w:val="18"/>
        </w:rPr>
        <w:t> </w:t>
      </w:r>
      <w:r>
        <w:rPr>
          <w:sz w:val="18"/>
        </w:rPr>
        <w:t>Arden</w:t>
      </w:r>
      <w:r>
        <w:rPr>
          <w:spacing w:val="1"/>
          <w:sz w:val="18"/>
        </w:rPr>
        <w:t> </w:t>
      </w:r>
      <w:r>
        <w:rPr>
          <w:sz w:val="18"/>
        </w:rPr>
        <w:t>Station</w:t>
      </w:r>
      <w:r>
        <w:rPr>
          <w:spacing w:val="-3"/>
          <w:sz w:val="18"/>
        </w:rPr>
        <w:t> </w:t>
      </w:r>
      <w:r>
        <w:rPr>
          <w:sz w:val="18"/>
        </w:rPr>
        <w:t>precinct</w:t>
      </w:r>
    </w:p>
    <w:p>
      <w:pPr>
        <w:spacing w:after="0"/>
        <w:jc w:val="left"/>
        <w:rPr>
          <w:sz w:val="18"/>
        </w:rPr>
        <w:sectPr>
          <w:headerReference w:type="default" r:id="rId39"/>
          <w:footerReference w:type="default" r:id="rId40"/>
          <w:pgSz w:w="16840" w:h="11910" w:orient="landscape"/>
          <w:pgMar w:header="0" w:footer="445" w:top="720" w:bottom="640" w:left="920" w:right="880"/>
        </w:sectPr>
      </w:pPr>
    </w:p>
    <w:p>
      <w:pPr>
        <w:pStyle w:val="BodyText"/>
        <w:ind w:left="113"/>
        <w:rPr>
          <w:sz w:val="20"/>
        </w:rPr>
      </w:pPr>
      <w:r>
        <w:rPr>
          <w:sz w:val="20"/>
        </w:rPr>
        <w:drawing>
          <wp:inline distT="0" distB="0" distL="0" distR="0">
            <wp:extent cx="6196300" cy="621792"/>
            <wp:effectExtent l="0" t="0" r="0" b="0"/>
            <wp:docPr id="4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6300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4"/>
        <w:numPr>
          <w:ilvl w:val="3"/>
          <w:numId w:val="5"/>
        </w:numPr>
        <w:tabs>
          <w:tab w:pos="1529" w:val="left" w:leader="none"/>
          <w:tab w:pos="1530" w:val="left" w:leader="none"/>
        </w:tabs>
        <w:spacing w:line="240" w:lineRule="auto" w:before="0" w:after="0"/>
        <w:ind w:left="1530" w:right="0" w:hanging="992"/>
        <w:jc w:val="left"/>
      </w:pPr>
      <w:r>
        <w:rPr>
          <w:color w:val="252525"/>
        </w:rPr>
        <w:t>TRANSPORT</w:t>
      </w:r>
      <w:r>
        <w:rPr>
          <w:color w:val="252525"/>
          <w:spacing w:val="-4"/>
        </w:rPr>
        <w:t> </w:t>
      </w:r>
      <w:r>
        <w:rPr>
          <w:color w:val="252525"/>
        </w:rPr>
        <w:t>INTEGRATION</w:t>
      </w:r>
    </w:p>
    <w:p>
      <w:pPr>
        <w:pStyle w:val="BodyText"/>
        <w:spacing w:before="118"/>
        <w:ind w:left="538" w:right="1192"/>
      </w:pPr>
      <w:r>
        <w:rPr/>
        <w:t>The Arden Station precinct has been designed with a preferred transport hierarchy that focuses on</w:t>
      </w:r>
      <w:r>
        <w:rPr>
          <w:spacing w:val="-50"/>
        </w:rPr>
        <w:t> </w:t>
      </w:r>
      <w:r>
        <w:rPr/>
        <w:t>pedestrians</w:t>
      </w:r>
      <w:r>
        <w:rPr>
          <w:spacing w:val="-2"/>
        </w:rPr>
        <w:t> </w:t>
      </w:r>
      <w:r>
        <w:rPr/>
        <w:t>followed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cyclists,</w:t>
      </w:r>
      <w:r>
        <w:rPr>
          <w:spacing w:val="-3"/>
        </w:rPr>
        <w:t> </w:t>
      </w:r>
      <w:r>
        <w:rPr/>
        <w:t>public</w:t>
      </w:r>
      <w:r>
        <w:rPr>
          <w:spacing w:val="-3"/>
        </w:rPr>
        <w:t> </w:t>
      </w:r>
      <w:r>
        <w:rPr/>
        <w:t>transport,</w:t>
      </w:r>
      <w:r>
        <w:rPr>
          <w:spacing w:val="-3"/>
        </w:rPr>
        <w:t> </w:t>
      </w:r>
      <w:r>
        <w:rPr/>
        <w:t>service</w:t>
      </w:r>
      <w:r>
        <w:rPr>
          <w:spacing w:val="-5"/>
        </w:rPr>
        <w:t> </w:t>
      </w:r>
      <w:r>
        <w:rPr/>
        <w:t>vehicles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finally</w:t>
      </w:r>
      <w:r>
        <w:rPr>
          <w:spacing w:val="-2"/>
        </w:rPr>
        <w:t> </w:t>
      </w:r>
      <w:r>
        <w:rPr/>
        <w:t>private</w:t>
      </w:r>
      <w:r>
        <w:rPr>
          <w:spacing w:val="-3"/>
        </w:rPr>
        <w:t> </w:t>
      </w:r>
      <w:r>
        <w:rPr/>
        <w:t>automobiles.</w:t>
      </w:r>
    </w:p>
    <w:p>
      <w:pPr>
        <w:pStyle w:val="BodyText"/>
        <w:spacing w:before="120"/>
        <w:ind w:left="538" w:right="1076"/>
      </w:pPr>
      <w:r>
        <w:rPr/>
        <w:t>The station precinct needs to accommodate easy passenger arrival and drop off via future bus</w:t>
      </w:r>
      <w:r>
        <w:rPr>
          <w:spacing w:val="1"/>
        </w:rPr>
        <w:t> </w:t>
      </w:r>
      <w:r>
        <w:rPr/>
        <w:t>services, cars and taxis. On Day 1, bus stops (for future bus routes) and separate kiss-and-ride and</w:t>
      </w:r>
      <w:r>
        <w:rPr>
          <w:spacing w:val="-50"/>
        </w:rPr>
        <w:t> </w:t>
      </w:r>
      <w:r>
        <w:rPr/>
        <w:t>taxi spaces are provided directly outside the station on Laurens Street. The design also includes</w:t>
      </w:r>
      <w:r>
        <w:rPr>
          <w:spacing w:val="1"/>
        </w:rPr>
        <w:t> </w:t>
      </w:r>
      <w:r>
        <w:rPr/>
        <w:t>allowance for additional future bus stops. Universal access parking bays are conveniently located at</w:t>
      </w:r>
      <w:r>
        <w:rPr>
          <w:spacing w:val="-50"/>
        </w:rPr>
        <w:t> </w:t>
      </w:r>
      <w:r>
        <w:rPr/>
        <w:t>the</w:t>
      </w:r>
      <w:r>
        <w:rPr>
          <w:spacing w:val="-2"/>
        </w:rPr>
        <w:t> </w:t>
      </w:r>
      <w:r>
        <w:rPr/>
        <w:t>north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station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direct</w:t>
      </w:r>
      <w:r>
        <w:rPr>
          <w:spacing w:val="-1"/>
        </w:rPr>
        <w:t> </w:t>
      </w:r>
      <w:r>
        <w:rPr/>
        <w:t>access to the</w:t>
      </w:r>
      <w:r>
        <w:rPr>
          <w:spacing w:val="-1"/>
        </w:rPr>
        <w:t> </w:t>
      </w:r>
      <w:r>
        <w:rPr/>
        <w:t>north ramp to the concourse.</w:t>
      </w:r>
    </w:p>
    <w:p>
      <w:pPr>
        <w:pStyle w:val="BodyText"/>
        <w:spacing w:before="122"/>
        <w:ind w:left="538" w:right="951"/>
      </w:pPr>
      <w:r>
        <w:rPr/>
        <w:t>Bicycle parking is provided at station entries to make cycling both attractive and a safe way of</w:t>
      </w:r>
      <w:r>
        <w:rPr>
          <w:spacing w:val="1"/>
        </w:rPr>
        <w:t> </w:t>
      </w:r>
      <w:r>
        <w:rPr/>
        <w:t>travelling to Arden Station (refer to bicycle facilities in </w:t>
      </w:r>
      <w:hyperlink w:history="true" w:anchor="_bookmark37">
        <w:r>
          <w:rPr/>
          <w:t>Figure 9</w:t>
        </w:r>
      </w:hyperlink>
      <w:r>
        <w:rPr/>
        <w:t>). New bus stops (for future bus routes)</w:t>
      </w:r>
      <w:r>
        <w:rPr>
          <w:spacing w:val="-50"/>
        </w:rPr>
        <w:t> </w:t>
      </w:r>
      <w:r>
        <w:rPr/>
        <w:t>with shelters on Laurens Street will allow passengers to readily connect with trains. While kiss-and-</w:t>
      </w:r>
      <w:r>
        <w:rPr>
          <w:spacing w:val="1"/>
        </w:rPr>
        <w:t> </w:t>
      </w:r>
      <w:r>
        <w:rPr/>
        <w:t>ride, service vehicles, provision for rail replacement bus services and taxi bays have been integrated</w:t>
      </w:r>
      <w:r>
        <w:rPr>
          <w:spacing w:val="1"/>
        </w:rPr>
        <w:t> </w:t>
      </w:r>
      <w:r>
        <w:rPr/>
        <w:t>into the public realm — these are located on Laurens Street, south of Laurens Lane. These</w:t>
      </w:r>
      <w:r>
        <w:rPr>
          <w:spacing w:val="1"/>
        </w:rPr>
        <w:t> </w:t>
      </w:r>
      <w:r>
        <w:rPr/>
        <w:t>arrangements are shown on </w:t>
      </w:r>
      <w:hyperlink w:history="true" w:anchor="_bookmark38">
        <w:r>
          <w:rPr/>
          <w:t>Figure 10. </w:t>
        </w:r>
      </w:hyperlink>
      <w:r>
        <w:rPr/>
        <w:t>Additionally, the design accommodates station staff parking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Barwise</w:t>
      </w:r>
      <w:r>
        <w:rPr>
          <w:spacing w:val="-1"/>
        </w:rPr>
        <w:t> </w:t>
      </w:r>
      <w:r>
        <w:rPr/>
        <w:t>Street.</w:t>
      </w:r>
    </w:p>
    <w:p>
      <w:pPr>
        <w:pStyle w:val="BodyText"/>
        <w:spacing w:before="120"/>
        <w:ind w:left="538" w:right="1013"/>
      </w:pPr>
      <w:r>
        <w:rPr/>
        <w:t>The Arden Station design is consistent with the future development of the wider transport network as</w:t>
      </w:r>
      <w:r>
        <w:rPr>
          <w:spacing w:val="-51"/>
        </w:rPr>
        <w:t> </w:t>
      </w:r>
      <w:r>
        <w:rPr/>
        <w:t>proposed within the draft Arden Structure Plan (2020). This includes the future extension of Fogarty</w:t>
      </w:r>
      <w:r>
        <w:rPr>
          <w:spacing w:val="1"/>
        </w:rPr>
        <w:t> </w:t>
      </w:r>
      <w:r>
        <w:rPr/>
        <w:t>Street and Queensberry Street as illustrated in </w:t>
      </w:r>
      <w:hyperlink w:history="true" w:anchor="_bookmark39">
        <w:r>
          <w:rPr>
            <w:sz w:val="18"/>
          </w:rPr>
          <w:t>Figure 11</w:t>
        </w:r>
        <w:r>
          <w:rPr/>
          <w:t>. </w:t>
        </w:r>
      </w:hyperlink>
      <w:r>
        <w:rPr/>
        <w:t>In addition, while there are currently no</w:t>
      </w:r>
      <w:r>
        <w:rPr>
          <w:spacing w:val="1"/>
        </w:rPr>
        <w:t> </w:t>
      </w:r>
      <w:r>
        <w:rPr/>
        <w:t>tram services that stop at Arden Station, the design of the station precinct allows for future tram</w:t>
      </w:r>
      <w:r>
        <w:rPr>
          <w:spacing w:val="1"/>
        </w:rPr>
        <w:t> </w:t>
      </w:r>
      <w:r>
        <w:rPr/>
        <w:t>extensions along Arden Street and / or Laurens Street that have been identified as ‘high capacity</w:t>
      </w:r>
      <w:r>
        <w:rPr>
          <w:spacing w:val="1"/>
        </w:rPr>
        <w:t> </w:t>
      </w:r>
      <w:r>
        <w:rPr/>
        <w:t>public</w:t>
      </w:r>
      <w:r>
        <w:rPr>
          <w:spacing w:val="-1"/>
        </w:rPr>
        <w:t> </w:t>
      </w:r>
      <w:r>
        <w:rPr/>
        <w:t>transport</w:t>
      </w:r>
      <w:r>
        <w:rPr>
          <w:spacing w:val="-1"/>
        </w:rPr>
        <w:t> </w:t>
      </w:r>
      <w:r>
        <w:rPr/>
        <w:t>capable’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draft</w:t>
      </w:r>
      <w:r>
        <w:rPr>
          <w:spacing w:val="-1"/>
        </w:rPr>
        <w:t> </w:t>
      </w:r>
      <w:r>
        <w:rPr/>
        <w:t>Arden</w:t>
      </w:r>
      <w:r>
        <w:rPr>
          <w:spacing w:val="-1"/>
        </w:rPr>
        <w:t> </w:t>
      </w:r>
      <w:r>
        <w:rPr/>
        <w:t>Structure</w:t>
      </w:r>
      <w:r>
        <w:rPr>
          <w:spacing w:val="-1"/>
        </w:rPr>
        <w:t> </w:t>
      </w:r>
      <w:r>
        <w:rPr/>
        <w:t>Plan</w:t>
      </w:r>
      <w:r>
        <w:rPr>
          <w:spacing w:val="-2"/>
        </w:rPr>
        <w:t> </w:t>
      </w:r>
      <w:r>
        <w:rPr/>
        <w:t>(2020).</w:t>
      </w:r>
    </w:p>
    <w:p>
      <w:pPr>
        <w:spacing w:after="0"/>
        <w:sectPr>
          <w:headerReference w:type="default" r:id="rId43"/>
          <w:footerReference w:type="default" r:id="rId44"/>
          <w:pgSz w:w="11910" w:h="16840"/>
          <w:pgMar w:header="0" w:footer="445" w:top="940" w:bottom="640" w:left="880" w:right="1020"/>
        </w:sect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drawing>
          <wp:inline distT="0" distB="0" distL="0" distR="0">
            <wp:extent cx="9420100" cy="658368"/>
            <wp:effectExtent l="0" t="0" r="0" b="0"/>
            <wp:docPr id="4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0100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900430</wp:posOffset>
            </wp:positionH>
            <wp:positionV relativeFrom="paragraph">
              <wp:posOffset>163576</wp:posOffset>
            </wp:positionV>
            <wp:extent cx="6522359" cy="4392168"/>
            <wp:effectExtent l="0" t="0" r="0" b="0"/>
            <wp:wrapTopAndBottom/>
            <wp:docPr id="4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359" cy="439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4"/>
        <w:ind w:left="478" w:right="0" w:firstLine="0"/>
        <w:jc w:val="left"/>
        <w:rPr>
          <w:sz w:val="18"/>
        </w:rPr>
      </w:pPr>
      <w:bookmarkStart w:name="_bookmark38" w:id="100"/>
      <w:bookmarkEnd w:id="100"/>
      <w:r>
        <w:rPr/>
      </w:r>
      <w:r>
        <w:rPr>
          <w:sz w:val="18"/>
        </w:rPr>
        <w:t>Figure</w:t>
      </w:r>
      <w:r>
        <w:rPr>
          <w:spacing w:val="-4"/>
          <w:sz w:val="18"/>
        </w:rPr>
        <w:t> </w:t>
      </w:r>
      <w:r>
        <w:rPr>
          <w:sz w:val="18"/>
        </w:rPr>
        <w:t>10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Transport</w:t>
      </w:r>
      <w:r>
        <w:rPr>
          <w:spacing w:val="-2"/>
          <w:sz w:val="18"/>
        </w:rPr>
        <w:t> </w:t>
      </w:r>
      <w:r>
        <w:rPr>
          <w:sz w:val="18"/>
        </w:rPr>
        <w:t>integration</w:t>
      </w:r>
      <w:r>
        <w:rPr>
          <w:spacing w:val="-2"/>
          <w:sz w:val="18"/>
        </w:rPr>
        <w:t> </w:t>
      </w:r>
      <w:r>
        <w:rPr>
          <w:sz w:val="18"/>
        </w:rPr>
        <w:t>within</w:t>
      </w:r>
      <w:r>
        <w:rPr>
          <w:spacing w:val="-3"/>
          <w:sz w:val="18"/>
        </w:rPr>
        <w:t> </w:t>
      </w:r>
      <w:r>
        <w:rPr>
          <w:sz w:val="18"/>
        </w:rPr>
        <w:t>the</w:t>
      </w:r>
      <w:r>
        <w:rPr>
          <w:spacing w:val="-2"/>
          <w:sz w:val="18"/>
        </w:rPr>
        <w:t> </w:t>
      </w:r>
      <w:r>
        <w:rPr>
          <w:sz w:val="18"/>
        </w:rPr>
        <w:t>Arden</w:t>
      </w:r>
      <w:r>
        <w:rPr>
          <w:spacing w:val="1"/>
          <w:sz w:val="18"/>
        </w:rPr>
        <w:t> </w:t>
      </w:r>
      <w:r>
        <w:rPr>
          <w:sz w:val="18"/>
        </w:rPr>
        <w:t>Station</w:t>
      </w:r>
      <w:r>
        <w:rPr>
          <w:spacing w:val="-1"/>
          <w:sz w:val="18"/>
        </w:rPr>
        <w:t> </w:t>
      </w:r>
      <w:r>
        <w:rPr>
          <w:sz w:val="18"/>
        </w:rPr>
        <w:t>precinct</w:t>
      </w:r>
    </w:p>
    <w:p>
      <w:pPr>
        <w:spacing w:after="0"/>
        <w:jc w:val="left"/>
        <w:rPr>
          <w:sz w:val="18"/>
        </w:rPr>
        <w:sectPr>
          <w:headerReference w:type="default" r:id="rId45"/>
          <w:footerReference w:type="default" r:id="rId46"/>
          <w:pgSz w:w="16840" w:h="11910" w:orient="landscape"/>
          <w:pgMar w:header="0" w:footer="445" w:top="740" w:bottom="640" w:left="940" w:right="8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1.650002pt;margin-top:135.404984pt;width:457.25pt;height:584.1pt;mso-position-horizontal-relative:page;mso-position-vertical-relative:page;z-index:15741952" id="docshapegroup76" coordorigin="1433,2708" coordsize="9145,11682">
            <v:shape style="position:absolute;left:1448;top:2723;width:9115;height:11652" type="#_x0000_t75" id="docshape77" stroked="false">
              <v:imagedata r:id="rId50" o:title=""/>
            </v:shape>
            <v:rect style="position:absolute;left:1440;top:2715;width:9130;height:11667" id="docshape78" filled="false" stroked="true" strokeweight=".75pt" strokecolor="#000000">
              <v:stroke dashstyl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spacing w:before="94"/>
        <w:ind w:left="118" w:right="0" w:firstLine="0"/>
        <w:jc w:val="left"/>
        <w:rPr>
          <w:sz w:val="18"/>
        </w:rPr>
      </w:pPr>
      <w:bookmarkStart w:name="_bookmark39" w:id="101"/>
      <w:bookmarkEnd w:id="101"/>
      <w:r>
        <w:rPr/>
      </w:r>
      <w:r>
        <w:rPr>
          <w:sz w:val="18"/>
        </w:rPr>
        <w:t>Figure</w:t>
      </w:r>
      <w:r>
        <w:rPr>
          <w:spacing w:val="-3"/>
          <w:sz w:val="18"/>
        </w:rPr>
        <w:t> </w:t>
      </w:r>
      <w:r>
        <w:rPr>
          <w:sz w:val="18"/>
        </w:rPr>
        <w:t>11</w:t>
      </w:r>
      <w:r>
        <w:rPr>
          <w:spacing w:val="47"/>
          <w:sz w:val="18"/>
        </w:rPr>
        <w:t> </w:t>
      </w:r>
      <w:r>
        <w:rPr>
          <w:sz w:val="18"/>
        </w:rPr>
        <w:t>– Arden’s transport</w:t>
      </w:r>
      <w:r>
        <w:rPr>
          <w:spacing w:val="-3"/>
          <w:sz w:val="18"/>
        </w:rPr>
        <w:t> </w:t>
      </w:r>
      <w:r>
        <w:rPr>
          <w:sz w:val="18"/>
        </w:rPr>
        <w:t>network</w:t>
      </w:r>
      <w:r>
        <w:rPr>
          <w:spacing w:val="-4"/>
          <w:sz w:val="18"/>
        </w:rPr>
        <w:t> </w:t>
      </w:r>
      <w:r>
        <w:rPr>
          <w:sz w:val="18"/>
        </w:rPr>
        <w:t>2051</w:t>
      </w:r>
    </w:p>
    <w:p>
      <w:pPr>
        <w:spacing w:before="121"/>
        <w:ind w:left="118" w:right="0" w:firstLine="0"/>
        <w:jc w:val="left"/>
        <w:rPr>
          <w:i/>
          <w:sz w:val="14"/>
        </w:rPr>
      </w:pPr>
      <w:r>
        <w:rPr>
          <w:i/>
          <w:sz w:val="14"/>
        </w:rPr>
        <w:t>Source:</w:t>
      </w:r>
      <w:r>
        <w:rPr>
          <w:i/>
          <w:spacing w:val="-4"/>
          <w:sz w:val="14"/>
        </w:rPr>
        <w:t> </w:t>
      </w:r>
      <w:r>
        <w:rPr>
          <w:i/>
          <w:sz w:val="14"/>
        </w:rPr>
        <w:t>Draft</w:t>
      </w:r>
      <w:r>
        <w:rPr>
          <w:i/>
          <w:spacing w:val="-3"/>
          <w:sz w:val="14"/>
        </w:rPr>
        <w:t> </w:t>
      </w:r>
      <w:r>
        <w:rPr>
          <w:i/>
          <w:sz w:val="14"/>
        </w:rPr>
        <w:t>Arden</w:t>
      </w:r>
      <w:r>
        <w:rPr>
          <w:i/>
          <w:spacing w:val="-4"/>
          <w:sz w:val="14"/>
        </w:rPr>
        <w:t> </w:t>
      </w:r>
      <w:r>
        <w:rPr>
          <w:i/>
          <w:sz w:val="14"/>
        </w:rPr>
        <w:t>Structure</w:t>
      </w:r>
      <w:r>
        <w:rPr>
          <w:i/>
          <w:spacing w:val="-1"/>
          <w:sz w:val="14"/>
        </w:rPr>
        <w:t> </w:t>
      </w:r>
      <w:r>
        <w:rPr>
          <w:i/>
          <w:sz w:val="14"/>
        </w:rPr>
        <w:t>Plan</w:t>
      </w:r>
      <w:r>
        <w:rPr>
          <w:i/>
          <w:spacing w:val="-2"/>
          <w:sz w:val="14"/>
        </w:rPr>
        <w:t> </w:t>
      </w:r>
      <w:r>
        <w:rPr>
          <w:i/>
          <w:sz w:val="14"/>
        </w:rPr>
        <w:t>(2020) –</w:t>
      </w:r>
      <w:r>
        <w:rPr>
          <w:i/>
          <w:spacing w:val="-1"/>
          <w:sz w:val="14"/>
        </w:rPr>
        <w:t> </w:t>
      </w:r>
      <w:r>
        <w:rPr>
          <w:i/>
          <w:sz w:val="14"/>
        </w:rPr>
        <w:t>page</w:t>
      </w:r>
      <w:r>
        <w:rPr>
          <w:i/>
          <w:spacing w:val="-2"/>
          <w:sz w:val="14"/>
        </w:rPr>
        <w:t> </w:t>
      </w:r>
      <w:r>
        <w:rPr>
          <w:i/>
          <w:sz w:val="14"/>
        </w:rPr>
        <w:t>65</w:t>
      </w:r>
    </w:p>
    <w:p>
      <w:pPr>
        <w:spacing w:after="0"/>
        <w:jc w:val="left"/>
        <w:rPr>
          <w:sz w:val="14"/>
        </w:rPr>
        <w:sectPr>
          <w:headerReference w:type="default" r:id="rId48"/>
          <w:footerReference w:type="default" r:id="rId49"/>
          <w:pgSz w:w="11910" w:h="16840"/>
          <w:pgMar w:header="936" w:footer="365" w:top="1900" w:bottom="560" w:left="1300" w:right="1680"/>
          <w:pgNumType w:start="5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7"/>
        </w:rPr>
      </w:pPr>
    </w:p>
    <w:p>
      <w:pPr>
        <w:pStyle w:val="Heading3"/>
        <w:numPr>
          <w:ilvl w:val="2"/>
          <w:numId w:val="5"/>
        </w:numPr>
        <w:tabs>
          <w:tab w:pos="971" w:val="left" w:leader="none"/>
        </w:tabs>
        <w:spacing w:line="240" w:lineRule="auto" w:before="92" w:after="0"/>
        <w:ind w:left="970" w:right="0" w:hanging="853"/>
        <w:jc w:val="left"/>
      </w:pPr>
      <w:bookmarkStart w:name="_bookmark40" w:id="102"/>
      <w:bookmarkEnd w:id="102"/>
      <w:r>
        <w:rPr/>
      </w:r>
      <w:bookmarkStart w:name="_bookmark40" w:id="103"/>
      <w:bookmarkEnd w:id="103"/>
      <w:r>
        <w:rPr>
          <w:color w:val="808080"/>
        </w:rPr>
        <w:t>LI</w:t>
      </w:r>
      <w:r>
        <w:rPr>
          <w:color w:val="808080"/>
        </w:rPr>
        <w:t>GHTING</w:t>
      </w:r>
    </w:p>
    <w:p>
      <w:pPr>
        <w:pStyle w:val="BodyText"/>
        <w:spacing w:before="123"/>
        <w:ind w:left="118" w:right="384"/>
      </w:pPr>
      <w:r>
        <w:rPr/>
        <w:t>The public realm lighting is designed with deliberate consideration of the experience of those visiting</w:t>
      </w:r>
      <w:r>
        <w:rPr>
          <w:spacing w:val="-50"/>
        </w:rPr>
        <w:t> </w:t>
      </w:r>
      <w:r>
        <w:rPr/>
        <w:t>the station and its surrounds, recognising that the station precinct is a key part of the passenger’s</w:t>
      </w:r>
      <w:r>
        <w:rPr>
          <w:spacing w:val="1"/>
        </w:rPr>
        <w:t> </w:t>
      </w:r>
      <w:r>
        <w:rPr/>
        <w:t>journey. Lighting will intuitively guide passengers in their journey from the streets through the station</w:t>
      </w:r>
      <w:r>
        <w:rPr>
          <w:spacing w:val="-50"/>
        </w:rPr>
        <w:t> </w:t>
      </w:r>
      <w:r>
        <w:rPr/>
        <w:t>plaza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entrance.</w:t>
      </w:r>
    </w:p>
    <w:p>
      <w:pPr>
        <w:pStyle w:val="BodyText"/>
        <w:spacing w:before="119"/>
        <w:ind w:left="118"/>
      </w:pPr>
      <w:r>
        <w:rPr/>
        <w:t>Natural</w:t>
      </w:r>
      <w:r>
        <w:rPr>
          <w:spacing w:val="-2"/>
        </w:rPr>
        <w:t> </w:t>
      </w:r>
      <w:r>
        <w:rPr/>
        <w:t>light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enter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station</w:t>
      </w:r>
      <w:r>
        <w:rPr>
          <w:spacing w:val="-3"/>
        </w:rPr>
        <w:t> </w:t>
      </w:r>
      <w:r>
        <w:rPr/>
        <w:t>concourse</w:t>
      </w:r>
      <w:r>
        <w:rPr>
          <w:spacing w:val="-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series of</w:t>
      </w:r>
      <w:r>
        <w:rPr>
          <w:spacing w:val="-2"/>
        </w:rPr>
        <w:t> </w:t>
      </w:r>
      <w:r>
        <w:rPr/>
        <w:t>skylights</w:t>
      </w:r>
      <w:r>
        <w:rPr>
          <w:spacing w:val="-2"/>
        </w:rPr>
        <w:t> </w:t>
      </w:r>
      <w:r>
        <w:rPr/>
        <w:t>installed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ground</w:t>
      </w:r>
      <w:r>
        <w:rPr>
          <w:spacing w:val="-2"/>
        </w:rPr>
        <w:t> </w:t>
      </w:r>
      <w:r>
        <w:rPr/>
        <w:t>level.</w:t>
      </w:r>
    </w:p>
    <w:p>
      <w:pPr>
        <w:pStyle w:val="BodyText"/>
        <w:spacing w:before="120"/>
        <w:ind w:left="118" w:right="585"/>
      </w:pPr>
      <w:r>
        <w:rPr/>
        <w:t>Street and pathway lighting will come from pole-mounted lights, at a scale and form to suit the</w:t>
      </w:r>
      <w:r>
        <w:rPr>
          <w:spacing w:val="1"/>
        </w:rPr>
        <w:t> </w:t>
      </w:r>
      <w:r>
        <w:rPr/>
        <w:t>purpose and local context. Green space and seating within the station plaza invites passengers to</w:t>
      </w:r>
      <w:r>
        <w:rPr>
          <w:spacing w:val="-50"/>
        </w:rPr>
        <w:t> </w:t>
      </w:r>
      <w:r>
        <w:rPr/>
        <w:t>spend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moment</w:t>
      </w:r>
      <w:r>
        <w:rPr>
          <w:spacing w:val="-1"/>
        </w:rPr>
        <w:t> </w:t>
      </w:r>
      <w:r>
        <w:rPr/>
        <w:t>interacting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precinct</w:t>
      </w:r>
      <w:r>
        <w:rPr>
          <w:spacing w:val="-2"/>
        </w:rPr>
        <w:t> </w:t>
      </w:r>
      <w:r>
        <w:rPr/>
        <w:t>and the local</w:t>
      </w:r>
      <w:r>
        <w:rPr>
          <w:spacing w:val="1"/>
        </w:rPr>
        <w:t> </w:t>
      </w:r>
      <w:r>
        <w:rPr/>
        <w:t>community.</w:t>
      </w:r>
    </w:p>
    <w:p>
      <w:pPr>
        <w:pStyle w:val="BodyText"/>
        <w:spacing w:before="121"/>
        <w:ind w:left="118" w:right="481"/>
        <w:jc w:val="both"/>
      </w:pPr>
      <w:r>
        <w:rPr/>
        <w:t>During detailed design, additional details have been provided regarding lighting specifications. The</w:t>
      </w:r>
      <w:r>
        <w:rPr>
          <w:spacing w:val="1"/>
        </w:rPr>
        <w:t> </w:t>
      </w:r>
      <w:r>
        <w:rPr/>
        <w:t>location of the proposed lights have also been amended and are now shown in the amended public</w:t>
      </w:r>
      <w:r>
        <w:rPr>
          <w:spacing w:val="-50"/>
        </w:rPr>
        <w:t> </w:t>
      </w:r>
      <w:r>
        <w:rPr/>
        <w:t>realm</w:t>
      </w:r>
      <w:r>
        <w:rPr>
          <w:spacing w:val="-2"/>
        </w:rPr>
        <w:t> </w:t>
      </w:r>
      <w:r>
        <w:rPr/>
        <w:t>plans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Appendix D:</w:t>
      </w:r>
      <w:r>
        <w:rPr>
          <w:spacing w:val="-2"/>
        </w:rPr>
        <w:t> </w:t>
      </w:r>
      <w:r>
        <w:rPr/>
        <w:t>Arden</w:t>
      </w:r>
      <w:r>
        <w:rPr>
          <w:spacing w:val="2"/>
        </w:rPr>
        <w:t> </w:t>
      </w:r>
      <w:r>
        <w:rPr/>
        <w:t>Station Precinct</w:t>
      </w:r>
      <w:r>
        <w:rPr>
          <w:spacing w:val="-1"/>
        </w:rPr>
        <w:t> </w:t>
      </w:r>
      <w:r>
        <w:rPr/>
        <w:t>Public</w:t>
      </w:r>
      <w:r>
        <w:rPr>
          <w:spacing w:val="-3"/>
        </w:rPr>
        <w:t> </w:t>
      </w:r>
      <w:r>
        <w:rPr/>
        <w:t>Realm</w:t>
      </w:r>
      <w:r>
        <w:rPr>
          <w:spacing w:val="-1"/>
        </w:rPr>
        <w:t> </w:t>
      </w:r>
      <w:r>
        <w:rPr/>
        <w:t>Plans.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Heading3"/>
        <w:numPr>
          <w:ilvl w:val="2"/>
          <w:numId w:val="5"/>
        </w:numPr>
        <w:tabs>
          <w:tab w:pos="971" w:val="left" w:leader="none"/>
        </w:tabs>
        <w:spacing w:line="240" w:lineRule="auto" w:before="0" w:after="0"/>
        <w:ind w:left="970" w:right="0" w:hanging="853"/>
        <w:jc w:val="left"/>
      </w:pPr>
      <w:bookmarkStart w:name="_bookmark41" w:id="104"/>
      <w:bookmarkEnd w:id="104"/>
      <w:r>
        <w:rPr/>
      </w:r>
      <w:bookmarkStart w:name="_bookmark41" w:id="105"/>
      <w:bookmarkEnd w:id="105"/>
      <w:r>
        <w:rPr>
          <w:color w:val="808080"/>
        </w:rPr>
        <w:t>SI</w:t>
      </w:r>
      <w:r>
        <w:rPr>
          <w:color w:val="808080"/>
        </w:rPr>
        <w:t>GNAGE</w:t>
      </w:r>
    </w:p>
    <w:p>
      <w:pPr>
        <w:pStyle w:val="BodyText"/>
        <w:spacing w:before="120"/>
        <w:ind w:left="118" w:right="321"/>
      </w:pPr>
      <w:r>
        <w:rPr/>
        <w:t>Careful effort has been taken in planning and designing the stations to reduce the amount of signage</w:t>
      </w:r>
      <w:r>
        <w:rPr>
          <w:spacing w:val="-50"/>
        </w:rPr>
        <w:t> </w:t>
      </w:r>
      <w:r>
        <w:rPr/>
        <w:t>required. Internal and external spaces have been designed to support intuitive movement with</w:t>
      </w:r>
      <w:r>
        <w:rPr>
          <w:spacing w:val="1"/>
        </w:rPr>
        <w:t> </w:t>
      </w:r>
      <w:r>
        <w:rPr/>
        <w:t>minimal reliance on signage. Signage is presented in a logical sequence based on providing the right</w:t>
      </w:r>
      <w:r>
        <w:rPr>
          <w:spacing w:val="-51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the right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and in</w:t>
      </w:r>
      <w:r>
        <w:rPr>
          <w:spacing w:val="-1"/>
        </w:rPr>
        <w:t> </w:t>
      </w:r>
      <w:r>
        <w:rPr/>
        <w:t>the right</w:t>
      </w:r>
      <w:r>
        <w:rPr>
          <w:spacing w:val="-1"/>
        </w:rPr>
        <w:t> </w:t>
      </w:r>
      <w:r>
        <w:rPr/>
        <w:t>place.</w:t>
      </w:r>
    </w:p>
    <w:p>
      <w:pPr>
        <w:pStyle w:val="BodyText"/>
        <w:spacing w:before="122"/>
        <w:ind w:left="118" w:right="796"/>
      </w:pPr>
      <w:r>
        <w:rPr/>
        <w:t>A family of sign types has been developed and applied consistently across all stations and their</w:t>
      </w:r>
      <w:r>
        <w:rPr>
          <w:spacing w:val="-51"/>
        </w:rPr>
        <w:t> </w:t>
      </w:r>
      <w:r>
        <w:rPr/>
        <w:t>precincts. Signs are categorised into four main functional groups; identification, directional,</w:t>
      </w:r>
      <w:r>
        <w:rPr>
          <w:spacing w:val="1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statutory.</w:t>
      </w:r>
    </w:p>
    <w:p>
      <w:pPr>
        <w:pStyle w:val="BodyText"/>
        <w:spacing w:before="120"/>
        <w:ind w:left="118" w:right="543"/>
      </w:pPr>
      <w:r>
        <w:rPr/>
        <w:t>The signage system has been designed based on PTV signage guidelines. This ensures a system</w:t>
      </w:r>
      <w:r>
        <w:rPr>
          <w:spacing w:val="-50"/>
        </w:rPr>
        <w:t> </w:t>
      </w:r>
      <w:r>
        <w:rPr/>
        <w:t>that is consistent, predictable and recognisable to users across Melbourne’s transport network. A</w:t>
      </w:r>
      <w:r>
        <w:rPr>
          <w:spacing w:val="1"/>
        </w:rPr>
        <w:t> </w:t>
      </w:r>
      <w:r>
        <w:rPr/>
        <w:t>combination of static and digital signage has been used to provide an element of permanence and</w:t>
      </w:r>
      <w:r>
        <w:rPr>
          <w:spacing w:val="-50"/>
        </w:rPr>
        <w:t> </w:t>
      </w:r>
      <w:r>
        <w:rPr/>
        <w:t>consistency,</w:t>
      </w:r>
      <w:r>
        <w:rPr>
          <w:spacing w:val="-2"/>
        </w:rPr>
        <w:t> </w:t>
      </w:r>
      <w:r>
        <w:rPr/>
        <w:t>while</w:t>
      </w:r>
      <w:r>
        <w:rPr>
          <w:spacing w:val="-2"/>
        </w:rPr>
        <w:t> </w:t>
      </w:r>
      <w:r>
        <w:rPr/>
        <w:t>allowing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flexibility to</w:t>
      </w:r>
      <w:r>
        <w:rPr>
          <w:spacing w:val="-2"/>
        </w:rPr>
        <w:t> </w:t>
      </w:r>
      <w:r>
        <w:rPr/>
        <w:t>change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adapt where</w:t>
      </w:r>
      <w:r>
        <w:rPr>
          <w:spacing w:val="-2"/>
        </w:rPr>
        <w:t> </w:t>
      </w:r>
      <w:r>
        <w:rPr/>
        <w:t>necessary.</w:t>
      </w:r>
    </w:p>
    <w:p>
      <w:pPr>
        <w:pStyle w:val="BodyText"/>
        <w:spacing w:before="120"/>
        <w:ind w:left="118" w:right="307"/>
      </w:pPr>
      <w:r>
        <w:rPr/>
        <w:t>For the departing passenger, stations will be identified from a distance by a 5m high illuminated</w:t>
      </w:r>
      <w:r>
        <w:rPr>
          <w:spacing w:val="1"/>
        </w:rPr>
        <w:t> </w:t>
      </w:r>
      <w:r>
        <w:rPr/>
        <w:t>station</w:t>
      </w:r>
      <w:r>
        <w:rPr>
          <w:spacing w:val="1"/>
        </w:rPr>
        <w:t> </w:t>
      </w:r>
      <w:r>
        <w:rPr/>
        <w:t>marker</w:t>
      </w:r>
      <w:r>
        <w:rPr>
          <w:spacing w:val="1"/>
        </w:rPr>
        <w:t> </w:t>
      </w:r>
      <w:r>
        <w:rPr/>
        <w:t>sign located</w:t>
      </w:r>
      <w:r>
        <w:rPr>
          <w:spacing w:val="3"/>
        </w:rPr>
        <w:t> </w:t>
      </w:r>
      <w:r>
        <w:rPr/>
        <w:t>at</w:t>
      </w:r>
      <w:r>
        <w:rPr>
          <w:spacing w:val="1"/>
        </w:rPr>
        <w:t> </w:t>
      </w:r>
      <w:r>
        <w:rPr/>
        <w:t>street</w:t>
      </w:r>
      <w:r>
        <w:rPr>
          <w:spacing w:val="1"/>
        </w:rPr>
        <w:t> </w:t>
      </w:r>
      <w:r>
        <w:rPr/>
        <w:t>level.</w:t>
      </w:r>
      <w:r>
        <w:rPr>
          <w:spacing w:val="2"/>
        </w:rPr>
        <w:t> </w:t>
      </w:r>
      <w:r>
        <w:rPr/>
        <w:t>Entrances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stations</w:t>
      </w:r>
      <w:r>
        <w:rPr>
          <w:spacing w:val="4"/>
        </w:rPr>
        <w:t> </w:t>
      </w:r>
      <w:r>
        <w:rPr/>
        <w:t>will</w:t>
      </w:r>
      <w:r>
        <w:rPr>
          <w:spacing w:val="2"/>
        </w:rPr>
        <w:t> </w:t>
      </w:r>
      <w:r>
        <w:rPr/>
        <w:t>be identified</w:t>
      </w:r>
      <w:r>
        <w:rPr>
          <w:spacing w:val="2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legible</w:t>
      </w:r>
      <w:r>
        <w:rPr>
          <w:spacing w:val="1"/>
        </w:rPr>
        <w:t> </w:t>
      </w:r>
      <w:r>
        <w:rPr/>
        <w:t>city totem and station name sign above all entry points. At the concourse level, directional signs will</w:t>
      </w:r>
      <w:r>
        <w:rPr>
          <w:spacing w:val="1"/>
        </w:rPr>
        <w:t> </w:t>
      </w:r>
      <w:r>
        <w:rPr/>
        <w:t>highlight the location of station facilities and direct passengers down to platforms. Once on the</w:t>
      </w:r>
      <w:r>
        <w:rPr>
          <w:spacing w:val="1"/>
        </w:rPr>
        <w:t> </w:t>
      </w:r>
      <w:r>
        <w:rPr/>
        <w:t>platform, information for departing passengers will be contained within and above the platform screen</w:t>
      </w:r>
      <w:r>
        <w:rPr>
          <w:spacing w:val="-50"/>
        </w:rPr>
        <w:t> </w:t>
      </w:r>
      <w:r>
        <w:rPr/>
        <w:t>doors.</w:t>
      </w:r>
    </w:p>
    <w:p>
      <w:pPr>
        <w:pStyle w:val="BodyText"/>
        <w:spacing w:before="120"/>
        <w:ind w:left="118" w:right="375"/>
      </w:pPr>
      <w:r>
        <w:rPr/>
        <w:t>For a passenger arriving on the train, station names located trackside and along the platform will</w:t>
      </w:r>
      <w:r>
        <w:rPr>
          <w:spacing w:val="1"/>
        </w:rPr>
        <w:t> </w:t>
      </w:r>
      <w:r>
        <w:rPr/>
        <w:t>confirm arrival at the station. After alighting, ‘way out’ signage will direct passengers to the nearest</w:t>
      </w:r>
      <w:r>
        <w:rPr>
          <w:spacing w:val="1"/>
        </w:rPr>
        <w:t> </w:t>
      </w:r>
      <w:r>
        <w:rPr/>
        <w:t>escalators/stairs and lifts. Signage content on the platform is kept to a minimum to promote easy</w:t>
      </w:r>
      <w:r>
        <w:rPr>
          <w:spacing w:val="1"/>
        </w:rPr>
        <w:t> </w:t>
      </w:r>
      <w:r>
        <w:rPr/>
        <w:t>decision making and ensure passengers exit safely and efficiently. At concourse level, directional</w:t>
      </w:r>
      <w:r>
        <w:rPr>
          <w:spacing w:val="1"/>
        </w:rPr>
        <w:t> </w:t>
      </w:r>
      <w:r>
        <w:rPr/>
        <w:t>signage clearly indicates where each of the exit points are located, and which street each of the</w:t>
      </w:r>
      <w:r>
        <w:rPr>
          <w:spacing w:val="1"/>
        </w:rPr>
        <w:t> </w:t>
      </w:r>
      <w:r>
        <w:rPr/>
        <w:t>escalators/stairs and lifts lead to. Exit guides (in the form of a map) provide further information for</w:t>
      </w:r>
      <w:r>
        <w:rPr>
          <w:spacing w:val="1"/>
        </w:rPr>
        <w:t> </w:t>
      </w:r>
      <w:r>
        <w:rPr/>
        <w:t>passengers requiring more detail. At street level, a legible city totem is located close to all exit points</w:t>
      </w:r>
      <w:r>
        <w:rPr>
          <w:spacing w:val="-50"/>
        </w:rPr>
        <w:t> </w:t>
      </w:r>
      <w:r>
        <w:rPr/>
        <w:t>to</w:t>
      </w:r>
      <w:r>
        <w:rPr>
          <w:spacing w:val="-2"/>
        </w:rPr>
        <w:t> </w:t>
      </w:r>
      <w:r>
        <w:rPr/>
        <w:t>help</w:t>
      </w:r>
      <w:r>
        <w:rPr>
          <w:spacing w:val="-1"/>
        </w:rPr>
        <w:t> </w:t>
      </w:r>
      <w:r>
        <w:rPr/>
        <w:t>passengers locate</w:t>
      </w:r>
      <w:r>
        <w:rPr>
          <w:spacing w:val="-2"/>
        </w:rPr>
        <w:t> </w:t>
      </w:r>
      <w:r>
        <w:rPr/>
        <w:t>key destinations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nearby</w:t>
      </w:r>
      <w:r>
        <w:rPr>
          <w:spacing w:val="1"/>
        </w:rPr>
        <w:t> </w:t>
      </w:r>
      <w:r>
        <w:rPr/>
        <w:t>bus stops.</w:t>
      </w:r>
    </w:p>
    <w:p>
      <w:pPr>
        <w:pStyle w:val="BodyText"/>
        <w:spacing w:before="120"/>
        <w:ind w:left="118" w:right="540"/>
        <w:jc w:val="both"/>
      </w:pPr>
      <w:r>
        <w:rPr/>
        <w:t>Location and signage hierarchy is detailed in </w:t>
      </w:r>
      <w:hyperlink w:history="true" w:anchor="_bookmark0">
        <w:r>
          <w:rPr/>
          <w:t>Appendix A: Arden Station Precinct Site Layout Plan</w:t>
        </w:r>
      </w:hyperlink>
      <w:r>
        <w:rPr/>
        <w:t>,</w:t>
      </w:r>
      <w:r>
        <w:rPr>
          <w:spacing w:val="-50"/>
        </w:rPr>
        <w:t> </w:t>
      </w:r>
      <w:r>
        <w:rPr/>
        <w:t>drawing</w:t>
      </w:r>
      <w:r>
        <w:rPr>
          <w:spacing w:val="-2"/>
        </w:rPr>
        <w:t> </w:t>
      </w:r>
      <w:r>
        <w:rPr/>
        <w:t>TAS-CYP-AR-00-DRG-AUD-ARD-710200-DP.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Heading3"/>
        <w:numPr>
          <w:ilvl w:val="2"/>
          <w:numId w:val="5"/>
        </w:numPr>
        <w:tabs>
          <w:tab w:pos="971" w:val="left" w:leader="none"/>
        </w:tabs>
        <w:spacing w:line="240" w:lineRule="auto" w:before="0" w:after="0"/>
        <w:ind w:left="970" w:right="0" w:hanging="853"/>
        <w:jc w:val="left"/>
      </w:pPr>
      <w:bookmarkStart w:name="_bookmark42" w:id="106"/>
      <w:bookmarkEnd w:id="106"/>
      <w:r>
        <w:rPr/>
      </w:r>
      <w:bookmarkStart w:name="_bookmark42" w:id="107"/>
      <w:bookmarkEnd w:id="107"/>
      <w:r>
        <w:rPr>
          <w:color w:val="808080"/>
        </w:rPr>
        <w:t>A</w:t>
      </w:r>
      <w:r>
        <w:rPr>
          <w:color w:val="808080"/>
        </w:rPr>
        <w:t>NCILLARY</w:t>
      </w:r>
      <w:r>
        <w:rPr>
          <w:color w:val="808080"/>
          <w:spacing w:val="-8"/>
        </w:rPr>
        <w:t> </w:t>
      </w:r>
      <w:r>
        <w:rPr>
          <w:color w:val="808080"/>
        </w:rPr>
        <w:t>FEATURES</w:t>
      </w:r>
    </w:p>
    <w:p>
      <w:pPr>
        <w:pStyle w:val="BodyText"/>
        <w:spacing w:before="123"/>
        <w:ind w:left="118" w:right="299"/>
      </w:pPr>
      <w:r>
        <w:rPr/>
        <w:t>Station ventilation structures and a chiller plant have been consolidated and strategically placed</w:t>
      </w:r>
      <w:r>
        <w:rPr>
          <w:spacing w:val="1"/>
        </w:rPr>
        <w:t> </w:t>
      </w:r>
      <w:r>
        <w:rPr/>
        <w:t>within the station building to avoid being visible in the public realm. This placement makes them less</w:t>
      </w:r>
      <w:r>
        <w:rPr>
          <w:spacing w:val="1"/>
        </w:rPr>
        <w:t> </w:t>
      </w:r>
      <w:r>
        <w:rPr/>
        <w:t>visibly obtrusive, reducing their potential to impede on sightlines and future development of the Arden</w:t>
      </w:r>
      <w:r>
        <w:rPr>
          <w:spacing w:val="-50"/>
        </w:rPr>
        <w:t> </w:t>
      </w:r>
      <w:r>
        <w:rPr/>
        <w:t>Station</w:t>
      </w:r>
      <w:r>
        <w:rPr>
          <w:spacing w:val="-1"/>
        </w:rPr>
        <w:t> </w:t>
      </w:r>
      <w:r>
        <w:rPr/>
        <w:t>precinct.</w:t>
      </w:r>
    </w:p>
    <w:p>
      <w:pPr>
        <w:spacing w:after="0"/>
        <w:sectPr>
          <w:pgSz w:w="11910" w:h="16840"/>
          <w:pgMar w:header="936" w:footer="365" w:top="1900" w:bottom="640" w:left="130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spacing w:before="93"/>
        <w:ind w:left="118" w:right="331"/>
      </w:pPr>
      <w:r>
        <w:rPr/>
        <w:t>Other maintenance and back of house facilities are located in the Western Building, located off</w:t>
      </w:r>
      <w:r>
        <w:rPr>
          <w:spacing w:val="1"/>
        </w:rPr>
        <w:t> </w:t>
      </w:r>
      <w:r>
        <w:rPr/>
        <w:t>Fogarty Street. The footprint of this building has been reduced through incorporating as much</w:t>
      </w:r>
      <w:r>
        <w:rPr>
          <w:spacing w:val="1"/>
        </w:rPr>
        <w:t> </w:t>
      </w:r>
      <w:r>
        <w:rPr/>
        <w:t>infrastructure underground as possible, without precluding OSD. This building is intended to be</w:t>
      </w:r>
      <w:r>
        <w:rPr>
          <w:spacing w:val="1"/>
        </w:rPr>
        <w:t> </w:t>
      </w:r>
      <w:r>
        <w:rPr/>
        <w:t>integrated into the future development of the Arden precinct, as identified in the draft Arden Structure</w:t>
      </w:r>
      <w:r>
        <w:rPr>
          <w:spacing w:val="-50"/>
        </w:rPr>
        <w:t> </w:t>
      </w:r>
      <w:r>
        <w:rPr/>
        <w:t>Plan</w:t>
      </w:r>
      <w:r>
        <w:rPr>
          <w:spacing w:val="-1"/>
        </w:rPr>
        <w:t> </w:t>
      </w:r>
      <w:r>
        <w:rPr/>
        <w:t>(2020)</w:t>
      </w:r>
      <w:r>
        <w:rPr>
          <w:spacing w:val="-1"/>
        </w:rPr>
        <w:t> </w:t>
      </w:r>
      <w:r>
        <w:rPr/>
        <w:t>(refer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Sections</w:t>
      </w:r>
      <w:r>
        <w:rPr>
          <w:spacing w:val="2"/>
        </w:rPr>
        <w:t> </w:t>
      </w:r>
      <w:hyperlink w:history="true" w:anchor="_bookmark13">
        <w:r>
          <w:rPr/>
          <w:t>2.1 </w:t>
        </w:r>
      </w:hyperlink>
      <w:r>
        <w:rPr/>
        <w:t>and </w:t>
      </w:r>
      <w:hyperlink w:history="true" w:anchor="_bookmark26">
        <w:r>
          <w:rPr/>
          <w:t>4.3.1</w:t>
        </w:r>
      </w:hyperlink>
      <w:r>
        <w:rPr/>
        <w:t>).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3"/>
        <w:numPr>
          <w:ilvl w:val="2"/>
          <w:numId w:val="5"/>
        </w:numPr>
        <w:tabs>
          <w:tab w:pos="971" w:val="left" w:leader="none"/>
        </w:tabs>
        <w:spacing w:line="240" w:lineRule="auto" w:before="0" w:after="0"/>
        <w:ind w:left="970" w:right="0" w:hanging="853"/>
        <w:jc w:val="left"/>
      </w:pPr>
      <w:bookmarkStart w:name="_bookmark43" w:id="108"/>
      <w:bookmarkEnd w:id="108"/>
      <w:r>
        <w:rPr/>
      </w:r>
      <w:bookmarkStart w:name="_bookmark43" w:id="109"/>
      <w:bookmarkEnd w:id="109"/>
      <w:r>
        <w:rPr>
          <w:color w:val="808080"/>
        </w:rPr>
        <w:t>M</w:t>
      </w:r>
      <w:r>
        <w:rPr>
          <w:color w:val="808080"/>
        </w:rPr>
        <w:t>ATERIALS</w:t>
      </w:r>
      <w:r>
        <w:rPr>
          <w:color w:val="808080"/>
          <w:spacing w:val="-6"/>
        </w:rPr>
        <w:t> </w:t>
      </w:r>
      <w:r>
        <w:rPr>
          <w:color w:val="808080"/>
        </w:rPr>
        <w:t>AND</w:t>
      </w:r>
      <w:r>
        <w:rPr>
          <w:color w:val="808080"/>
          <w:spacing w:val="-7"/>
        </w:rPr>
        <w:t> </w:t>
      </w:r>
      <w:r>
        <w:rPr>
          <w:color w:val="808080"/>
        </w:rPr>
        <w:t>FINISHES</w:t>
      </w:r>
    </w:p>
    <w:p>
      <w:pPr>
        <w:pStyle w:val="BodyText"/>
        <w:spacing w:before="122"/>
        <w:ind w:left="118" w:right="289"/>
      </w:pPr>
      <w:r>
        <w:rPr/>
        <w:t>The station design features materials and finishes that have been selected in consultation with City of</w:t>
      </w:r>
      <w:r>
        <w:rPr>
          <w:spacing w:val="-50"/>
        </w:rPr>
        <w:t> </w:t>
      </w:r>
      <w:r>
        <w:rPr/>
        <w:t>Melbourne and the OVGA, and comply with the City of Melbourne Design Standards as per the</w:t>
      </w:r>
      <w:r>
        <w:rPr>
          <w:spacing w:val="1"/>
        </w:rPr>
        <w:t> </w:t>
      </w:r>
      <w:r>
        <w:rPr/>
        <w:t>project scoping and technical requirements. The materials and finishes generally reflect City of</w:t>
      </w:r>
      <w:r>
        <w:rPr>
          <w:spacing w:val="1"/>
        </w:rPr>
        <w:t> </w:t>
      </w:r>
      <w:r>
        <w:rPr/>
        <w:t>Melbourne’s durable and distinctive palette. This approach will help to define Arden Station as part of</w:t>
      </w:r>
      <w:r>
        <w:rPr>
          <w:spacing w:val="-50"/>
        </w:rPr>
        <w:t> </w:t>
      </w:r>
      <w:r>
        <w:rPr/>
        <w:t>Melbourne’s municipal brand identity, offering visual links and references that are readily identifiable</w:t>
      </w:r>
      <w:r>
        <w:rPr>
          <w:spacing w:val="1"/>
        </w:rPr>
        <w:t> </w:t>
      </w:r>
      <w:r>
        <w:rPr/>
        <w:t>as ‘Melbourne’.</w:t>
      </w:r>
    </w:p>
    <w:p>
      <w:pPr>
        <w:pStyle w:val="BodyText"/>
        <w:spacing w:before="120"/>
        <w:ind w:left="118" w:right="300"/>
      </w:pPr>
      <w:r>
        <w:rPr/>
        <w:t>Materials and detailing have been incorporated as references to the specific industrial context of the</w:t>
      </w:r>
      <w:r>
        <w:rPr>
          <w:spacing w:val="1"/>
        </w:rPr>
        <w:t> </w:t>
      </w:r>
      <w:r>
        <w:rPr/>
        <w:t>Arden Station precinct. This includes materials such as brick, concrete and ceramic. Other finishes,</w:t>
      </w:r>
      <w:r>
        <w:rPr>
          <w:spacing w:val="1"/>
        </w:rPr>
        <w:t> </w:t>
      </w:r>
      <w:r>
        <w:rPr/>
        <w:t>such as stone, and concrete framing and glass screening is reflective of other Project stations and</w:t>
      </w:r>
      <w:r>
        <w:rPr>
          <w:spacing w:val="1"/>
        </w:rPr>
        <w:t> </w:t>
      </w:r>
      <w:r>
        <w:rPr/>
        <w:t>strengthens the line-wide identity. This approach ensures that while a consistent line-wide style is</w:t>
      </w:r>
      <w:r>
        <w:rPr>
          <w:spacing w:val="1"/>
        </w:rPr>
        <w:t> </w:t>
      </w:r>
      <w:r>
        <w:rPr/>
        <w:t>evident across the Project’s stations, the unique character of the Arden Station precinct is maintained</w:t>
      </w:r>
      <w:r>
        <w:rPr>
          <w:spacing w:val="-50"/>
        </w:rPr>
        <w:t> </w:t>
      </w:r>
      <w:r>
        <w:rPr/>
        <w:t>and</w:t>
      </w:r>
      <w:r>
        <w:rPr>
          <w:spacing w:val="-1"/>
        </w:rPr>
        <w:t> </w:t>
      </w:r>
      <w:r>
        <w:rPr/>
        <w:t>integration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local</w:t>
      </w:r>
      <w:r>
        <w:rPr>
          <w:spacing w:val="-2"/>
        </w:rPr>
        <w:t> </w:t>
      </w:r>
      <w:r>
        <w:rPr/>
        <w:t>context</w:t>
      </w:r>
      <w:r>
        <w:rPr>
          <w:spacing w:val="-1"/>
        </w:rPr>
        <w:t> </w:t>
      </w:r>
      <w:r>
        <w:rPr/>
        <w:t>is achieved.</w:t>
      </w:r>
    </w:p>
    <w:p>
      <w:pPr>
        <w:pStyle w:val="BodyText"/>
        <w:spacing w:before="120"/>
        <w:ind w:left="118" w:right="363"/>
      </w:pPr>
      <w:r>
        <w:rPr/>
        <w:t>Ongoing stakeholder consultation with the City of Melbourne and OVGA through detailed design has</w:t>
      </w:r>
      <w:r>
        <w:rPr>
          <w:spacing w:val="-50"/>
        </w:rPr>
        <w:t> </w:t>
      </w:r>
      <w:r>
        <w:rPr/>
        <w:t>resulted in an amendment to the Western Building façade materiality, as well as the skylights. The</w:t>
      </w:r>
      <w:r>
        <w:rPr>
          <w:spacing w:val="1"/>
        </w:rPr>
        <w:t> </w:t>
      </w:r>
      <w:r>
        <w:rPr/>
        <w:t>external faces of the Western Building are now proposed as brick facing and precast concrete to</w:t>
      </w:r>
      <w:r>
        <w:rPr>
          <w:spacing w:val="1"/>
        </w:rPr>
        <w:t> </w:t>
      </w:r>
      <w:r>
        <w:rPr/>
        <w:t>provide a more flexible façade that can be integrated within the draft Arden Structure Plan (2020). In</w:t>
      </w:r>
      <w:r>
        <w:rPr>
          <w:spacing w:val="-50"/>
        </w:rPr>
        <w:t> </w:t>
      </w:r>
      <w:r>
        <w:rPr/>
        <w:t>addition, following consultation with the OVGA, the skylight materiality is proposed as white stone, to</w:t>
      </w:r>
      <w:r>
        <w:rPr>
          <w:spacing w:val="-50"/>
        </w:rPr>
        <w:t> </w:t>
      </w:r>
      <w:r>
        <w:rPr/>
        <w:t>integrate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landscaping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central open</w:t>
      </w:r>
      <w:r>
        <w:rPr>
          <w:spacing w:val="-1"/>
        </w:rPr>
        <w:t> </w:t>
      </w:r>
      <w:r>
        <w:rPr/>
        <w:t>space.</w:t>
      </w:r>
    </w:p>
    <w:p>
      <w:pPr>
        <w:pStyle w:val="BodyText"/>
        <w:spacing w:before="120"/>
        <w:ind w:left="118" w:right="353"/>
      </w:pPr>
      <w:r>
        <w:rPr/>
        <w:t>The paving materiality has also been subject to amendments in some locations, such as the removal</w:t>
      </w:r>
      <w:r>
        <w:rPr>
          <w:spacing w:val="-50"/>
        </w:rPr>
        <w:t> </w:t>
      </w:r>
      <w:r>
        <w:rPr/>
        <w:t>of bluestone paving from Barwise Street and Laurens Street (west) in consultation with City of</w:t>
      </w:r>
      <w:r>
        <w:rPr>
          <w:spacing w:val="1"/>
        </w:rPr>
        <w:t> </w:t>
      </w:r>
      <w:r>
        <w:rPr/>
        <w:t>Melbourne.</w:t>
      </w:r>
    </w:p>
    <w:p>
      <w:pPr>
        <w:pStyle w:val="BodyText"/>
        <w:spacing w:before="120"/>
        <w:ind w:left="118" w:right="501"/>
      </w:pPr>
      <w:r>
        <w:rPr/>
        <w:t>Materials and finishes are detailed in the Materials Schedule in Appendix B: Arden Station Precinct</w:t>
      </w:r>
      <w:r>
        <w:rPr>
          <w:spacing w:val="-50"/>
        </w:rPr>
        <w:t> </w:t>
      </w:r>
      <w:r>
        <w:rPr/>
        <w:t>Architectural</w:t>
      </w:r>
      <w:r>
        <w:rPr>
          <w:spacing w:val="-2"/>
        </w:rPr>
        <w:t> </w:t>
      </w:r>
      <w:r>
        <w:rPr/>
        <w:t>Plans and</w:t>
      </w:r>
      <w:r>
        <w:rPr>
          <w:spacing w:val="-2"/>
        </w:rPr>
        <w:t> </w:t>
      </w:r>
      <w:r>
        <w:rPr/>
        <w:t>Elevations</w:t>
      </w:r>
      <w:r>
        <w:rPr>
          <w:spacing w:val="3"/>
        </w:rPr>
        <w:t> </w:t>
      </w:r>
      <w:r>
        <w:rPr/>
        <w:t>and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Appendix</w:t>
      </w:r>
      <w:r>
        <w:rPr>
          <w:spacing w:val="-2"/>
        </w:rPr>
        <w:t> </w:t>
      </w:r>
      <w:r>
        <w:rPr/>
        <w:t>D:</w:t>
      </w:r>
      <w:r>
        <w:rPr>
          <w:spacing w:val="-2"/>
        </w:rPr>
        <w:t> </w:t>
      </w:r>
      <w:r>
        <w:rPr/>
        <w:t>Arden</w:t>
      </w:r>
      <w:r>
        <w:rPr>
          <w:spacing w:val="-1"/>
        </w:rPr>
        <w:t> </w:t>
      </w:r>
      <w:r>
        <w:rPr/>
        <w:t>Station</w:t>
      </w:r>
      <w:r>
        <w:rPr>
          <w:spacing w:val="-1"/>
        </w:rPr>
        <w:t> </w:t>
      </w:r>
      <w:r>
        <w:rPr/>
        <w:t>Precinct</w:t>
      </w:r>
      <w:r>
        <w:rPr>
          <w:spacing w:val="-4"/>
        </w:rPr>
        <w:t> </w:t>
      </w:r>
      <w:r>
        <w:rPr/>
        <w:t>Public</w:t>
      </w:r>
      <w:r>
        <w:rPr>
          <w:spacing w:val="-4"/>
        </w:rPr>
        <w:t> </w:t>
      </w:r>
      <w:r>
        <w:rPr/>
        <w:t>Realm</w:t>
      </w:r>
      <w:r>
        <w:rPr>
          <w:spacing w:val="-2"/>
        </w:rPr>
        <w:t> </w:t>
      </w:r>
      <w:r>
        <w:rPr/>
        <w:t>Plans.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Heading3"/>
        <w:numPr>
          <w:ilvl w:val="2"/>
          <w:numId w:val="5"/>
        </w:numPr>
        <w:tabs>
          <w:tab w:pos="971" w:val="left" w:leader="none"/>
        </w:tabs>
        <w:spacing w:line="240" w:lineRule="auto" w:before="1" w:after="0"/>
        <w:ind w:left="970" w:right="1169" w:hanging="852"/>
        <w:jc w:val="left"/>
      </w:pPr>
      <w:bookmarkStart w:name="_bookmark44" w:id="110"/>
      <w:bookmarkEnd w:id="110"/>
      <w:r>
        <w:rPr/>
      </w:r>
      <w:bookmarkStart w:name="_bookmark44" w:id="111"/>
      <w:bookmarkEnd w:id="111"/>
      <w:r>
        <w:rPr>
          <w:color w:val="808080"/>
        </w:rPr>
        <w:t>C</w:t>
      </w:r>
      <w:r>
        <w:rPr>
          <w:color w:val="808080"/>
        </w:rPr>
        <w:t>RIME PREVENTION THROUGH ENVIRONMENTAL</w:t>
      </w:r>
      <w:r>
        <w:rPr>
          <w:color w:val="808080"/>
          <w:spacing w:val="-75"/>
        </w:rPr>
        <w:t> </w:t>
      </w:r>
      <w:r>
        <w:rPr>
          <w:color w:val="808080"/>
        </w:rPr>
        <w:t>DESIGN</w:t>
      </w:r>
    </w:p>
    <w:p>
      <w:pPr>
        <w:pStyle w:val="BodyText"/>
        <w:spacing w:before="119"/>
        <w:ind w:left="118" w:right="395"/>
      </w:pPr>
      <w:r>
        <w:rPr/>
        <w:t>Each station’s relationship to the surrounding precinct differs, with Arden Station configured to allow</w:t>
      </w:r>
      <w:r>
        <w:rPr>
          <w:spacing w:val="-50"/>
        </w:rPr>
        <w:t> </w:t>
      </w:r>
      <w:r>
        <w:rPr/>
        <w:t>natural pedestrian flows from both the existing area and future development within the precinct. This</w:t>
      </w:r>
      <w:r>
        <w:rPr>
          <w:spacing w:val="-50"/>
        </w:rPr>
        <w:t> </w:t>
      </w:r>
      <w:r>
        <w:rPr/>
        <w:t>helps to guide and manage pedestrian access while providing natural or passive surveillance</w:t>
      </w:r>
      <w:r>
        <w:rPr>
          <w:spacing w:val="1"/>
        </w:rPr>
        <w:t> </w:t>
      </w:r>
      <w:r>
        <w:rPr/>
        <w:t>qualities to Arden Station precinct. Natural access control and passive surveillance, in addition to</w:t>
      </w:r>
      <w:r>
        <w:rPr>
          <w:spacing w:val="1"/>
        </w:rPr>
        <w:t> </w:t>
      </w:r>
      <w:r>
        <w:rPr/>
        <w:t>territorial reinforcement, make up the three basic strategies of Crime Prevention through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(CPTED).</w:t>
      </w:r>
    </w:p>
    <w:p>
      <w:pPr>
        <w:pStyle w:val="BodyText"/>
        <w:spacing w:before="120"/>
        <w:ind w:left="118" w:right="491"/>
      </w:pPr>
      <w:r>
        <w:rPr/>
        <w:t>The design concept of access control is directed primarily at decreasing criminal accessibility.</w:t>
      </w:r>
      <w:r>
        <w:rPr>
          <w:spacing w:val="1"/>
        </w:rPr>
        <w:t> </w:t>
      </w:r>
      <w:r>
        <w:rPr/>
        <w:t>Natural access control restricts criminal intrusion, in particular into areas where they are not easily</w:t>
      </w:r>
      <w:r>
        <w:rPr>
          <w:spacing w:val="1"/>
        </w:rPr>
        <w:t> </w:t>
      </w:r>
      <w:r>
        <w:rPr/>
        <w:t>observed. This is achieved by limiting access and increasing natural surveillance. Design initiatives</w:t>
      </w:r>
      <w:r>
        <w:rPr>
          <w:spacing w:val="-51"/>
        </w:rPr>
        <w:t> </w:t>
      </w:r>
      <w:r>
        <w:rPr/>
        <w:t>integrated into the Arden Station precinct which aim to accomplish this include the use of gates,</w:t>
      </w:r>
      <w:r>
        <w:rPr>
          <w:spacing w:val="1"/>
        </w:rPr>
        <w:t> </w:t>
      </w:r>
      <w:r>
        <w:rPr/>
        <w:t>fences,</w:t>
      </w:r>
      <w:r>
        <w:rPr>
          <w:spacing w:val="-2"/>
        </w:rPr>
        <w:t> </w:t>
      </w:r>
      <w:r>
        <w:rPr/>
        <w:t>walls,</w:t>
      </w:r>
      <w:r>
        <w:rPr>
          <w:spacing w:val="-1"/>
        </w:rPr>
        <w:t> </w:t>
      </w:r>
      <w:r>
        <w:rPr/>
        <w:t>footpaths,</w:t>
      </w:r>
      <w:r>
        <w:rPr>
          <w:spacing w:val="-1"/>
        </w:rPr>
        <w:t> </w:t>
      </w:r>
      <w:r>
        <w:rPr/>
        <w:t>landscaping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lighting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4" w:after="0"/>
        <w:ind w:left="402" w:right="0" w:hanging="285"/>
        <w:jc w:val="left"/>
        <w:rPr>
          <w:sz w:val="19"/>
        </w:rPr>
      </w:pPr>
      <w:r>
        <w:rPr>
          <w:sz w:val="19"/>
        </w:rPr>
        <w:t>Clearly</w:t>
      </w:r>
      <w:r>
        <w:rPr>
          <w:spacing w:val="-1"/>
          <w:sz w:val="19"/>
        </w:rPr>
        <w:t> </w:t>
      </w:r>
      <w:r>
        <w:rPr>
          <w:sz w:val="19"/>
        </w:rPr>
        <w:t>guide</w:t>
      </w:r>
      <w:r>
        <w:rPr>
          <w:spacing w:val="-2"/>
          <w:sz w:val="19"/>
        </w:rPr>
        <w:t> </w:t>
      </w:r>
      <w:r>
        <w:rPr>
          <w:sz w:val="19"/>
        </w:rPr>
        <w:t>the</w:t>
      </w:r>
      <w:r>
        <w:rPr>
          <w:spacing w:val="-3"/>
          <w:sz w:val="19"/>
        </w:rPr>
        <w:t> </w:t>
      </w:r>
      <w:r>
        <w:rPr>
          <w:sz w:val="19"/>
        </w:rPr>
        <w:t>public</w:t>
      </w:r>
      <w:r>
        <w:rPr>
          <w:spacing w:val="-1"/>
          <w:sz w:val="19"/>
        </w:rPr>
        <w:t> </w:t>
      </w:r>
      <w:r>
        <w:rPr>
          <w:sz w:val="19"/>
        </w:rPr>
        <w:t>to</w:t>
      </w:r>
      <w:r>
        <w:rPr>
          <w:spacing w:val="-2"/>
          <w:sz w:val="19"/>
        </w:rPr>
        <w:t> </w:t>
      </w:r>
      <w:r>
        <w:rPr>
          <w:sz w:val="19"/>
        </w:rPr>
        <w:t>and</w:t>
      </w:r>
      <w:r>
        <w:rPr>
          <w:spacing w:val="-3"/>
          <w:sz w:val="19"/>
        </w:rPr>
        <w:t> </w:t>
      </w:r>
      <w:r>
        <w:rPr>
          <w:sz w:val="19"/>
        </w:rPr>
        <w:t>from</w:t>
      </w:r>
      <w:r>
        <w:rPr>
          <w:spacing w:val="-2"/>
          <w:sz w:val="19"/>
        </w:rPr>
        <w:t> </w:t>
      </w:r>
      <w:r>
        <w:rPr>
          <w:sz w:val="19"/>
        </w:rPr>
        <w:t>specific</w:t>
      </w:r>
      <w:r>
        <w:rPr>
          <w:spacing w:val="-1"/>
          <w:sz w:val="19"/>
        </w:rPr>
        <w:t> </w:t>
      </w:r>
      <w:r>
        <w:rPr>
          <w:sz w:val="19"/>
        </w:rPr>
        <w:t>entrances</w:t>
      </w:r>
      <w:r>
        <w:rPr>
          <w:spacing w:val="-1"/>
          <w:sz w:val="19"/>
        </w:rPr>
        <w:t> </w:t>
      </w:r>
      <w:r>
        <w:rPr>
          <w:sz w:val="19"/>
        </w:rPr>
        <w:t>and</w:t>
      </w:r>
      <w:r>
        <w:rPr>
          <w:spacing w:val="-2"/>
          <w:sz w:val="19"/>
        </w:rPr>
        <w:t> </w:t>
      </w:r>
      <w:r>
        <w:rPr>
          <w:sz w:val="19"/>
        </w:rPr>
        <w:t>exits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8" w:after="0"/>
        <w:ind w:left="402" w:right="0" w:hanging="285"/>
        <w:jc w:val="left"/>
        <w:rPr>
          <w:sz w:val="19"/>
        </w:rPr>
      </w:pPr>
      <w:r>
        <w:rPr>
          <w:sz w:val="19"/>
        </w:rPr>
        <w:t>Prevent</w:t>
      </w:r>
      <w:r>
        <w:rPr>
          <w:spacing w:val="-2"/>
          <w:sz w:val="19"/>
        </w:rPr>
        <w:t> </w:t>
      </w:r>
      <w:r>
        <w:rPr>
          <w:sz w:val="19"/>
        </w:rPr>
        <w:t>or</w:t>
      </w:r>
      <w:r>
        <w:rPr>
          <w:spacing w:val="-2"/>
          <w:sz w:val="19"/>
        </w:rPr>
        <w:t> </w:t>
      </w:r>
      <w:r>
        <w:rPr>
          <w:sz w:val="19"/>
        </w:rPr>
        <w:t>discourage</w:t>
      </w:r>
      <w:r>
        <w:rPr>
          <w:spacing w:val="-2"/>
          <w:sz w:val="19"/>
        </w:rPr>
        <w:t> </w:t>
      </w:r>
      <w:r>
        <w:rPr>
          <w:sz w:val="19"/>
        </w:rPr>
        <w:t>public</w:t>
      </w:r>
      <w:r>
        <w:rPr>
          <w:spacing w:val="-3"/>
          <w:sz w:val="19"/>
        </w:rPr>
        <w:t> </w:t>
      </w:r>
      <w:r>
        <w:rPr>
          <w:sz w:val="19"/>
        </w:rPr>
        <w:t>access to</w:t>
      </w:r>
      <w:r>
        <w:rPr>
          <w:spacing w:val="-2"/>
          <w:sz w:val="19"/>
        </w:rPr>
        <w:t> </w:t>
      </w:r>
      <w:r>
        <w:rPr>
          <w:sz w:val="19"/>
        </w:rPr>
        <w:t>or</w:t>
      </w:r>
      <w:r>
        <w:rPr>
          <w:spacing w:val="-2"/>
          <w:sz w:val="19"/>
        </w:rPr>
        <w:t> </w:t>
      </w:r>
      <w:r>
        <w:rPr>
          <w:sz w:val="19"/>
        </w:rPr>
        <w:t>from</w:t>
      </w:r>
      <w:r>
        <w:rPr>
          <w:spacing w:val="-2"/>
          <w:sz w:val="19"/>
        </w:rPr>
        <w:t> </w:t>
      </w:r>
      <w:r>
        <w:rPr>
          <w:sz w:val="19"/>
        </w:rPr>
        <w:t>dark</w:t>
      </w:r>
      <w:r>
        <w:rPr>
          <w:spacing w:val="-1"/>
          <w:sz w:val="19"/>
        </w:rPr>
        <w:t> </w:t>
      </w:r>
      <w:r>
        <w:rPr>
          <w:sz w:val="19"/>
        </w:rPr>
        <w:t>or</w:t>
      </w:r>
      <w:r>
        <w:rPr>
          <w:spacing w:val="-1"/>
          <w:sz w:val="19"/>
        </w:rPr>
        <w:t> </w:t>
      </w:r>
      <w:r>
        <w:rPr>
          <w:sz w:val="19"/>
        </w:rPr>
        <w:t>unmonitored</w:t>
      </w:r>
      <w:r>
        <w:rPr>
          <w:spacing w:val="-2"/>
          <w:sz w:val="19"/>
        </w:rPr>
        <w:t> </w:t>
      </w:r>
      <w:r>
        <w:rPr>
          <w:sz w:val="19"/>
        </w:rPr>
        <w:t>areas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7" w:after="0"/>
        <w:ind w:left="402" w:right="0" w:hanging="285"/>
        <w:jc w:val="left"/>
        <w:rPr>
          <w:sz w:val="19"/>
        </w:rPr>
      </w:pPr>
      <w:r>
        <w:rPr>
          <w:sz w:val="19"/>
        </w:rPr>
        <w:t>Enable</w:t>
      </w:r>
      <w:r>
        <w:rPr>
          <w:spacing w:val="-2"/>
          <w:sz w:val="19"/>
        </w:rPr>
        <w:t> </w:t>
      </w:r>
      <w:r>
        <w:rPr>
          <w:sz w:val="19"/>
        </w:rPr>
        <w:t>intruders</w:t>
      </w:r>
      <w:r>
        <w:rPr>
          <w:spacing w:val="-2"/>
          <w:sz w:val="19"/>
        </w:rPr>
        <w:t> </w:t>
      </w:r>
      <w:r>
        <w:rPr>
          <w:sz w:val="19"/>
        </w:rPr>
        <w:t>to</w:t>
      </w:r>
      <w:r>
        <w:rPr>
          <w:spacing w:val="-2"/>
          <w:sz w:val="19"/>
        </w:rPr>
        <w:t> </w:t>
      </w:r>
      <w:r>
        <w:rPr>
          <w:sz w:val="19"/>
        </w:rPr>
        <w:t>be</w:t>
      </w:r>
      <w:r>
        <w:rPr>
          <w:spacing w:val="-1"/>
          <w:sz w:val="19"/>
        </w:rPr>
        <w:t> </w:t>
      </w:r>
      <w:r>
        <w:rPr>
          <w:sz w:val="19"/>
        </w:rPr>
        <w:t>more</w:t>
      </w:r>
      <w:r>
        <w:rPr>
          <w:spacing w:val="-2"/>
          <w:sz w:val="19"/>
        </w:rPr>
        <w:t> </w:t>
      </w:r>
      <w:r>
        <w:rPr>
          <w:sz w:val="19"/>
        </w:rPr>
        <w:t>easily</w:t>
      </w:r>
      <w:r>
        <w:rPr>
          <w:spacing w:val="-2"/>
          <w:sz w:val="19"/>
        </w:rPr>
        <w:t> </w:t>
      </w:r>
      <w:r>
        <w:rPr>
          <w:sz w:val="19"/>
        </w:rPr>
        <w:t>recognised.</w:t>
      </w:r>
    </w:p>
    <w:p>
      <w:pPr>
        <w:spacing w:after="0" w:line="240" w:lineRule="auto"/>
        <w:jc w:val="left"/>
        <w:rPr>
          <w:sz w:val="19"/>
        </w:rPr>
        <w:sectPr>
          <w:pgSz w:w="11910" w:h="16840"/>
          <w:pgMar w:header="936" w:footer="365" w:top="1900" w:bottom="640" w:left="130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spacing w:before="93"/>
        <w:ind w:left="118" w:right="300"/>
      </w:pPr>
      <w:r>
        <w:rPr/>
        <w:t>Natural, or passive surveillance, is a design concept that aims to keep potential offenders and</w:t>
      </w:r>
      <w:r>
        <w:rPr>
          <w:spacing w:val="1"/>
        </w:rPr>
        <w:t> </w:t>
      </w:r>
      <w:r>
        <w:rPr/>
        <w:t>intruders</w:t>
      </w:r>
      <w:r>
        <w:rPr>
          <w:spacing w:val="-2"/>
        </w:rPr>
        <w:t> </w:t>
      </w:r>
      <w:r>
        <w:rPr/>
        <w:t>under</w:t>
      </w:r>
      <w:r>
        <w:rPr>
          <w:spacing w:val="-3"/>
        </w:rPr>
        <w:t> </w:t>
      </w:r>
      <w:r>
        <w:rPr/>
        <w:t>observation</w:t>
      </w:r>
      <w:r>
        <w:rPr>
          <w:spacing w:val="-2"/>
        </w:rPr>
        <w:t> </w:t>
      </w:r>
      <w:r>
        <w:rPr/>
        <w:t>through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creation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environments where</w:t>
      </w:r>
      <w:r>
        <w:rPr>
          <w:spacing w:val="-3"/>
        </w:rPr>
        <w:t> </w:t>
      </w:r>
      <w:r>
        <w:rPr/>
        <w:t>there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sufficient</w:t>
      </w:r>
      <w:r>
        <w:rPr>
          <w:spacing w:val="-3"/>
        </w:rPr>
        <w:t> </w:t>
      </w:r>
      <w:r>
        <w:rPr/>
        <w:t>opportunity</w:t>
      </w:r>
      <w:r>
        <w:rPr>
          <w:spacing w:val="-49"/>
        </w:rPr>
        <w:t> </w:t>
      </w:r>
      <w:r>
        <w:rPr/>
        <w:t>for people engaged in their normal behaviour to observe the space around them. This is sometimes</w:t>
      </w:r>
      <w:r>
        <w:rPr>
          <w:spacing w:val="1"/>
        </w:rPr>
        <w:t> </w:t>
      </w:r>
      <w:r>
        <w:rPr/>
        <w:t>also referred to as “eyes on the street”. Design features of the Arden Station precinct which have</w:t>
      </w:r>
      <w:r>
        <w:rPr>
          <w:spacing w:val="1"/>
        </w:rPr>
        <w:t> </w:t>
      </w:r>
      <w:r>
        <w:rPr/>
        <w:t>been</w:t>
      </w:r>
      <w:r>
        <w:rPr>
          <w:spacing w:val="-1"/>
        </w:rPr>
        <w:t> </w:t>
      </w:r>
      <w:r>
        <w:rPr/>
        <w:t>employed</w:t>
      </w:r>
      <w:r>
        <w:rPr>
          <w:spacing w:val="-1"/>
        </w:rPr>
        <w:t> </w:t>
      </w:r>
      <w:r>
        <w:rPr/>
        <w:t>to increase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and passive</w:t>
      </w:r>
      <w:r>
        <w:rPr>
          <w:spacing w:val="-3"/>
        </w:rPr>
        <w:t> </w:t>
      </w:r>
      <w:r>
        <w:rPr/>
        <w:t>surveillance</w:t>
      </w:r>
      <w:r>
        <w:rPr>
          <w:spacing w:val="-1"/>
        </w:rPr>
        <w:t> </w:t>
      </w:r>
      <w:r>
        <w:rPr/>
        <w:t>include: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9" w:after="0"/>
        <w:ind w:left="402" w:right="320" w:hanging="284"/>
        <w:jc w:val="left"/>
        <w:rPr>
          <w:sz w:val="19"/>
        </w:rPr>
      </w:pPr>
      <w:r>
        <w:rPr>
          <w:sz w:val="19"/>
        </w:rPr>
        <w:t>Design and placement of physical features to maximise visibility. For example, Arden Station</w:t>
      </w:r>
      <w:r>
        <w:rPr>
          <w:spacing w:val="1"/>
          <w:sz w:val="19"/>
        </w:rPr>
        <w:t> </w:t>
      </w:r>
      <w:r>
        <w:rPr>
          <w:sz w:val="19"/>
        </w:rPr>
        <w:t>features</w:t>
      </w:r>
      <w:r>
        <w:rPr>
          <w:spacing w:val="-2"/>
          <w:sz w:val="19"/>
        </w:rPr>
        <w:t> </w:t>
      </w:r>
      <w:r>
        <w:rPr>
          <w:sz w:val="19"/>
        </w:rPr>
        <w:t>a</w:t>
      </w:r>
      <w:r>
        <w:rPr>
          <w:spacing w:val="-3"/>
          <w:sz w:val="19"/>
        </w:rPr>
        <w:t> </w:t>
      </w:r>
      <w:r>
        <w:rPr>
          <w:sz w:val="19"/>
        </w:rPr>
        <w:t>clear</w:t>
      </w:r>
      <w:r>
        <w:rPr>
          <w:spacing w:val="-4"/>
          <w:sz w:val="19"/>
        </w:rPr>
        <w:t> </w:t>
      </w:r>
      <w:r>
        <w:rPr>
          <w:sz w:val="19"/>
        </w:rPr>
        <w:t>through</w:t>
      </w:r>
      <w:r>
        <w:rPr>
          <w:spacing w:val="-2"/>
          <w:sz w:val="19"/>
        </w:rPr>
        <w:t> </w:t>
      </w:r>
      <w:r>
        <w:rPr>
          <w:sz w:val="19"/>
        </w:rPr>
        <w:t>building orientation,</w:t>
      </w:r>
      <w:r>
        <w:rPr>
          <w:spacing w:val="-4"/>
          <w:sz w:val="19"/>
        </w:rPr>
        <w:t> </w:t>
      </w:r>
      <w:r>
        <w:rPr>
          <w:sz w:val="19"/>
        </w:rPr>
        <w:t>providing</w:t>
      </w:r>
      <w:r>
        <w:rPr>
          <w:spacing w:val="-3"/>
          <w:sz w:val="19"/>
        </w:rPr>
        <w:t> </w:t>
      </w:r>
      <w:r>
        <w:rPr>
          <w:sz w:val="19"/>
        </w:rPr>
        <w:t>passive</w:t>
      </w:r>
      <w:r>
        <w:rPr>
          <w:spacing w:val="-3"/>
          <w:sz w:val="19"/>
        </w:rPr>
        <w:t> </w:t>
      </w:r>
      <w:r>
        <w:rPr>
          <w:sz w:val="19"/>
        </w:rPr>
        <w:t>surveillance</w:t>
      </w:r>
      <w:r>
        <w:rPr>
          <w:spacing w:val="-4"/>
          <w:sz w:val="19"/>
        </w:rPr>
        <w:t> </w:t>
      </w:r>
      <w:r>
        <w:rPr>
          <w:sz w:val="19"/>
        </w:rPr>
        <w:t>toward</w:t>
      </w:r>
      <w:r>
        <w:rPr>
          <w:spacing w:val="-3"/>
          <w:sz w:val="19"/>
        </w:rPr>
        <w:t> </w:t>
      </w:r>
      <w:r>
        <w:rPr>
          <w:sz w:val="19"/>
        </w:rPr>
        <w:t>Laurens</w:t>
      </w:r>
      <w:r>
        <w:rPr>
          <w:spacing w:val="-3"/>
          <w:sz w:val="19"/>
        </w:rPr>
        <w:t> </w:t>
      </w:r>
      <w:r>
        <w:rPr>
          <w:sz w:val="19"/>
        </w:rPr>
        <w:t>Street</w:t>
      </w:r>
      <w:r>
        <w:rPr>
          <w:spacing w:val="-49"/>
          <w:sz w:val="19"/>
        </w:rPr>
        <w:t> </w:t>
      </w:r>
      <w:r>
        <w:rPr>
          <w:sz w:val="19"/>
        </w:rPr>
        <w:t>and</w:t>
      </w:r>
      <w:r>
        <w:rPr>
          <w:spacing w:val="-1"/>
          <w:sz w:val="19"/>
        </w:rPr>
        <w:t> </w:t>
      </w:r>
      <w:r>
        <w:rPr>
          <w:sz w:val="19"/>
        </w:rPr>
        <w:t>the new</w:t>
      </w:r>
      <w:r>
        <w:rPr>
          <w:spacing w:val="-1"/>
          <w:sz w:val="19"/>
        </w:rPr>
        <w:t> </w:t>
      </w:r>
      <w:r>
        <w:rPr>
          <w:sz w:val="19"/>
        </w:rPr>
        <w:t>Service Lane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0" w:after="0"/>
        <w:ind w:left="402" w:right="306" w:hanging="284"/>
        <w:jc w:val="left"/>
        <w:rPr>
          <w:sz w:val="19"/>
        </w:rPr>
      </w:pPr>
      <w:r>
        <w:rPr>
          <w:sz w:val="19"/>
        </w:rPr>
        <w:t>Plantings have been selected to maximise visibility via high-canopy trees, and low growing shrubs</w:t>
      </w:r>
      <w:r>
        <w:rPr>
          <w:spacing w:val="-50"/>
          <w:sz w:val="19"/>
        </w:rPr>
        <w:t> </w:t>
      </w:r>
      <w:r>
        <w:rPr>
          <w:sz w:val="19"/>
        </w:rPr>
        <w:t>and</w:t>
      </w:r>
      <w:r>
        <w:rPr>
          <w:spacing w:val="-1"/>
          <w:sz w:val="19"/>
        </w:rPr>
        <w:t> </w:t>
      </w:r>
      <w:r>
        <w:rPr>
          <w:sz w:val="19"/>
        </w:rPr>
        <w:t>ground</w:t>
      </w:r>
      <w:r>
        <w:rPr>
          <w:spacing w:val="-1"/>
          <w:sz w:val="19"/>
        </w:rPr>
        <w:t> </w:t>
      </w:r>
      <w:r>
        <w:rPr>
          <w:sz w:val="19"/>
        </w:rPr>
        <w:t>covers (less than</w:t>
      </w:r>
      <w:r>
        <w:rPr>
          <w:spacing w:val="-2"/>
          <w:sz w:val="19"/>
        </w:rPr>
        <w:t> </w:t>
      </w:r>
      <w:r>
        <w:rPr>
          <w:sz w:val="19"/>
        </w:rPr>
        <w:t>500 millimetre</w:t>
      </w:r>
      <w:r>
        <w:rPr>
          <w:spacing w:val="-1"/>
          <w:sz w:val="19"/>
        </w:rPr>
        <w:t> </w:t>
      </w:r>
      <w:r>
        <w:rPr>
          <w:sz w:val="19"/>
        </w:rPr>
        <w:t>high)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8" w:after="0"/>
        <w:ind w:left="402" w:right="756" w:hanging="284"/>
        <w:jc w:val="left"/>
        <w:rPr>
          <w:sz w:val="19"/>
        </w:rPr>
      </w:pPr>
      <w:r>
        <w:rPr>
          <w:sz w:val="19"/>
        </w:rPr>
        <w:t>Placement</w:t>
      </w:r>
      <w:r>
        <w:rPr>
          <w:spacing w:val="-4"/>
          <w:sz w:val="19"/>
        </w:rPr>
        <w:t> </w:t>
      </w:r>
      <w:r>
        <w:rPr>
          <w:sz w:val="19"/>
        </w:rPr>
        <w:t>of</w:t>
      </w:r>
      <w:r>
        <w:rPr>
          <w:spacing w:val="-4"/>
          <w:sz w:val="19"/>
        </w:rPr>
        <w:t> </w:t>
      </w:r>
      <w:r>
        <w:rPr>
          <w:sz w:val="19"/>
        </w:rPr>
        <w:t>persons</w:t>
      </w:r>
      <w:r>
        <w:rPr>
          <w:spacing w:val="-2"/>
          <w:sz w:val="19"/>
        </w:rPr>
        <w:t> </w:t>
      </w:r>
      <w:r>
        <w:rPr>
          <w:sz w:val="19"/>
        </w:rPr>
        <w:t>or</w:t>
      </w:r>
      <w:r>
        <w:rPr>
          <w:spacing w:val="-4"/>
          <w:sz w:val="19"/>
        </w:rPr>
        <w:t> </w:t>
      </w:r>
      <w:r>
        <w:rPr>
          <w:sz w:val="19"/>
        </w:rPr>
        <w:t>activities</w:t>
      </w:r>
      <w:r>
        <w:rPr>
          <w:spacing w:val="-3"/>
          <w:sz w:val="19"/>
        </w:rPr>
        <w:t> </w:t>
      </w:r>
      <w:r>
        <w:rPr>
          <w:sz w:val="19"/>
        </w:rPr>
        <w:t>to</w:t>
      </w:r>
      <w:r>
        <w:rPr>
          <w:spacing w:val="-4"/>
          <w:sz w:val="19"/>
        </w:rPr>
        <w:t> </w:t>
      </w:r>
      <w:r>
        <w:rPr>
          <w:sz w:val="19"/>
        </w:rPr>
        <w:t>maximize</w:t>
      </w:r>
      <w:r>
        <w:rPr>
          <w:spacing w:val="-5"/>
          <w:sz w:val="19"/>
        </w:rPr>
        <w:t> </w:t>
      </w:r>
      <w:r>
        <w:rPr>
          <w:sz w:val="19"/>
        </w:rPr>
        <w:t>surveillance</w:t>
      </w:r>
      <w:r>
        <w:rPr>
          <w:spacing w:val="-4"/>
          <w:sz w:val="19"/>
        </w:rPr>
        <w:t> </w:t>
      </w:r>
      <w:r>
        <w:rPr>
          <w:sz w:val="19"/>
        </w:rPr>
        <w:t>possibilities,</w:t>
      </w:r>
      <w:r>
        <w:rPr>
          <w:spacing w:val="-6"/>
          <w:sz w:val="19"/>
        </w:rPr>
        <w:t> </w:t>
      </w:r>
      <w:r>
        <w:rPr>
          <w:sz w:val="19"/>
        </w:rPr>
        <w:t>such</w:t>
      </w:r>
      <w:r>
        <w:rPr>
          <w:spacing w:val="-4"/>
          <w:sz w:val="19"/>
        </w:rPr>
        <w:t> </w:t>
      </w:r>
      <w:r>
        <w:rPr>
          <w:sz w:val="19"/>
        </w:rPr>
        <w:t>as</w:t>
      </w:r>
      <w:r>
        <w:rPr>
          <w:spacing w:val="-3"/>
          <w:sz w:val="19"/>
        </w:rPr>
        <w:t> </w:t>
      </w:r>
      <w:r>
        <w:rPr>
          <w:sz w:val="19"/>
        </w:rPr>
        <w:t>commercial</w:t>
      </w:r>
      <w:r>
        <w:rPr>
          <w:spacing w:val="-50"/>
          <w:sz w:val="19"/>
        </w:rPr>
        <w:t> </w:t>
      </w:r>
      <w:r>
        <w:rPr>
          <w:sz w:val="19"/>
        </w:rPr>
        <w:t>retail units which encourage persons to linger in the vicinity, helping underpin perceptions of</w:t>
      </w:r>
      <w:r>
        <w:rPr>
          <w:spacing w:val="1"/>
          <w:sz w:val="19"/>
        </w:rPr>
        <w:t> </w:t>
      </w:r>
      <w:r>
        <w:rPr>
          <w:sz w:val="19"/>
        </w:rPr>
        <w:t>safety.</w:t>
      </w:r>
    </w:p>
    <w:p>
      <w:pPr>
        <w:pStyle w:val="BodyText"/>
        <w:spacing w:before="121"/>
        <w:ind w:left="118" w:right="335"/>
      </w:pPr>
      <w:r>
        <w:rPr/>
        <w:t>Territorial reinforcement, the third basis of CPTED, focuses on the delineation of private space from</w:t>
      </w:r>
      <w:r>
        <w:rPr>
          <w:spacing w:val="1"/>
        </w:rPr>
        <w:t> </w:t>
      </w:r>
      <w:r>
        <w:rPr/>
        <w:t>semi-public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spaces, creating a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ownership. This</w:t>
      </w:r>
      <w:r>
        <w:rPr>
          <w:spacing w:val="-1"/>
        </w:rPr>
        <w:t> </w:t>
      </w:r>
      <w:r>
        <w:rPr/>
        <w:t>in turn</w:t>
      </w:r>
      <w:r>
        <w:rPr>
          <w:spacing w:val="1"/>
        </w:rPr>
        <w:t> </w:t>
      </w:r>
      <w:r>
        <w:rPr/>
        <w:t>identifies</w:t>
      </w:r>
      <w:r>
        <w:rPr>
          <w:spacing w:val="1"/>
        </w:rPr>
        <w:t> </w:t>
      </w:r>
      <w:r>
        <w:rPr/>
        <w:t>intruders,</w:t>
      </w:r>
      <w:r>
        <w:rPr>
          <w:spacing w:val="1"/>
        </w:rPr>
        <w:t> </w:t>
      </w:r>
      <w:r>
        <w:rPr/>
        <w:t>making them less likely to offend. While not necessarily the domain of the design for the Arden</w:t>
      </w:r>
      <w:r>
        <w:rPr>
          <w:spacing w:val="1"/>
        </w:rPr>
        <w:t> </w:t>
      </w:r>
      <w:r>
        <w:rPr/>
        <w:t>Station precinct given its status as a public building, simple design measures have been employed to</w:t>
      </w:r>
      <w:r>
        <w:rPr>
          <w:spacing w:val="-50"/>
        </w:rPr>
        <w:t> </w:t>
      </w:r>
      <w:r>
        <w:rPr/>
        <w:t>reduce</w:t>
      </w:r>
      <w:r>
        <w:rPr>
          <w:spacing w:val="-2"/>
        </w:rPr>
        <w:t> </w:t>
      </w:r>
      <w:r>
        <w:rPr/>
        <w:t>the potential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anti-social behaviour</w:t>
      </w:r>
      <w:r>
        <w:rPr>
          <w:spacing w:val="-1"/>
        </w:rPr>
        <w:t> </w:t>
      </w:r>
      <w:r>
        <w:rPr/>
        <w:t>including: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9" w:after="0"/>
        <w:ind w:left="402" w:right="774" w:hanging="284"/>
        <w:jc w:val="left"/>
        <w:rPr>
          <w:sz w:val="19"/>
        </w:rPr>
      </w:pPr>
      <w:r>
        <w:rPr>
          <w:sz w:val="19"/>
        </w:rPr>
        <w:t>Reinforcing existing natural surveillance and natural access control strategies with additional</w:t>
      </w:r>
      <w:r>
        <w:rPr>
          <w:spacing w:val="-51"/>
          <w:sz w:val="19"/>
        </w:rPr>
        <w:t> </w:t>
      </w:r>
      <w:r>
        <w:rPr>
          <w:sz w:val="19"/>
        </w:rPr>
        <w:t>symbolic</w:t>
      </w:r>
      <w:r>
        <w:rPr>
          <w:spacing w:val="-1"/>
          <w:sz w:val="19"/>
        </w:rPr>
        <w:t> </w:t>
      </w:r>
      <w:r>
        <w:rPr>
          <w:sz w:val="19"/>
        </w:rPr>
        <w:t>or</w:t>
      </w:r>
      <w:r>
        <w:rPr>
          <w:spacing w:val="-1"/>
          <w:sz w:val="19"/>
        </w:rPr>
        <w:t> </w:t>
      </w:r>
      <w:r>
        <w:rPr>
          <w:sz w:val="19"/>
        </w:rPr>
        <w:t>social ones to</w:t>
      </w:r>
      <w:r>
        <w:rPr>
          <w:spacing w:val="-1"/>
          <w:sz w:val="19"/>
        </w:rPr>
        <w:t> </w:t>
      </w:r>
      <w:r>
        <w:rPr>
          <w:sz w:val="19"/>
        </w:rPr>
        <w:t>enhance</w:t>
      </w:r>
      <w:r>
        <w:rPr>
          <w:spacing w:val="2"/>
          <w:sz w:val="19"/>
        </w:rPr>
        <w:t> </w:t>
      </w:r>
      <w:r>
        <w:rPr>
          <w:sz w:val="19"/>
        </w:rPr>
        <w:t>a</w:t>
      </w:r>
      <w:r>
        <w:rPr>
          <w:spacing w:val="-1"/>
          <w:sz w:val="19"/>
        </w:rPr>
        <w:t> </w:t>
      </w:r>
      <w:r>
        <w:rPr>
          <w:sz w:val="19"/>
        </w:rPr>
        <w:t>feeling</w:t>
      </w:r>
      <w:r>
        <w:rPr>
          <w:spacing w:val="-1"/>
          <w:sz w:val="19"/>
        </w:rPr>
        <w:t> </w:t>
      </w:r>
      <w:r>
        <w:rPr>
          <w:sz w:val="19"/>
        </w:rPr>
        <w:t>of</w:t>
      </w:r>
      <w:r>
        <w:rPr>
          <w:spacing w:val="-2"/>
          <w:sz w:val="19"/>
        </w:rPr>
        <w:t> </w:t>
      </w:r>
      <w:r>
        <w:rPr>
          <w:sz w:val="19"/>
        </w:rPr>
        <w:t>legitimate</w:t>
      </w:r>
      <w:r>
        <w:rPr>
          <w:spacing w:val="-3"/>
          <w:sz w:val="19"/>
        </w:rPr>
        <w:t> </w:t>
      </w:r>
      <w:r>
        <w:rPr>
          <w:sz w:val="19"/>
        </w:rPr>
        <w:t>ownership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0" w:after="0"/>
        <w:ind w:left="402" w:right="0" w:hanging="285"/>
        <w:jc w:val="left"/>
        <w:rPr>
          <w:sz w:val="19"/>
        </w:rPr>
      </w:pPr>
      <w:r>
        <w:rPr>
          <w:sz w:val="19"/>
        </w:rPr>
        <w:t>Designing</w:t>
      </w:r>
      <w:r>
        <w:rPr>
          <w:spacing w:val="-2"/>
          <w:sz w:val="19"/>
        </w:rPr>
        <w:t> </w:t>
      </w:r>
      <w:r>
        <w:rPr>
          <w:sz w:val="19"/>
        </w:rPr>
        <w:t>a</w:t>
      </w:r>
      <w:r>
        <w:rPr>
          <w:spacing w:val="-1"/>
          <w:sz w:val="19"/>
        </w:rPr>
        <w:t> </w:t>
      </w:r>
      <w:r>
        <w:rPr>
          <w:sz w:val="19"/>
        </w:rPr>
        <w:t>space</w:t>
      </w:r>
      <w:r>
        <w:rPr>
          <w:spacing w:val="-2"/>
          <w:sz w:val="19"/>
        </w:rPr>
        <w:t> </w:t>
      </w:r>
      <w:r>
        <w:rPr>
          <w:sz w:val="19"/>
        </w:rPr>
        <w:t>to</w:t>
      </w:r>
      <w:r>
        <w:rPr>
          <w:spacing w:val="-1"/>
          <w:sz w:val="19"/>
        </w:rPr>
        <w:t> </w:t>
      </w:r>
      <w:r>
        <w:rPr>
          <w:sz w:val="19"/>
        </w:rPr>
        <w:t>accommodate</w:t>
      </w:r>
      <w:r>
        <w:rPr>
          <w:spacing w:val="-1"/>
          <w:sz w:val="19"/>
        </w:rPr>
        <w:t> </w:t>
      </w:r>
      <w:r>
        <w:rPr>
          <w:sz w:val="19"/>
        </w:rPr>
        <w:t>long-term</w:t>
      </w:r>
      <w:r>
        <w:rPr>
          <w:spacing w:val="-2"/>
          <w:sz w:val="19"/>
        </w:rPr>
        <w:t> </w:t>
      </w:r>
      <w:r>
        <w:rPr>
          <w:sz w:val="19"/>
        </w:rPr>
        <w:t>and</w:t>
      </w:r>
      <w:r>
        <w:rPr>
          <w:spacing w:val="-1"/>
          <w:sz w:val="19"/>
        </w:rPr>
        <w:t> </w:t>
      </w:r>
      <w:r>
        <w:rPr>
          <w:sz w:val="19"/>
        </w:rPr>
        <w:t>continued</w:t>
      </w:r>
      <w:r>
        <w:rPr>
          <w:spacing w:val="-1"/>
          <w:sz w:val="19"/>
        </w:rPr>
        <w:t> </w:t>
      </w:r>
      <w:r>
        <w:rPr>
          <w:sz w:val="19"/>
        </w:rPr>
        <w:t>use</w:t>
      </w:r>
      <w:r>
        <w:rPr>
          <w:spacing w:val="-2"/>
          <w:sz w:val="19"/>
        </w:rPr>
        <w:t> </w:t>
      </w:r>
      <w:r>
        <w:rPr>
          <w:sz w:val="19"/>
        </w:rPr>
        <w:t>and</w:t>
      </w:r>
      <w:r>
        <w:rPr>
          <w:spacing w:val="-2"/>
          <w:sz w:val="19"/>
        </w:rPr>
        <w:t> </w:t>
      </w:r>
      <w:r>
        <w:rPr>
          <w:sz w:val="19"/>
        </w:rPr>
        <w:t>to</w:t>
      </w:r>
      <w:r>
        <w:rPr>
          <w:spacing w:val="-1"/>
          <w:sz w:val="19"/>
        </w:rPr>
        <w:t> </w:t>
      </w:r>
      <w:r>
        <w:rPr>
          <w:sz w:val="19"/>
        </w:rPr>
        <w:t>fit</w:t>
      </w:r>
      <w:r>
        <w:rPr>
          <w:spacing w:val="-2"/>
          <w:sz w:val="19"/>
        </w:rPr>
        <w:t> </w:t>
      </w:r>
      <w:r>
        <w:rPr>
          <w:sz w:val="19"/>
        </w:rPr>
        <w:t>its</w:t>
      </w:r>
      <w:r>
        <w:rPr>
          <w:spacing w:val="-3"/>
          <w:sz w:val="19"/>
        </w:rPr>
        <w:t> </w:t>
      </w:r>
      <w:r>
        <w:rPr>
          <w:sz w:val="19"/>
        </w:rPr>
        <w:t>intended</w:t>
      </w:r>
      <w:r>
        <w:rPr>
          <w:spacing w:val="-2"/>
          <w:sz w:val="19"/>
        </w:rPr>
        <w:t> </w:t>
      </w:r>
      <w:r>
        <w:rPr>
          <w:sz w:val="19"/>
        </w:rPr>
        <w:t>purpose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5" w:after="0"/>
        <w:ind w:left="402" w:right="310" w:hanging="284"/>
        <w:jc w:val="left"/>
        <w:rPr>
          <w:sz w:val="19"/>
        </w:rPr>
      </w:pPr>
      <w:r>
        <w:rPr>
          <w:sz w:val="19"/>
        </w:rPr>
        <w:t>Using</w:t>
      </w:r>
      <w:r>
        <w:rPr>
          <w:spacing w:val="-3"/>
          <w:sz w:val="19"/>
        </w:rPr>
        <w:t> </w:t>
      </w:r>
      <w:r>
        <w:rPr>
          <w:sz w:val="19"/>
        </w:rPr>
        <w:t>pavement</w:t>
      </w:r>
      <w:r>
        <w:rPr>
          <w:spacing w:val="-2"/>
          <w:sz w:val="19"/>
        </w:rPr>
        <w:t> </w:t>
      </w:r>
      <w:r>
        <w:rPr>
          <w:sz w:val="19"/>
        </w:rPr>
        <w:t>treatments,</w:t>
      </w:r>
      <w:r>
        <w:rPr>
          <w:spacing w:val="-4"/>
          <w:sz w:val="19"/>
        </w:rPr>
        <w:t> </w:t>
      </w:r>
      <w:r>
        <w:rPr>
          <w:sz w:val="19"/>
        </w:rPr>
        <w:t>landscaping,</w:t>
      </w:r>
      <w:r>
        <w:rPr>
          <w:spacing w:val="-3"/>
          <w:sz w:val="19"/>
        </w:rPr>
        <w:t> </w:t>
      </w:r>
      <w:r>
        <w:rPr>
          <w:sz w:val="19"/>
        </w:rPr>
        <w:t>art,</w:t>
      </w:r>
      <w:r>
        <w:rPr>
          <w:spacing w:val="-2"/>
          <w:sz w:val="19"/>
        </w:rPr>
        <w:t> </w:t>
      </w:r>
      <w:r>
        <w:rPr>
          <w:sz w:val="19"/>
        </w:rPr>
        <w:t>signage,</w:t>
      </w:r>
      <w:r>
        <w:rPr>
          <w:spacing w:val="-2"/>
          <w:sz w:val="19"/>
        </w:rPr>
        <w:t> </w:t>
      </w:r>
      <w:r>
        <w:rPr>
          <w:sz w:val="19"/>
        </w:rPr>
        <w:t>screening</w:t>
      </w:r>
      <w:r>
        <w:rPr>
          <w:spacing w:val="-2"/>
          <w:sz w:val="19"/>
        </w:rPr>
        <w:t> </w:t>
      </w:r>
      <w:r>
        <w:rPr>
          <w:sz w:val="19"/>
        </w:rPr>
        <w:t>and</w:t>
      </w:r>
      <w:r>
        <w:rPr>
          <w:spacing w:val="-3"/>
          <w:sz w:val="19"/>
        </w:rPr>
        <w:t> </w:t>
      </w:r>
      <w:r>
        <w:rPr>
          <w:sz w:val="19"/>
        </w:rPr>
        <w:t>fences to</w:t>
      </w:r>
      <w:r>
        <w:rPr>
          <w:spacing w:val="-2"/>
          <w:sz w:val="19"/>
        </w:rPr>
        <w:t> </w:t>
      </w:r>
      <w:r>
        <w:rPr>
          <w:sz w:val="19"/>
        </w:rPr>
        <w:t>define</w:t>
      </w:r>
      <w:r>
        <w:rPr>
          <w:spacing w:val="-4"/>
          <w:sz w:val="19"/>
        </w:rPr>
        <w:t> </w:t>
      </w:r>
      <w:r>
        <w:rPr>
          <w:sz w:val="19"/>
        </w:rPr>
        <w:t>and</w:t>
      </w:r>
      <w:r>
        <w:rPr>
          <w:spacing w:val="-1"/>
          <w:sz w:val="19"/>
        </w:rPr>
        <w:t> </w:t>
      </w:r>
      <w:r>
        <w:rPr>
          <w:sz w:val="19"/>
        </w:rPr>
        <w:t>outline</w:t>
      </w:r>
      <w:r>
        <w:rPr>
          <w:spacing w:val="-50"/>
          <w:sz w:val="19"/>
        </w:rPr>
        <w:t> </w:t>
      </w:r>
      <w:r>
        <w:rPr>
          <w:sz w:val="19"/>
        </w:rPr>
        <w:t>ownership</w:t>
      </w:r>
      <w:r>
        <w:rPr>
          <w:spacing w:val="-2"/>
          <w:sz w:val="19"/>
        </w:rPr>
        <w:t> </w:t>
      </w:r>
      <w:r>
        <w:rPr>
          <w:sz w:val="19"/>
        </w:rPr>
        <w:t>of space.</w:t>
      </w:r>
    </w:p>
    <w:p>
      <w:pPr>
        <w:pStyle w:val="BodyText"/>
        <w:spacing w:before="121"/>
        <w:ind w:left="118" w:right="501"/>
      </w:pPr>
      <w:r>
        <w:rPr/>
        <w:t>A CPTED review of Arden Station has been undertaken since the Arden Station Precinct</w:t>
      </w:r>
      <w:r>
        <w:rPr>
          <w:spacing w:val="1"/>
        </w:rPr>
        <w:t> </w:t>
      </w:r>
      <w:r>
        <w:rPr/>
        <w:t>Development Plan was approved by the Minister for Planning on Thursday 8 March 2018. This</w:t>
      </w:r>
      <w:r>
        <w:rPr>
          <w:spacing w:val="1"/>
        </w:rPr>
        <w:t> </w:t>
      </w:r>
      <w:r>
        <w:rPr/>
        <w:t>review aimed to identify opportunities and record requirements for implementing passive security</w:t>
      </w:r>
      <w:r>
        <w:rPr>
          <w:spacing w:val="1"/>
        </w:rPr>
        <w:t> </w:t>
      </w:r>
      <w:r>
        <w:rPr/>
        <w:t>strategies into the Arden Station’s design, in line with the CPTED principles. The outcome of this</w:t>
      </w:r>
      <w:r>
        <w:rPr>
          <w:spacing w:val="1"/>
        </w:rPr>
        <w:t> </w:t>
      </w:r>
      <w:r>
        <w:rPr/>
        <w:t>review indicated a number of CPTED issues in relation to the design. Those issues and associated</w:t>
      </w:r>
      <w:r>
        <w:rPr>
          <w:spacing w:val="-50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discussed</w:t>
      </w:r>
      <w:r>
        <w:rPr>
          <w:spacing w:val="2"/>
        </w:rPr>
        <w:t> </w:t>
      </w:r>
      <w:r>
        <w:rPr/>
        <w:t>below.</w:t>
      </w:r>
    </w:p>
    <w:p>
      <w:pPr>
        <w:pStyle w:val="BodyText"/>
        <w:spacing w:before="120"/>
        <w:ind w:left="118" w:right="448"/>
      </w:pPr>
      <w:r>
        <w:rPr/>
        <w:t>Station Lane and Laurens Lane were seen as vulnerable, due to being setback from the street and</w:t>
      </w:r>
      <w:r>
        <w:rPr>
          <w:spacing w:val="1"/>
        </w:rPr>
        <w:t> </w:t>
      </w:r>
      <w:r>
        <w:rPr/>
        <w:t>partially shielded by the station structure itself. In response, the design supports activation and</w:t>
      </w:r>
      <w:r>
        <w:rPr>
          <w:spacing w:val="1"/>
        </w:rPr>
        <w:t> </w:t>
      </w:r>
      <w:r>
        <w:rPr/>
        <w:t>surveillance through the new parking and loading bays as well as outdoor retail terrace on Barwise</w:t>
      </w:r>
      <w:r>
        <w:rPr>
          <w:spacing w:val="1"/>
        </w:rPr>
        <w:t> </w:t>
      </w:r>
      <w:r>
        <w:rPr/>
        <w:t>Street, arched open space station entry (station plaza) and outdoor retail terrace on the east side of</w:t>
      </w:r>
      <w:r>
        <w:rPr>
          <w:spacing w:val="-50"/>
        </w:rPr>
        <w:t> </w:t>
      </w:r>
      <w:r>
        <w:rPr/>
        <w:t>the station.</w:t>
      </w:r>
    </w:p>
    <w:p>
      <w:pPr>
        <w:pStyle w:val="BodyText"/>
        <w:spacing w:before="119"/>
        <w:ind w:left="118" w:right="310"/>
      </w:pPr>
      <w:r>
        <w:rPr/>
        <w:t>Natural surveillance was raised as an issue in the CPTED review. This specifically applied to the</w:t>
      </w:r>
      <w:r>
        <w:rPr>
          <w:spacing w:val="1"/>
        </w:rPr>
        <w:t> </w:t>
      </w:r>
      <w:r>
        <w:rPr/>
        <w:t>grassed areas on the southern and western sides of the station. To address this issue, clear views</w:t>
      </w:r>
      <w:r>
        <w:rPr>
          <w:spacing w:val="1"/>
        </w:rPr>
        <w:t> </w:t>
      </w:r>
      <w:r>
        <w:rPr/>
        <w:t>will be maintained through tree pruning as the tree matures to maintain tree trunks to 3m, and limiting</w:t>
      </w:r>
      <w:r>
        <w:rPr>
          <w:spacing w:val="-50"/>
        </w:rPr>
        <w:t> </w:t>
      </w:r>
      <w:r>
        <w:rPr/>
        <w:t>the ground level planting species height to a maximum of 0.5m. In addition, retail units and outdoor</w:t>
      </w:r>
      <w:r>
        <w:rPr>
          <w:spacing w:val="1"/>
        </w:rPr>
        <w:t> </w:t>
      </w:r>
      <w:r>
        <w:rPr/>
        <w:t>terraces will provide eyes on the street. Appropriate lighting and CCTV will also assist with</w:t>
      </w:r>
      <w:r>
        <w:rPr>
          <w:spacing w:val="1"/>
        </w:rPr>
        <w:t> </w:t>
      </w:r>
      <w:r>
        <w:rPr/>
        <w:t>addressing this issue. Passive surveillance has been facilitated through careful specification of shrub</w:t>
      </w:r>
      <w:r>
        <w:rPr>
          <w:spacing w:val="-50"/>
        </w:rPr>
        <w:t> </w:t>
      </w:r>
      <w:r>
        <w:rPr/>
        <w:t>and tree species, and placement of urban furniture and signage in the public realm to ensure</w:t>
      </w:r>
      <w:r>
        <w:rPr>
          <w:spacing w:val="1"/>
        </w:rPr>
        <w:t> </w:t>
      </w:r>
      <w:r>
        <w:rPr/>
        <w:t>sightlines are not impeded. Also, the retail units and Changing Places facility have been relocated in</w:t>
      </w:r>
      <w:r>
        <w:rPr>
          <w:spacing w:val="1"/>
        </w:rPr>
        <w:t> </w:t>
      </w:r>
      <w:r>
        <w:rPr/>
        <w:t>accordance with MTM’s requirements to provide better sightlines from the customer service centre to</w:t>
      </w:r>
      <w:r>
        <w:rPr>
          <w:spacing w:val="-50"/>
        </w:rPr>
        <w:t> </w:t>
      </w:r>
      <w:r>
        <w:rPr/>
        <w:t>those</w:t>
      </w:r>
      <w:r>
        <w:rPr>
          <w:spacing w:val="-2"/>
        </w:rPr>
        <w:t> </w:t>
      </w:r>
      <w:r>
        <w:rPr/>
        <w:t>facilities.</w:t>
      </w:r>
    </w:p>
    <w:p>
      <w:pPr>
        <w:pStyle w:val="BodyText"/>
        <w:spacing w:before="122"/>
        <w:ind w:left="118" w:right="311"/>
      </w:pPr>
      <w:r>
        <w:rPr/>
        <w:t>The CPTED review describes the natural access to the grassed areas west of the station building as</w:t>
      </w:r>
      <w:r>
        <w:rPr>
          <w:spacing w:val="1"/>
        </w:rPr>
        <w:t> </w:t>
      </w:r>
      <w:r>
        <w:rPr/>
        <w:t>an issue due to the potential attractiveness of the skylights for vandalism and the potential for</w:t>
      </w:r>
      <w:r>
        <w:rPr>
          <w:spacing w:val="1"/>
        </w:rPr>
        <w:t> </w:t>
      </w:r>
      <w:r>
        <w:rPr/>
        <w:t>pedestrians to use the space as a short-cut. In response, security hoarding will be provided to restrict</w:t>
      </w:r>
      <w:r>
        <w:rPr>
          <w:spacing w:val="-50"/>
        </w:rPr>
        <w:t> </w:t>
      </w:r>
      <w:r>
        <w:rPr/>
        <w:t>public</w:t>
      </w:r>
      <w:r>
        <w:rPr>
          <w:spacing w:val="-1"/>
        </w:rPr>
        <w:t> </w:t>
      </w:r>
      <w:r>
        <w:rPr/>
        <w:t>access to</w:t>
      </w:r>
      <w:r>
        <w:rPr>
          <w:spacing w:val="-1"/>
        </w:rPr>
        <w:t> </w:t>
      </w:r>
      <w:r>
        <w:rPr/>
        <w:t>undeveloped</w:t>
      </w:r>
      <w:r>
        <w:rPr>
          <w:spacing w:val="-1"/>
        </w:rPr>
        <w:t> </w:t>
      </w:r>
      <w:r>
        <w:rPr/>
        <w:t>areas</w:t>
      </w:r>
      <w:r>
        <w:rPr>
          <w:spacing w:val="1"/>
        </w:rPr>
        <w:t> </w:t>
      </w:r>
      <w:r>
        <w:rPr/>
        <w:t>and skylights.</w:t>
      </w:r>
    </w:p>
    <w:p>
      <w:pPr>
        <w:spacing w:after="0"/>
        <w:sectPr>
          <w:pgSz w:w="11910" w:h="16840"/>
          <w:pgMar w:header="936" w:footer="365" w:top="1900" w:bottom="640" w:left="130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Heading2"/>
        <w:numPr>
          <w:ilvl w:val="1"/>
          <w:numId w:val="5"/>
        </w:numPr>
        <w:tabs>
          <w:tab w:pos="827" w:val="left" w:leader="none"/>
        </w:tabs>
        <w:spacing w:line="240" w:lineRule="auto" w:before="89" w:after="0"/>
        <w:ind w:left="826" w:right="2039" w:hanging="708"/>
        <w:jc w:val="left"/>
      </w:pPr>
      <w:bookmarkStart w:name="_bookmark45" w:id="112"/>
      <w:bookmarkEnd w:id="112"/>
      <w:r>
        <w:rPr/>
      </w:r>
      <w:bookmarkStart w:name="_bookmark45" w:id="113"/>
      <w:bookmarkEnd w:id="113"/>
      <w:r>
        <w:rPr>
          <w:color w:val="00BBE9"/>
        </w:rPr>
        <w:t>C</w:t>
      </w:r>
      <w:r>
        <w:rPr>
          <w:color w:val="00BBE9"/>
        </w:rPr>
        <w:t>ONSISTENCY WITH ENVIRONMENTAL</w:t>
      </w:r>
      <w:r>
        <w:rPr>
          <w:color w:val="00BBE9"/>
          <w:spacing w:val="-87"/>
        </w:rPr>
        <w:t> </w:t>
      </w:r>
      <w:r>
        <w:rPr>
          <w:color w:val="00BBE9"/>
        </w:rPr>
        <w:t>MANAGEMENT FRAMEWORK</w:t>
      </w:r>
    </w:p>
    <w:p>
      <w:pPr>
        <w:pStyle w:val="BodyText"/>
        <w:spacing w:before="120"/>
        <w:ind w:left="118" w:right="406"/>
      </w:pPr>
      <w:r>
        <w:rPr/>
        <w:t>The Environmental Management Framework provides a transparent and integrated governance</w:t>
      </w:r>
      <w:r>
        <w:rPr>
          <w:spacing w:val="1"/>
        </w:rPr>
        <w:t> </w:t>
      </w:r>
      <w:r>
        <w:rPr/>
        <w:t>framework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manage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aspects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entire</w:t>
      </w:r>
      <w:r>
        <w:rPr>
          <w:spacing w:val="-2"/>
        </w:rPr>
        <w:t> </w:t>
      </w:r>
      <w:r>
        <w:rPr/>
        <w:t>project.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framework</w:t>
      </w:r>
      <w:r>
        <w:rPr>
          <w:spacing w:val="-49"/>
        </w:rPr>
        <w:t> </w:t>
      </w:r>
      <w:r>
        <w:rPr/>
        <w:t>is</w:t>
      </w:r>
      <w:r>
        <w:rPr>
          <w:spacing w:val="-1"/>
        </w:rPr>
        <w:t> </w:t>
      </w:r>
      <w:r>
        <w:rPr/>
        <w:t>provided</w:t>
      </w:r>
      <w:r>
        <w:rPr>
          <w:spacing w:val="-2"/>
        </w:rPr>
        <w:t> </w:t>
      </w:r>
      <w:r>
        <w:rPr/>
        <w:t>in </w:t>
      </w:r>
      <w:hyperlink w:history="true" w:anchor="_bookmark46">
        <w:r>
          <w:rPr/>
          <w:t>Table 4.</w:t>
        </w:r>
      </w:hyperlink>
    </w:p>
    <w:p>
      <w:pPr>
        <w:spacing w:before="120"/>
        <w:ind w:left="118" w:right="0" w:firstLine="0"/>
        <w:jc w:val="left"/>
        <w:rPr>
          <w:sz w:val="18"/>
        </w:rPr>
      </w:pPr>
      <w:bookmarkStart w:name="_bookmark46" w:id="114"/>
      <w:bookmarkEnd w:id="114"/>
      <w:r>
        <w:rPr/>
      </w:r>
      <w:r>
        <w:rPr>
          <w:sz w:val="18"/>
        </w:rPr>
        <w:t>Table</w:t>
      </w:r>
      <w:r>
        <w:rPr>
          <w:spacing w:val="-4"/>
          <w:sz w:val="18"/>
        </w:rPr>
        <w:t> </w:t>
      </w:r>
      <w:r>
        <w:rPr>
          <w:sz w:val="18"/>
        </w:rPr>
        <w:t>4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-2"/>
          <w:sz w:val="18"/>
        </w:rPr>
        <w:t> </w:t>
      </w:r>
      <w:r>
        <w:rPr>
          <w:sz w:val="18"/>
        </w:rPr>
        <w:t>Summary</w:t>
      </w:r>
      <w:r>
        <w:rPr>
          <w:spacing w:val="-2"/>
          <w:sz w:val="18"/>
        </w:rPr>
        <w:t> </w:t>
      </w:r>
      <w:r>
        <w:rPr>
          <w:sz w:val="18"/>
        </w:rPr>
        <w:t>of</w:t>
      </w:r>
      <w:r>
        <w:rPr>
          <w:spacing w:val="-2"/>
          <w:sz w:val="18"/>
        </w:rPr>
        <w:t> </w:t>
      </w:r>
      <w:r>
        <w:rPr>
          <w:sz w:val="18"/>
        </w:rPr>
        <w:t>RPV’s</w:t>
      </w:r>
      <w:r>
        <w:rPr>
          <w:spacing w:val="-4"/>
          <w:sz w:val="18"/>
        </w:rPr>
        <w:t> </w:t>
      </w:r>
      <w:r>
        <w:rPr>
          <w:sz w:val="18"/>
        </w:rPr>
        <w:t>Environmental</w:t>
      </w:r>
      <w:r>
        <w:rPr>
          <w:spacing w:val="-3"/>
          <w:sz w:val="18"/>
        </w:rPr>
        <w:t> </w:t>
      </w:r>
      <w:r>
        <w:rPr>
          <w:sz w:val="18"/>
        </w:rPr>
        <w:t>Management</w:t>
      </w:r>
      <w:r>
        <w:rPr>
          <w:spacing w:val="-3"/>
          <w:sz w:val="18"/>
        </w:rPr>
        <w:t> </w:t>
      </w:r>
      <w:r>
        <w:rPr>
          <w:sz w:val="18"/>
        </w:rPr>
        <w:t>Framework</w:t>
      </w: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131" w:type="dxa"/>
        <w:tblBorders>
          <w:top w:val="single" w:sz="4" w:space="0" w:color="57DEFF"/>
          <w:left w:val="single" w:sz="4" w:space="0" w:color="57DEFF"/>
          <w:bottom w:val="single" w:sz="4" w:space="0" w:color="57DEFF"/>
          <w:right w:val="single" w:sz="4" w:space="0" w:color="57DEFF"/>
          <w:insideH w:val="single" w:sz="4" w:space="0" w:color="57DEFF"/>
          <w:insideV w:val="single" w:sz="4" w:space="0" w:color="57DE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6232"/>
      </w:tblGrid>
      <w:tr>
        <w:trPr>
          <w:trHeight w:val="357" w:hRule="atLeast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69"/>
              <w:ind w:left="11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Topic</w:t>
            </w:r>
          </w:p>
        </w:tc>
        <w:tc>
          <w:tcPr>
            <w:tcW w:w="6232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69"/>
              <w:ind w:left="11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Summary</w:t>
            </w:r>
          </w:p>
        </w:tc>
      </w:tr>
      <w:tr>
        <w:trPr>
          <w:trHeight w:val="672" w:hRule="atLeast"/>
        </w:trPr>
        <w:tc>
          <w:tcPr>
            <w:tcW w:w="2263" w:type="dxa"/>
            <w:tcBorders>
              <w:top w:val="nil"/>
            </w:tcBorders>
          </w:tcPr>
          <w:p>
            <w:pPr>
              <w:pStyle w:val="TableParagraph"/>
              <w:spacing w:before="61"/>
              <w:rPr>
                <w:sz w:val="16"/>
              </w:rPr>
            </w:pPr>
            <w:r>
              <w:rPr>
                <w:sz w:val="16"/>
              </w:rPr>
              <w:t>Contract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structure</w:t>
            </w:r>
          </w:p>
        </w:tc>
        <w:tc>
          <w:tcPr>
            <w:tcW w:w="6232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108" w:right="206"/>
              <w:rPr>
                <w:sz w:val="16"/>
              </w:rPr>
            </w:pPr>
            <w:r>
              <w:rPr>
                <w:sz w:val="16"/>
              </w:rPr>
              <w:t>Outlines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RPV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procurement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strategy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which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includes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different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delivery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packages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including an Early Works Managing Contractor, Tunnels &amp; Stations Public Private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Partnership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(CYP), Rail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Infrastructure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Alliance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Rail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Systems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Alliance</w:t>
            </w:r>
          </w:p>
        </w:tc>
      </w:tr>
      <w:tr>
        <w:trPr>
          <w:trHeight w:val="673" w:hRule="atLeast"/>
        </w:trPr>
        <w:tc>
          <w:tcPr>
            <w:tcW w:w="2263" w:type="dxa"/>
          </w:tcPr>
          <w:p>
            <w:pPr>
              <w:pStyle w:val="TableParagraph"/>
              <w:spacing w:before="63"/>
              <w:rPr>
                <w:sz w:val="16"/>
              </w:rPr>
            </w:pPr>
            <w:r>
              <w:rPr>
                <w:sz w:val="16"/>
              </w:rPr>
              <w:t>Roles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responsibilities</w:t>
            </w:r>
          </w:p>
        </w:tc>
        <w:tc>
          <w:tcPr>
            <w:tcW w:w="6232" w:type="dxa"/>
          </w:tcPr>
          <w:p>
            <w:pPr>
              <w:pStyle w:val="TableParagraph"/>
              <w:spacing w:before="61"/>
              <w:ind w:left="108" w:right="642"/>
              <w:rPr>
                <w:sz w:val="16"/>
              </w:rPr>
            </w:pPr>
            <w:r>
              <w:rPr>
                <w:sz w:val="16"/>
              </w:rPr>
              <w:t>Defines roles and responsibilities for the Minister for Planning, regulators and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agencies, RPV, PTV, project contractors (for the delivery packages above),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Independent Reviewer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Independent Environmental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Auditor.</w:t>
            </w:r>
          </w:p>
        </w:tc>
      </w:tr>
      <w:tr>
        <w:trPr>
          <w:trHeight w:val="1223" w:hRule="atLeast"/>
        </w:trPr>
        <w:tc>
          <w:tcPr>
            <w:tcW w:w="2263" w:type="dxa"/>
          </w:tcPr>
          <w:p>
            <w:pPr>
              <w:pStyle w:val="TableParagraph"/>
              <w:spacing w:before="58"/>
              <w:ind w:right="124"/>
              <w:rPr>
                <w:sz w:val="16"/>
              </w:rPr>
            </w:pPr>
            <w:r>
              <w:rPr>
                <w:sz w:val="16"/>
              </w:rPr>
              <w:t>Environmental management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plans and documentation</w:t>
            </w:r>
          </w:p>
        </w:tc>
        <w:tc>
          <w:tcPr>
            <w:tcW w:w="6232" w:type="dxa"/>
          </w:tcPr>
          <w:p>
            <w:pPr>
              <w:pStyle w:val="TableParagraph"/>
              <w:spacing w:before="58"/>
              <w:ind w:left="108" w:right="401"/>
              <w:rPr>
                <w:sz w:val="16"/>
              </w:rPr>
            </w:pPr>
            <w:r>
              <w:rPr>
                <w:sz w:val="16"/>
              </w:rPr>
              <w:t>Provides the requirements for project contractors to have an Environmental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Management System, Development Plans, Early Works Plan/s, Construction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Environmental Management Plan, Operations Environmental Management Plan,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Transport Management Plan/s, Business Disruption Plan, Construction Noise &amp;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Vibration Management Plan, Site Environmental Implementation Plans, Work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Method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Statements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records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and checklists.</w:t>
            </w:r>
          </w:p>
        </w:tc>
      </w:tr>
      <w:tr>
        <w:trPr>
          <w:trHeight w:val="486" w:hRule="atLeast"/>
        </w:trPr>
        <w:tc>
          <w:tcPr>
            <w:tcW w:w="2263" w:type="dxa"/>
          </w:tcPr>
          <w:p>
            <w:pPr>
              <w:pStyle w:val="TableParagraph"/>
              <w:spacing w:before="61"/>
              <w:ind w:right="329"/>
              <w:rPr>
                <w:sz w:val="16"/>
              </w:rPr>
            </w:pPr>
            <w:r>
              <w:rPr>
                <w:sz w:val="16"/>
              </w:rPr>
              <w:t>Evaluating environmental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performance</w:t>
            </w:r>
          </w:p>
        </w:tc>
        <w:tc>
          <w:tcPr>
            <w:tcW w:w="6232" w:type="dxa"/>
          </w:tcPr>
          <w:p>
            <w:pPr>
              <w:pStyle w:val="TableParagraph"/>
              <w:spacing w:before="61"/>
              <w:ind w:left="108" w:right="206"/>
              <w:rPr>
                <w:sz w:val="16"/>
              </w:rPr>
            </w:pPr>
            <w:r>
              <w:rPr>
                <w:sz w:val="16"/>
              </w:rPr>
              <w:t>Provides the requirements for project contractors in relation to monitoring, reporting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auditing environmental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performance.</w:t>
            </w:r>
          </w:p>
        </w:tc>
      </w:tr>
      <w:tr>
        <w:trPr>
          <w:trHeight w:val="1041" w:hRule="atLeast"/>
        </w:trPr>
        <w:tc>
          <w:tcPr>
            <w:tcW w:w="2263" w:type="dxa"/>
          </w:tcPr>
          <w:p>
            <w:pPr>
              <w:pStyle w:val="TableParagraph"/>
              <w:spacing w:before="61"/>
              <w:ind w:right="142"/>
              <w:rPr>
                <w:sz w:val="16"/>
              </w:rPr>
            </w:pPr>
            <w:r>
              <w:rPr>
                <w:sz w:val="16"/>
              </w:rPr>
              <w:t>Environmental Performance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Requirements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(EPRs)</w:t>
            </w:r>
          </w:p>
        </w:tc>
        <w:tc>
          <w:tcPr>
            <w:tcW w:w="6232" w:type="dxa"/>
          </w:tcPr>
          <w:p>
            <w:pPr>
              <w:pStyle w:val="TableParagraph"/>
              <w:spacing w:before="61"/>
              <w:ind w:left="108" w:right="206"/>
              <w:rPr>
                <w:sz w:val="16"/>
              </w:rPr>
            </w:pPr>
            <w:r>
              <w:rPr>
                <w:sz w:val="16"/>
              </w:rPr>
              <w:t>EPRs are performance-based requirements that define the project-wide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environmental outcomes that must be achieved during design, construction and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operation of the Project. This performance-based approach allows for a delivery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model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with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sufficient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flexibility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encourage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innovation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contractors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determine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how any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approved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EPR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would be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achieved.</w:t>
            </w:r>
          </w:p>
        </w:tc>
      </w:tr>
      <w:tr>
        <w:trPr>
          <w:trHeight w:val="671" w:hRule="atLeast"/>
        </w:trPr>
        <w:tc>
          <w:tcPr>
            <w:tcW w:w="2263" w:type="dxa"/>
          </w:tcPr>
          <w:p>
            <w:pPr>
              <w:pStyle w:val="TableParagraph"/>
              <w:spacing w:before="58"/>
              <w:ind w:right="402"/>
              <w:rPr>
                <w:sz w:val="16"/>
              </w:rPr>
            </w:pPr>
            <w:r>
              <w:rPr>
                <w:sz w:val="16"/>
              </w:rPr>
              <w:t>Residential Impact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Management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Guidelines</w:t>
            </w:r>
          </w:p>
        </w:tc>
        <w:tc>
          <w:tcPr>
            <w:tcW w:w="6232" w:type="dxa"/>
          </w:tcPr>
          <w:p>
            <w:pPr>
              <w:pStyle w:val="TableParagraph"/>
              <w:spacing w:before="58"/>
              <w:ind w:left="108" w:right="206"/>
              <w:rPr>
                <w:sz w:val="16"/>
              </w:rPr>
            </w:pPr>
            <w:r>
              <w:rPr>
                <w:sz w:val="16"/>
              </w:rPr>
              <w:t>Appended to the framework, the guidelines provide direction to the project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contractors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how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address residual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impacts 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residential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amenity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far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is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reasonably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practicable and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appropriate.</w:t>
            </w:r>
          </w:p>
        </w:tc>
      </w:tr>
      <w:tr>
        <w:trPr>
          <w:trHeight w:val="671" w:hRule="atLeast"/>
        </w:trPr>
        <w:tc>
          <w:tcPr>
            <w:tcW w:w="2263" w:type="dxa"/>
          </w:tcPr>
          <w:p>
            <w:pPr>
              <w:pStyle w:val="TableParagraph"/>
              <w:spacing w:before="61"/>
              <w:ind w:right="202"/>
              <w:rPr>
                <w:sz w:val="16"/>
              </w:rPr>
            </w:pPr>
            <w:r>
              <w:rPr>
                <w:sz w:val="16"/>
              </w:rPr>
              <w:t>Business Support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Guidelines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for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Construction</w:t>
            </w:r>
          </w:p>
        </w:tc>
        <w:tc>
          <w:tcPr>
            <w:tcW w:w="6232" w:type="dxa"/>
          </w:tcPr>
          <w:p>
            <w:pPr>
              <w:pStyle w:val="TableParagraph"/>
              <w:spacing w:before="61"/>
              <w:ind w:left="108" w:right="778"/>
              <w:jc w:val="both"/>
              <w:rPr>
                <w:sz w:val="16"/>
              </w:rPr>
            </w:pPr>
            <w:r>
              <w:rPr>
                <w:sz w:val="16"/>
              </w:rPr>
              <w:t>Appended to the framework, the guidelines provide a framework for project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contractors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address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residual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impacts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businesses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far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reasonably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practicable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and appropriate.</w:t>
            </w:r>
          </w:p>
        </w:tc>
      </w:tr>
    </w:tbl>
    <w:p>
      <w:pPr>
        <w:pStyle w:val="BodyText"/>
        <w:spacing w:before="124"/>
        <w:ind w:left="118" w:right="512"/>
      </w:pPr>
      <w:r>
        <w:rPr/>
        <w:t>The Environmental Management Framework rightly extends well beyond just the application to this</w:t>
      </w:r>
      <w:r>
        <w:rPr>
          <w:spacing w:val="-50"/>
        </w:rPr>
        <w:t> </w:t>
      </w:r>
      <w:r>
        <w:rPr/>
        <w:t>Development Plan, which presents the scope and extent of the built form of CYP’s works in the</w:t>
      </w:r>
      <w:r>
        <w:rPr>
          <w:spacing w:val="1"/>
        </w:rPr>
        <w:t> </w:t>
      </w:r>
      <w:r>
        <w:rPr/>
        <w:t>Arden</w:t>
      </w:r>
      <w:r>
        <w:rPr>
          <w:spacing w:val="-1"/>
        </w:rPr>
        <w:t> </w:t>
      </w:r>
      <w:r>
        <w:rPr/>
        <w:t>Station</w:t>
      </w:r>
      <w:r>
        <w:rPr>
          <w:spacing w:val="-1"/>
        </w:rPr>
        <w:t> </w:t>
      </w:r>
      <w:r>
        <w:rPr/>
        <w:t>precinct.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includes: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9" w:after="0"/>
        <w:ind w:left="402" w:right="464" w:hanging="284"/>
        <w:jc w:val="left"/>
        <w:rPr>
          <w:sz w:val="19"/>
        </w:rPr>
      </w:pPr>
      <w:r>
        <w:rPr>
          <w:sz w:val="19"/>
        </w:rPr>
        <w:t>Construction impacts – addressed by CYP’s Environmental Management System, Construction</w:t>
      </w:r>
      <w:r>
        <w:rPr>
          <w:spacing w:val="1"/>
          <w:sz w:val="19"/>
        </w:rPr>
        <w:t> </w:t>
      </w:r>
      <w:r>
        <w:rPr>
          <w:sz w:val="19"/>
        </w:rPr>
        <w:t>Environmental Management Plan, Site Environment Implementation Plans, Early Works</w:t>
      </w:r>
      <w:r>
        <w:rPr>
          <w:spacing w:val="1"/>
          <w:sz w:val="19"/>
        </w:rPr>
        <w:t> </w:t>
      </w:r>
      <w:r>
        <w:rPr>
          <w:sz w:val="19"/>
        </w:rPr>
        <w:t>Management Plan and aspect-specific management plans (as specified in the Incorporated</w:t>
      </w:r>
      <w:r>
        <w:rPr>
          <w:spacing w:val="1"/>
          <w:sz w:val="19"/>
        </w:rPr>
        <w:t> </w:t>
      </w:r>
      <w:r>
        <w:rPr>
          <w:sz w:val="19"/>
        </w:rPr>
        <w:t>Document and EPRs). This has been subject to separate stakeholder consultation requirements</w:t>
      </w:r>
      <w:r>
        <w:rPr>
          <w:spacing w:val="-50"/>
          <w:sz w:val="19"/>
        </w:rPr>
        <w:t> </w:t>
      </w:r>
      <w:r>
        <w:rPr>
          <w:sz w:val="19"/>
        </w:rPr>
        <w:t>and review by the Independent Environmental Auditor, including quarterly audits of performance</w:t>
      </w:r>
      <w:r>
        <w:rPr>
          <w:spacing w:val="-50"/>
          <w:sz w:val="19"/>
        </w:rPr>
        <w:t> </w:t>
      </w:r>
      <w:r>
        <w:rPr>
          <w:sz w:val="19"/>
        </w:rPr>
        <w:t>throughout</w:t>
      </w:r>
      <w:r>
        <w:rPr>
          <w:spacing w:val="-2"/>
          <w:sz w:val="19"/>
        </w:rPr>
        <w:t> </w:t>
      </w:r>
      <w:r>
        <w:rPr>
          <w:sz w:val="19"/>
        </w:rPr>
        <w:t>construction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0" w:after="0"/>
        <w:ind w:left="402" w:right="438" w:hanging="284"/>
        <w:jc w:val="left"/>
        <w:rPr>
          <w:sz w:val="19"/>
        </w:rPr>
      </w:pPr>
      <w:r>
        <w:rPr>
          <w:sz w:val="19"/>
        </w:rPr>
        <w:t>Operational</w:t>
      </w:r>
      <w:r>
        <w:rPr>
          <w:spacing w:val="-4"/>
          <w:sz w:val="19"/>
        </w:rPr>
        <w:t> </w:t>
      </w:r>
      <w:r>
        <w:rPr>
          <w:sz w:val="19"/>
        </w:rPr>
        <w:t>impacts</w:t>
      </w:r>
      <w:r>
        <w:rPr>
          <w:spacing w:val="-3"/>
          <w:sz w:val="19"/>
        </w:rPr>
        <w:t> </w:t>
      </w:r>
      <w:r>
        <w:rPr>
          <w:sz w:val="19"/>
        </w:rPr>
        <w:t>–</w:t>
      </w:r>
      <w:r>
        <w:rPr>
          <w:spacing w:val="-5"/>
          <w:sz w:val="19"/>
        </w:rPr>
        <w:t> </w:t>
      </w:r>
      <w:r>
        <w:rPr>
          <w:sz w:val="19"/>
        </w:rPr>
        <w:t>addressed</w:t>
      </w:r>
      <w:r>
        <w:rPr>
          <w:spacing w:val="-6"/>
          <w:sz w:val="19"/>
        </w:rPr>
        <w:t> </w:t>
      </w:r>
      <w:r>
        <w:rPr>
          <w:sz w:val="19"/>
        </w:rPr>
        <w:t>by</w:t>
      </w:r>
      <w:r>
        <w:rPr>
          <w:spacing w:val="-5"/>
          <w:sz w:val="19"/>
        </w:rPr>
        <w:t> </w:t>
      </w:r>
      <w:r>
        <w:rPr>
          <w:sz w:val="19"/>
        </w:rPr>
        <w:t>CYP’s</w:t>
      </w:r>
      <w:r>
        <w:rPr>
          <w:spacing w:val="-5"/>
          <w:sz w:val="19"/>
        </w:rPr>
        <w:t> </w:t>
      </w:r>
      <w:r>
        <w:rPr>
          <w:sz w:val="19"/>
        </w:rPr>
        <w:t>Environmental</w:t>
      </w:r>
      <w:r>
        <w:rPr>
          <w:spacing w:val="-4"/>
          <w:sz w:val="19"/>
        </w:rPr>
        <w:t> </w:t>
      </w:r>
      <w:r>
        <w:rPr>
          <w:sz w:val="19"/>
        </w:rPr>
        <w:t>Management</w:t>
      </w:r>
      <w:r>
        <w:rPr>
          <w:spacing w:val="-5"/>
          <w:sz w:val="19"/>
        </w:rPr>
        <w:t> </w:t>
      </w:r>
      <w:r>
        <w:rPr>
          <w:sz w:val="19"/>
        </w:rPr>
        <w:t>System</w:t>
      </w:r>
      <w:r>
        <w:rPr>
          <w:spacing w:val="-5"/>
          <w:sz w:val="19"/>
        </w:rPr>
        <w:t> </w:t>
      </w:r>
      <w:r>
        <w:rPr>
          <w:sz w:val="19"/>
        </w:rPr>
        <w:t>and</w:t>
      </w:r>
      <w:r>
        <w:rPr>
          <w:spacing w:val="-7"/>
          <w:sz w:val="19"/>
        </w:rPr>
        <w:t> </w:t>
      </w:r>
      <w:r>
        <w:rPr>
          <w:sz w:val="19"/>
        </w:rPr>
        <w:t>Operations</w:t>
      </w:r>
      <w:r>
        <w:rPr>
          <w:spacing w:val="-50"/>
          <w:sz w:val="19"/>
        </w:rPr>
        <w:t> </w:t>
      </w:r>
      <w:r>
        <w:rPr>
          <w:sz w:val="19"/>
        </w:rPr>
        <w:t>Environmental Management Plan. This has been subject to separate stakeholder consultation</w:t>
      </w:r>
      <w:r>
        <w:rPr>
          <w:spacing w:val="1"/>
          <w:sz w:val="19"/>
        </w:rPr>
        <w:t> </w:t>
      </w:r>
      <w:r>
        <w:rPr>
          <w:sz w:val="19"/>
        </w:rPr>
        <w:t>requirements and review</w:t>
      </w:r>
      <w:r>
        <w:rPr>
          <w:spacing w:val="-1"/>
          <w:sz w:val="19"/>
        </w:rPr>
        <w:t> </w:t>
      </w:r>
      <w:r>
        <w:rPr>
          <w:sz w:val="19"/>
        </w:rPr>
        <w:t>by</w:t>
      </w:r>
      <w:r>
        <w:rPr>
          <w:spacing w:val="1"/>
          <w:sz w:val="19"/>
        </w:rPr>
        <w:t> </w:t>
      </w:r>
      <w:r>
        <w:rPr>
          <w:sz w:val="19"/>
        </w:rPr>
        <w:t>the</w:t>
      </w:r>
      <w:r>
        <w:rPr>
          <w:spacing w:val="-1"/>
          <w:sz w:val="19"/>
        </w:rPr>
        <w:t> </w:t>
      </w:r>
      <w:r>
        <w:rPr>
          <w:sz w:val="19"/>
        </w:rPr>
        <w:t>Independent</w:t>
      </w:r>
      <w:r>
        <w:rPr>
          <w:spacing w:val="-1"/>
          <w:sz w:val="19"/>
        </w:rPr>
        <w:t> </w:t>
      </w:r>
      <w:r>
        <w:rPr>
          <w:sz w:val="19"/>
        </w:rPr>
        <w:t>Environmental Auditor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8" w:after="0"/>
        <w:ind w:left="402" w:right="387" w:hanging="284"/>
        <w:jc w:val="left"/>
        <w:rPr>
          <w:sz w:val="19"/>
        </w:rPr>
      </w:pPr>
      <w:r>
        <w:rPr>
          <w:sz w:val="19"/>
        </w:rPr>
        <w:t>Geographically-specific – location specific requirements that are not in the Arden Station precinct</w:t>
      </w:r>
      <w:r>
        <w:rPr>
          <w:spacing w:val="-50"/>
          <w:sz w:val="19"/>
        </w:rPr>
        <w:t> </w:t>
      </w:r>
      <w:r>
        <w:rPr>
          <w:sz w:val="19"/>
        </w:rPr>
        <w:t>have</w:t>
      </w:r>
      <w:r>
        <w:rPr>
          <w:spacing w:val="-2"/>
          <w:sz w:val="19"/>
        </w:rPr>
        <w:t> </w:t>
      </w:r>
      <w:r>
        <w:rPr>
          <w:sz w:val="19"/>
        </w:rPr>
        <w:t>been addressed</w:t>
      </w:r>
      <w:r>
        <w:rPr>
          <w:spacing w:val="-1"/>
          <w:sz w:val="19"/>
        </w:rPr>
        <w:t> </w:t>
      </w:r>
      <w:r>
        <w:rPr>
          <w:sz w:val="19"/>
        </w:rPr>
        <w:t>in</w:t>
      </w:r>
      <w:r>
        <w:rPr>
          <w:spacing w:val="-1"/>
          <w:sz w:val="19"/>
        </w:rPr>
        <w:t> </w:t>
      </w:r>
      <w:r>
        <w:rPr>
          <w:sz w:val="19"/>
        </w:rPr>
        <w:t>the</w:t>
      </w:r>
      <w:r>
        <w:rPr>
          <w:spacing w:val="-2"/>
          <w:sz w:val="19"/>
        </w:rPr>
        <w:t> </w:t>
      </w:r>
      <w:r>
        <w:rPr>
          <w:sz w:val="19"/>
        </w:rPr>
        <w:t>relevant</w:t>
      </w:r>
      <w:r>
        <w:rPr>
          <w:spacing w:val="-1"/>
          <w:sz w:val="19"/>
        </w:rPr>
        <w:t> </w:t>
      </w:r>
      <w:r>
        <w:rPr>
          <w:sz w:val="19"/>
        </w:rPr>
        <w:t>precinct</w:t>
      </w:r>
      <w:r>
        <w:rPr>
          <w:spacing w:val="-1"/>
          <w:sz w:val="19"/>
        </w:rPr>
        <w:t> </w:t>
      </w:r>
      <w:r>
        <w:rPr>
          <w:sz w:val="19"/>
        </w:rPr>
        <w:t>Development</w:t>
      </w:r>
      <w:r>
        <w:rPr>
          <w:spacing w:val="-1"/>
          <w:sz w:val="19"/>
        </w:rPr>
        <w:t> </w:t>
      </w:r>
      <w:r>
        <w:rPr>
          <w:sz w:val="19"/>
        </w:rPr>
        <w:t>Plan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0" w:after="0"/>
        <w:ind w:left="402" w:right="390" w:hanging="284"/>
        <w:jc w:val="left"/>
        <w:rPr>
          <w:sz w:val="19"/>
        </w:rPr>
      </w:pPr>
      <w:r>
        <w:rPr>
          <w:sz w:val="19"/>
        </w:rPr>
        <w:t>Specific to another project contractor – compliance by other project contractors (e.g. Early Works</w:t>
      </w:r>
      <w:r>
        <w:rPr>
          <w:spacing w:val="-50"/>
          <w:sz w:val="19"/>
        </w:rPr>
        <w:t> </w:t>
      </w:r>
      <w:r>
        <w:rPr>
          <w:sz w:val="19"/>
        </w:rPr>
        <w:t>Managing Contractor) has been addressed in the relevant environmental management</w:t>
      </w:r>
      <w:r>
        <w:rPr>
          <w:spacing w:val="1"/>
          <w:sz w:val="19"/>
        </w:rPr>
        <w:t> </w:t>
      </w:r>
      <w:r>
        <w:rPr>
          <w:sz w:val="19"/>
        </w:rPr>
        <w:t>documentation</w:t>
      </w:r>
      <w:r>
        <w:rPr>
          <w:spacing w:val="-2"/>
          <w:sz w:val="19"/>
        </w:rPr>
        <w:t> </w:t>
      </w:r>
      <w:r>
        <w:rPr>
          <w:sz w:val="19"/>
        </w:rPr>
        <w:t>of</w:t>
      </w:r>
      <w:r>
        <w:rPr>
          <w:spacing w:val="-1"/>
          <w:sz w:val="19"/>
        </w:rPr>
        <w:t> </w:t>
      </w:r>
      <w:r>
        <w:rPr>
          <w:sz w:val="19"/>
        </w:rPr>
        <w:t>that</w:t>
      </w:r>
      <w:r>
        <w:rPr>
          <w:spacing w:val="-1"/>
          <w:sz w:val="19"/>
        </w:rPr>
        <w:t> </w:t>
      </w:r>
      <w:r>
        <w:rPr>
          <w:sz w:val="19"/>
        </w:rPr>
        <w:t>project</w:t>
      </w:r>
      <w:r>
        <w:rPr>
          <w:spacing w:val="-3"/>
          <w:sz w:val="19"/>
        </w:rPr>
        <w:t> </w:t>
      </w:r>
      <w:r>
        <w:rPr>
          <w:sz w:val="19"/>
        </w:rPr>
        <w:t>contractor.</w:t>
      </w:r>
    </w:p>
    <w:p>
      <w:pPr>
        <w:spacing w:after="0" w:line="240" w:lineRule="auto"/>
        <w:jc w:val="left"/>
        <w:rPr>
          <w:sz w:val="19"/>
        </w:rPr>
        <w:sectPr>
          <w:pgSz w:w="11910" w:h="16840"/>
          <w:pgMar w:header="936" w:footer="365" w:top="1900" w:bottom="640" w:left="130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spacing w:before="93"/>
        <w:ind w:left="118" w:right="354"/>
      </w:pPr>
      <w:r>
        <w:rPr/>
        <w:t>An assessment of each EPR is provided in Appendix F: Arden Station Precinct Environmental</w:t>
      </w:r>
      <w:r>
        <w:rPr>
          <w:spacing w:val="1"/>
        </w:rPr>
        <w:t> </w:t>
      </w:r>
      <w:r>
        <w:rPr/>
        <w:t>Performance Requirements assessment. This identifies key EPRs relevant to this Development Plan</w:t>
      </w:r>
      <w:r>
        <w:rPr>
          <w:spacing w:val="-50"/>
        </w:rPr>
        <w:t> </w:t>
      </w:r>
      <w:r>
        <w:rPr/>
        <w:t>and</w:t>
      </w:r>
      <w:r>
        <w:rPr>
          <w:spacing w:val="-1"/>
        </w:rPr>
        <w:t> </w:t>
      </w:r>
      <w:r>
        <w:rPr/>
        <w:t>these are presented below.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3"/>
        <w:numPr>
          <w:ilvl w:val="2"/>
          <w:numId w:val="5"/>
        </w:numPr>
        <w:tabs>
          <w:tab w:pos="971" w:val="left" w:leader="none"/>
        </w:tabs>
        <w:spacing w:line="240" w:lineRule="auto" w:before="0" w:after="0"/>
        <w:ind w:left="970" w:right="0" w:hanging="853"/>
        <w:jc w:val="left"/>
      </w:pPr>
      <w:bookmarkStart w:name="_bookmark47" w:id="115"/>
      <w:bookmarkEnd w:id="115"/>
      <w:r>
        <w:rPr/>
      </w:r>
      <w:bookmarkStart w:name="_bookmark47" w:id="116"/>
      <w:bookmarkEnd w:id="116"/>
      <w:r>
        <w:rPr>
          <w:color w:val="808080"/>
        </w:rPr>
        <w:t>AQU</w:t>
      </w:r>
      <w:r>
        <w:rPr>
          <w:color w:val="808080"/>
        </w:rPr>
        <w:t>ATIC</w:t>
      </w:r>
      <w:r>
        <w:rPr>
          <w:color w:val="808080"/>
          <w:spacing w:val="-5"/>
        </w:rPr>
        <w:t> </w:t>
      </w:r>
      <w:r>
        <w:rPr>
          <w:color w:val="808080"/>
        </w:rPr>
        <w:t>ECOLOGY</w:t>
      </w:r>
      <w:r>
        <w:rPr>
          <w:color w:val="808080"/>
          <w:spacing w:val="-3"/>
        </w:rPr>
        <w:t> </w:t>
      </w:r>
      <w:r>
        <w:rPr>
          <w:color w:val="808080"/>
        </w:rPr>
        <w:t>AND</w:t>
      </w:r>
      <w:r>
        <w:rPr>
          <w:color w:val="808080"/>
          <w:spacing w:val="-4"/>
        </w:rPr>
        <w:t> </w:t>
      </w:r>
      <w:r>
        <w:rPr>
          <w:color w:val="808080"/>
        </w:rPr>
        <w:t>RIVER</w:t>
      </w:r>
      <w:r>
        <w:rPr>
          <w:color w:val="808080"/>
          <w:spacing w:val="-5"/>
        </w:rPr>
        <w:t> </w:t>
      </w:r>
      <w:r>
        <w:rPr>
          <w:color w:val="808080"/>
        </w:rPr>
        <w:t>HEALTH</w:t>
      </w:r>
    </w:p>
    <w:p>
      <w:pPr>
        <w:pStyle w:val="BodyText"/>
        <w:spacing w:before="122"/>
        <w:ind w:left="118"/>
      </w:pPr>
      <w:hyperlink w:history="true" w:anchor="_bookmark48">
        <w:r>
          <w:rPr/>
          <w:t>Table</w:t>
        </w:r>
        <w:r>
          <w:rPr>
            <w:spacing w:val="-2"/>
          </w:rPr>
          <w:t> </w:t>
        </w:r>
        <w:r>
          <w:rPr/>
          <w:t>5</w:t>
        </w:r>
        <w:r>
          <w:rPr>
            <w:spacing w:val="-1"/>
          </w:rPr>
          <w:t> </w:t>
        </w:r>
      </w:hyperlink>
      <w:r>
        <w:rPr/>
        <w:t>provides the</w:t>
      </w:r>
      <w:r>
        <w:rPr>
          <w:spacing w:val="-1"/>
        </w:rPr>
        <w:t> </w:t>
      </w:r>
      <w:r>
        <w:rPr/>
        <w:t>CYP</w:t>
      </w:r>
      <w:r>
        <w:rPr>
          <w:spacing w:val="-2"/>
        </w:rPr>
        <w:t> </w:t>
      </w:r>
      <w:r>
        <w:rPr/>
        <w:t>design</w:t>
      </w:r>
      <w:r>
        <w:rPr>
          <w:spacing w:val="-2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relevant</w:t>
      </w:r>
      <w:r>
        <w:rPr>
          <w:spacing w:val="-3"/>
        </w:rPr>
        <w:t> </w:t>
      </w:r>
      <w:r>
        <w:rPr/>
        <w:t>aquatic</w:t>
      </w:r>
      <w:r>
        <w:rPr>
          <w:spacing w:val="-1"/>
        </w:rPr>
        <w:t> </w:t>
      </w:r>
      <w:r>
        <w:rPr/>
        <w:t>ecology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river</w:t>
      </w:r>
      <w:r>
        <w:rPr>
          <w:spacing w:val="-3"/>
        </w:rPr>
        <w:t> </w:t>
      </w:r>
      <w:r>
        <w:rPr/>
        <w:t>health</w:t>
      </w:r>
      <w:r>
        <w:rPr>
          <w:spacing w:val="-2"/>
        </w:rPr>
        <w:t> </w:t>
      </w:r>
      <w:r>
        <w:rPr/>
        <w:t>EPRs.</w:t>
      </w:r>
    </w:p>
    <w:p>
      <w:pPr>
        <w:spacing w:before="120"/>
        <w:ind w:left="118" w:right="0" w:firstLine="0"/>
        <w:jc w:val="left"/>
        <w:rPr>
          <w:sz w:val="18"/>
        </w:rPr>
      </w:pPr>
      <w:bookmarkStart w:name="_bookmark48" w:id="117"/>
      <w:bookmarkEnd w:id="117"/>
      <w:r>
        <w:rPr/>
      </w:r>
      <w:r>
        <w:rPr>
          <w:sz w:val="18"/>
        </w:rPr>
        <w:t>Table</w:t>
      </w:r>
      <w:r>
        <w:rPr>
          <w:spacing w:val="-3"/>
          <w:sz w:val="18"/>
        </w:rPr>
        <w:t> </w:t>
      </w:r>
      <w:r>
        <w:rPr>
          <w:sz w:val="18"/>
        </w:rPr>
        <w:t>5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Design</w:t>
      </w:r>
      <w:r>
        <w:rPr>
          <w:spacing w:val="-2"/>
          <w:sz w:val="18"/>
        </w:rPr>
        <w:t> </w:t>
      </w:r>
      <w:r>
        <w:rPr>
          <w:sz w:val="18"/>
        </w:rPr>
        <w:t>response</w:t>
      </w:r>
      <w:r>
        <w:rPr>
          <w:spacing w:val="-2"/>
          <w:sz w:val="18"/>
        </w:rPr>
        <w:t> </w:t>
      </w:r>
      <w:r>
        <w:rPr>
          <w:sz w:val="18"/>
        </w:rPr>
        <w:t>to</w:t>
      </w:r>
      <w:r>
        <w:rPr>
          <w:spacing w:val="-4"/>
          <w:sz w:val="18"/>
        </w:rPr>
        <w:t> </w:t>
      </w:r>
      <w:r>
        <w:rPr>
          <w:sz w:val="18"/>
        </w:rPr>
        <w:t>relevant</w:t>
      </w:r>
      <w:r>
        <w:rPr>
          <w:spacing w:val="-3"/>
          <w:sz w:val="18"/>
        </w:rPr>
        <w:t> </w:t>
      </w:r>
      <w:r>
        <w:rPr>
          <w:sz w:val="18"/>
        </w:rPr>
        <w:t>aquatic</w:t>
      </w:r>
      <w:r>
        <w:rPr>
          <w:spacing w:val="-4"/>
          <w:sz w:val="18"/>
        </w:rPr>
        <w:t> </w:t>
      </w:r>
      <w:r>
        <w:rPr>
          <w:sz w:val="18"/>
        </w:rPr>
        <w:t>ecology</w:t>
      </w:r>
      <w:r>
        <w:rPr>
          <w:spacing w:val="-3"/>
          <w:sz w:val="18"/>
        </w:rPr>
        <w:t> </w:t>
      </w:r>
      <w:r>
        <w:rPr>
          <w:sz w:val="18"/>
        </w:rPr>
        <w:t>and</w:t>
      </w:r>
      <w:r>
        <w:rPr>
          <w:spacing w:val="-2"/>
          <w:sz w:val="18"/>
        </w:rPr>
        <w:t> </w:t>
      </w:r>
      <w:r>
        <w:rPr>
          <w:sz w:val="18"/>
        </w:rPr>
        <w:t>river</w:t>
      </w:r>
      <w:r>
        <w:rPr>
          <w:spacing w:val="-2"/>
          <w:sz w:val="18"/>
        </w:rPr>
        <w:t> </w:t>
      </w:r>
      <w:r>
        <w:rPr>
          <w:sz w:val="18"/>
        </w:rPr>
        <w:t>health</w:t>
      </w:r>
      <w:r>
        <w:rPr>
          <w:spacing w:val="-2"/>
          <w:sz w:val="18"/>
        </w:rPr>
        <w:t> </w:t>
      </w:r>
      <w:r>
        <w:rPr>
          <w:sz w:val="18"/>
        </w:rPr>
        <w:t>EPRs</w:t>
      </w: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6232"/>
      </w:tblGrid>
      <w:tr>
        <w:trPr>
          <w:trHeight w:val="357" w:hRule="atLeast"/>
        </w:trPr>
        <w:tc>
          <w:tcPr>
            <w:tcW w:w="2263" w:type="dxa"/>
            <w:shd w:val="clear" w:color="auto" w:fill="00BBE9"/>
          </w:tcPr>
          <w:p>
            <w:pPr>
              <w:pStyle w:val="TableParagraph"/>
              <w:spacing w:before="69"/>
              <w:ind w:left="11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EPR</w:t>
            </w:r>
          </w:p>
        </w:tc>
        <w:tc>
          <w:tcPr>
            <w:tcW w:w="6232" w:type="dxa"/>
            <w:shd w:val="clear" w:color="auto" w:fill="00BBE9"/>
          </w:tcPr>
          <w:p>
            <w:pPr>
              <w:pStyle w:val="TableParagraph"/>
              <w:spacing w:before="69"/>
              <w:ind w:left="11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Design</w:t>
            </w:r>
            <w:r>
              <w:rPr>
                <w:b/>
                <w:color w:val="FFFFFF"/>
                <w:spacing w:val="-4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Response</w:t>
            </w:r>
          </w:p>
        </w:tc>
      </w:tr>
      <w:tr>
        <w:trPr>
          <w:trHeight w:val="5693" w:hRule="atLeast"/>
        </w:trPr>
        <w:tc>
          <w:tcPr>
            <w:tcW w:w="2263" w:type="dxa"/>
            <w:tcBorders>
              <w:left w:val="single" w:sz="4" w:space="0" w:color="57DEFF"/>
              <w:bottom w:val="single" w:sz="4" w:space="0" w:color="57DEFF"/>
              <w:right w:val="single" w:sz="4" w:space="0" w:color="57DEFF"/>
            </w:tcBorders>
          </w:tcPr>
          <w:p>
            <w:pPr>
              <w:pStyle w:val="TableParagraph"/>
              <w:spacing w:before="61"/>
              <w:ind w:right="543"/>
              <w:rPr>
                <w:sz w:val="16"/>
              </w:rPr>
            </w:pPr>
            <w:r>
              <w:rPr>
                <w:sz w:val="16"/>
              </w:rPr>
              <w:t>EPR AE1: Stormwater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treatment</w:t>
            </w:r>
          </w:p>
          <w:p>
            <w:pPr>
              <w:pStyle w:val="TableParagraph"/>
              <w:spacing w:before="60"/>
              <w:ind w:right="543"/>
              <w:rPr>
                <w:sz w:val="16"/>
              </w:rPr>
            </w:pPr>
            <w:r>
              <w:rPr>
                <w:sz w:val="16"/>
              </w:rPr>
              <w:t>EPR AE7: Stormwater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treatment</w:t>
            </w:r>
          </w:p>
        </w:tc>
        <w:tc>
          <w:tcPr>
            <w:tcW w:w="6232" w:type="dxa"/>
            <w:tcBorders>
              <w:left w:val="single" w:sz="4" w:space="0" w:color="57DEFF"/>
              <w:bottom w:val="single" w:sz="4" w:space="0" w:color="57DEFF"/>
              <w:right w:val="single" w:sz="4" w:space="0" w:color="57DEFF"/>
            </w:tcBorders>
          </w:tcPr>
          <w:p>
            <w:pPr>
              <w:pStyle w:val="TableParagraph"/>
              <w:spacing w:before="61"/>
              <w:ind w:left="108" w:right="356"/>
              <w:rPr>
                <w:sz w:val="16"/>
              </w:rPr>
            </w:pPr>
            <w:r>
              <w:rPr>
                <w:sz w:val="16"/>
              </w:rPr>
              <w:t>The design of the Arden Station precinct has been developed in consultation with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Melbourne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Water and City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Melbourne.</w:t>
            </w:r>
          </w:p>
          <w:p>
            <w:pPr>
              <w:pStyle w:val="TableParagraph"/>
              <w:spacing w:before="60"/>
              <w:ind w:left="108" w:right="108"/>
              <w:rPr>
                <w:sz w:val="16"/>
              </w:rPr>
            </w:pPr>
            <w:r>
              <w:rPr>
                <w:sz w:val="16"/>
              </w:rPr>
              <w:t>The Arden floodplain has been considered within the precinct design development,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with Water Sensitive Urban Design (WUSD) principles also included. Measures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integrated into the Arden Station precinct will ensure that stormwater entering bodies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of water complies with the relevant Environmental Performance Requirements (EPR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AE1 and EPR AE7). In meeting these requirements, the Project has implemented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design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measures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that align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with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City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Melbourne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water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management plan.</w:t>
            </w:r>
          </w:p>
          <w:p>
            <w:pPr>
              <w:pStyle w:val="TableParagraph"/>
              <w:spacing w:before="2"/>
              <w:ind w:left="108"/>
              <w:rPr>
                <w:sz w:val="16"/>
              </w:rPr>
            </w:pPr>
            <w:r>
              <w:rPr>
                <w:sz w:val="16"/>
              </w:rPr>
              <w:t>Broadly,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these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objectives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include: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79" w:val="left" w:leader="none"/>
              </w:tabs>
              <w:spacing w:line="240" w:lineRule="auto" w:before="57" w:after="0"/>
              <w:ind w:left="278" w:right="0" w:hanging="171"/>
              <w:jc w:val="left"/>
              <w:rPr>
                <w:sz w:val="16"/>
              </w:rPr>
            </w:pPr>
            <w:r>
              <w:rPr>
                <w:sz w:val="16"/>
              </w:rPr>
              <w:t>Reducing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flood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risk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lower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elevated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areas of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flood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catchment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areas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79" w:val="left" w:leader="none"/>
              </w:tabs>
              <w:spacing w:line="240" w:lineRule="auto" w:before="59" w:after="0"/>
              <w:ind w:left="278" w:right="0" w:hanging="171"/>
              <w:jc w:val="left"/>
              <w:rPr>
                <w:sz w:val="16"/>
              </w:rPr>
            </w:pPr>
            <w:r>
              <w:rPr>
                <w:sz w:val="16"/>
              </w:rPr>
              <w:t>Increasing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soil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moisture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79" w:val="left" w:leader="none"/>
              </w:tabs>
              <w:spacing w:line="240" w:lineRule="auto" w:before="61" w:after="0"/>
              <w:ind w:left="278" w:right="162" w:hanging="171"/>
              <w:jc w:val="left"/>
              <w:rPr>
                <w:sz w:val="16"/>
              </w:rPr>
            </w:pPr>
            <w:r>
              <w:rPr>
                <w:sz w:val="16"/>
              </w:rPr>
              <w:t>Mimicking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water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cycle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by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retaining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more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rainwater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upper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section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catchments,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reducing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stormwater runoff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79" w:val="left" w:leader="none"/>
              </w:tabs>
              <w:spacing w:line="240" w:lineRule="atLeast" w:before="12" w:after="0"/>
              <w:ind w:left="108" w:right="1031" w:firstLine="0"/>
              <w:jc w:val="left"/>
              <w:rPr>
                <w:sz w:val="16"/>
              </w:rPr>
            </w:pPr>
            <w:r>
              <w:rPr>
                <w:sz w:val="16"/>
              </w:rPr>
              <w:t>Providing passive irrigation to plants reducing potable water demand.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order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meet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these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objectives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satisfy the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relevant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Environmental</w:t>
            </w:r>
          </w:p>
          <w:p>
            <w:pPr>
              <w:pStyle w:val="TableParagraph"/>
              <w:spacing w:before="5"/>
              <w:ind w:left="108" w:right="784"/>
              <w:rPr>
                <w:sz w:val="16"/>
              </w:rPr>
            </w:pPr>
            <w:r>
              <w:rPr>
                <w:sz w:val="16"/>
              </w:rPr>
              <w:t>Performance Requirements (EPR AE1 and EPR AE7), the following design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measures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have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been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implemented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Arden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Station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precinct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design: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79" w:val="left" w:leader="none"/>
              </w:tabs>
              <w:spacing w:line="240" w:lineRule="auto" w:before="61" w:after="0"/>
              <w:ind w:left="278" w:right="193" w:hanging="171"/>
              <w:jc w:val="left"/>
              <w:rPr>
                <w:sz w:val="16"/>
              </w:rPr>
            </w:pPr>
            <w:r>
              <w:rPr>
                <w:sz w:val="16"/>
              </w:rPr>
              <w:t>Maintaining the area to the west of the station building as grassed, identified in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close consultation with Melbourne Water and Victorian Planning Authority. This is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consistent with the precinct-wide flood management strategy outlined in the draft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Arden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Structure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Plan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(2020)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279" w:val="left" w:leader="none"/>
              </w:tabs>
              <w:spacing w:line="237" w:lineRule="auto" w:before="60" w:after="0"/>
              <w:ind w:left="278" w:right="118" w:hanging="171"/>
              <w:jc w:val="left"/>
              <w:rPr>
                <w:sz w:val="16"/>
              </w:rPr>
            </w:pPr>
            <w:r>
              <w:rPr>
                <w:sz w:val="16"/>
              </w:rPr>
              <w:t>Provision of tree pits containing large soil volumes which are fed by drainage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grates have been integrated into the public realm hardscape design. These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measures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both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provide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passive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irrigation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assist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with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stormwater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management.</w:t>
            </w:r>
          </w:p>
          <w:p>
            <w:pPr>
              <w:pStyle w:val="TableParagraph"/>
              <w:spacing w:before="62"/>
              <w:ind w:left="108" w:right="206"/>
              <w:rPr>
                <w:sz w:val="16"/>
              </w:rPr>
            </w:pPr>
            <w:r>
              <w:rPr>
                <w:sz w:val="16"/>
              </w:rPr>
              <w:t>Landscape drawings in Appendix C: Arden Station Precinct Landscape Plans and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Elevations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show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location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these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water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sensitive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urban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design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plantings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across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Arden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Station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precinct,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incorporating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water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sensitive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urban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design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measures.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3"/>
        <w:numPr>
          <w:ilvl w:val="2"/>
          <w:numId w:val="5"/>
        </w:numPr>
        <w:tabs>
          <w:tab w:pos="971" w:val="left" w:leader="none"/>
        </w:tabs>
        <w:spacing w:line="240" w:lineRule="auto" w:before="0" w:after="0"/>
        <w:ind w:left="970" w:right="0" w:hanging="853"/>
        <w:jc w:val="left"/>
      </w:pPr>
      <w:bookmarkStart w:name="_bookmark49" w:id="118"/>
      <w:bookmarkEnd w:id="118"/>
      <w:r>
        <w:rPr/>
      </w:r>
      <w:bookmarkStart w:name="_bookmark49" w:id="119"/>
      <w:bookmarkEnd w:id="119"/>
      <w:r>
        <w:rPr>
          <w:color w:val="808080"/>
        </w:rPr>
        <w:t>AR</w:t>
      </w:r>
      <w:r>
        <w:rPr>
          <w:color w:val="808080"/>
        </w:rPr>
        <w:t>BORICULTURE</w:t>
      </w:r>
    </w:p>
    <w:p>
      <w:pPr>
        <w:pStyle w:val="BodyText"/>
        <w:spacing w:before="122"/>
        <w:ind w:left="118"/>
      </w:pPr>
      <w:hyperlink w:history="true" w:anchor="_bookmark50">
        <w:r>
          <w:rPr/>
          <w:t>Table</w:t>
        </w:r>
        <w:r>
          <w:rPr>
            <w:spacing w:val="-2"/>
          </w:rPr>
          <w:t> </w:t>
        </w:r>
        <w:r>
          <w:rPr/>
          <w:t>6</w:t>
        </w:r>
        <w:r>
          <w:rPr>
            <w:spacing w:val="-1"/>
          </w:rPr>
          <w:t> </w:t>
        </w:r>
      </w:hyperlink>
      <w:r>
        <w:rPr/>
        <w:t>provides the</w:t>
      </w:r>
      <w:r>
        <w:rPr>
          <w:spacing w:val="-1"/>
        </w:rPr>
        <w:t> </w:t>
      </w:r>
      <w:r>
        <w:rPr/>
        <w:t>CYP</w:t>
      </w:r>
      <w:r>
        <w:rPr>
          <w:spacing w:val="-1"/>
        </w:rPr>
        <w:t> </w:t>
      </w:r>
      <w:r>
        <w:rPr/>
        <w:t>design</w:t>
      </w:r>
      <w:r>
        <w:rPr>
          <w:spacing w:val="-2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relevant</w:t>
      </w:r>
      <w:r>
        <w:rPr>
          <w:spacing w:val="-3"/>
        </w:rPr>
        <w:t> </w:t>
      </w:r>
      <w:r>
        <w:rPr/>
        <w:t>arboriculture</w:t>
      </w:r>
      <w:r>
        <w:rPr>
          <w:spacing w:val="-2"/>
        </w:rPr>
        <w:t> </w:t>
      </w:r>
      <w:r>
        <w:rPr/>
        <w:t>EPRs.</w:t>
      </w:r>
    </w:p>
    <w:p>
      <w:pPr>
        <w:spacing w:before="120"/>
        <w:ind w:left="118" w:right="0" w:firstLine="0"/>
        <w:jc w:val="left"/>
        <w:rPr>
          <w:sz w:val="18"/>
        </w:rPr>
      </w:pPr>
      <w:bookmarkStart w:name="_bookmark50" w:id="120"/>
      <w:bookmarkEnd w:id="120"/>
      <w:r>
        <w:rPr/>
      </w:r>
      <w:r>
        <w:rPr>
          <w:sz w:val="18"/>
        </w:rPr>
        <w:t>Table</w:t>
      </w:r>
      <w:r>
        <w:rPr>
          <w:spacing w:val="-3"/>
          <w:sz w:val="18"/>
        </w:rPr>
        <w:t> </w:t>
      </w:r>
      <w:r>
        <w:rPr>
          <w:sz w:val="18"/>
        </w:rPr>
        <w:t>6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Design</w:t>
      </w:r>
      <w:r>
        <w:rPr>
          <w:spacing w:val="-2"/>
          <w:sz w:val="18"/>
        </w:rPr>
        <w:t> </w:t>
      </w:r>
      <w:r>
        <w:rPr>
          <w:sz w:val="18"/>
        </w:rPr>
        <w:t>response</w:t>
      </w:r>
      <w:r>
        <w:rPr>
          <w:spacing w:val="-2"/>
          <w:sz w:val="18"/>
        </w:rPr>
        <w:t> </w:t>
      </w:r>
      <w:r>
        <w:rPr>
          <w:sz w:val="18"/>
        </w:rPr>
        <w:t>to</w:t>
      </w:r>
      <w:r>
        <w:rPr>
          <w:spacing w:val="-4"/>
          <w:sz w:val="18"/>
        </w:rPr>
        <w:t> </w:t>
      </w:r>
      <w:r>
        <w:rPr>
          <w:sz w:val="18"/>
        </w:rPr>
        <w:t>relevant</w:t>
      </w:r>
      <w:r>
        <w:rPr>
          <w:spacing w:val="-4"/>
          <w:sz w:val="18"/>
        </w:rPr>
        <w:t> </w:t>
      </w:r>
      <w:r>
        <w:rPr>
          <w:sz w:val="18"/>
        </w:rPr>
        <w:t>arboriculture</w:t>
      </w:r>
      <w:r>
        <w:rPr>
          <w:spacing w:val="-4"/>
          <w:sz w:val="18"/>
        </w:rPr>
        <w:t> </w:t>
      </w:r>
      <w:r>
        <w:rPr>
          <w:sz w:val="18"/>
        </w:rPr>
        <w:t>EPRs</w:t>
      </w: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6232"/>
      </w:tblGrid>
      <w:tr>
        <w:trPr>
          <w:trHeight w:val="357" w:hRule="atLeast"/>
        </w:trPr>
        <w:tc>
          <w:tcPr>
            <w:tcW w:w="2263" w:type="dxa"/>
            <w:shd w:val="clear" w:color="auto" w:fill="00BBE9"/>
          </w:tcPr>
          <w:p>
            <w:pPr>
              <w:pStyle w:val="TableParagraph"/>
              <w:spacing w:before="69"/>
              <w:ind w:left="11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EPR</w:t>
            </w:r>
          </w:p>
        </w:tc>
        <w:tc>
          <w:tcPr>
            <w:tcW w:w="6232" w:type="dxa"/>
            <w:shd w:val="clear" w:color="auto" w:fill="00BBE9"/>
          </w:tcPr>
          <w:p>
            <w:pPr>
              <w:pStyle w:val="TableParagraph"/>
              <w:spacing w:before="69"/>
              <w:ind w:left="11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Design</w:t>
            </w:r>
            <w:r>
              <w:rPr>
                <w:b/>
                <w:color w:val="FFFFFF"/>
                <w:spacing w:val="-4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Response</w:t>
            </w:r>
          </w:p>
        </w:tc>
      </w:tr>
      <w:tr>
        <w:trPr>
          <w:trHeight w:val="2387" w:hRule="atLeast"/>
        </w:trPr>
        <w:tc>
          <w:tcPr>
            <w:tcW w:w="2263" w:type="dxa"/>
            <w:tcBorders>
              <w:left w:val="single" w:sz="4" w:space="0" w:color="57DEFF"/>
              <w:bottom w:val="single" w:sz="4" w:space="0" w:color="57DEFF"/>
              <w:right w:val="single" w:sz="4" w:space="0" w:color="57DEFF"/>
            </w:tcBorders>
          </w:tcPr>
          <w:p>
            <w:pPr>
              <w:pStyle w:val="TableParagraph"/>
              <w:spacing w:before="61"/>
              <w:ind w:right="356"/>
              <w:rPr>
                <w:sz w:val="16"/>
              </w:rPr>
            </w:pPr>
            <w:r>
              <w:rPr>
                <w:sz w:val="16"/>
              </w:rPr>
              <w:t>EPR AR1: Maximise tree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retention</w:t>
            </w:r>
          </w:p>
        </w:tc>
        <w:tc>
          <w:tcPr>
            <w:tcW w:w="6232" w:type="dxa"/>
            <w:tcBorders>
              <w:left w:val="single" w:sz="4" w:space="0" w:color="57DEFF"/>
              <w:bottom w:val="single" w:sz="4" w:space="0" w:color="57DEFF"/>
              <w:right w:val="single" w:sz="4" w:space="0" w:color="57DEFF"/>
            </w:tcBorders>
          </w:tcPr>
          <w:p>
            <w:pPr>
              <w:pStyle w:val="TableParagraph"/>
              <w:spacing w:before="61"/>
              <w:ind w:left="108" w:right="356"/>
              <w:rPr>
                <w:sz w:val="16"/>
              </w:rPr>
            </w:pPr>
            <w:r>
              <w:rPr>
                <w:sz w:val="16"/>
              </w:rPr>
              <w:t>The design of the Arden Station precinct has been developed in consultation with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City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Melbourne.</w:t>
            </w:r>
          </w:p>
          <w:p>
            <w:pPr>
              <w:pStyle w:val="TableParagraph"/>
              <w:spacing w:before="59"/>
              <w:ind w:left="108" w:right="161"/>
              <w:rPr>
                <w:sz w:val="16"/>
              </w:rPr>
            </w:pPr>
            <w:r>
              <w:rPr>
                <w:sz w:val="16"/>
              </w:rPr>
              <w:t>The removal of trees has been avoided, where possible, with particular emphasis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given to the retention of mature trees, such as those along Laurens Street. This has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been achieved through the placement of the station box, which has been reduced in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size. Additionally, surface works pertaining to the strategic placement of street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furniture and ancillary structures such as emergency egress and vent shafts have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been designed to maximise the retention of existing trees within the Arden Station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precinct.</w:t>
            </w:r>
          </w:p>
          <w:p>
            <w:pPr>
              <w:pStyle w:val="TableParagraph"/>
              <w:spacing w:before="61"/>
              <w:ind w:left="108"/>
              <w:rPr>
                <w:sz w:val="16"/>
              </w:rPr>
            </w:pP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part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project works,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90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trees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will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removed.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60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these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trees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have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been</w:t>
            </w:r>
          </w:p>
          <w:p>
            <w:pPr>
              <w:pStyle w:val="TableParagraph"/>
              <w:spacing w:line="182" w:lineRule="exact" w:before="0"/>
              <w:ind w:left="108" w:right="135"/>
              <w:rPr>
                <w:sz w:val="16"/>
              </w:rPr>
            </w:pPr>
            <w:r>
              <w:rPr>
                <w:sz w:val="16"/>
              </w:rPr>
              <w:t>removed during early works with an additional 30 to be removed due to CYP design.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Design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changes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have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improved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tree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retention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with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32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less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trees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removed than</w:t>
            </w:r>
          </w:p>
        </w:tc>
      </w:tr>
    </w:tbl>
    <w:p>
      <w:pPr>
        <w:spacing w:after="0" w:line="182" w:lineRule="exact"/>
        <w:rPr>
          <w:sz w:val="16"/>
        </w:rPr>
        <w:sectPr>
          <w:pgSz w:w="11910" w:h="16840"/>
          <w:pgMar w:header="936" w:footer="365" w:top="1900" w:bottom="640" w:left="130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tbl>
      <w:tblPr>
        <w:tblW w:w="0" w:type="auto"/>
        <w:jc w:val="left"/>
        <w:tblInd w:w="131" w:type="dxa"/>
        <w:tblBorders>
          <w:top w:val="single" w:sz="4" w:space="0" w:color="57DEFF"/>
          <w:left w:val="single" w:sz="4" w:space="0" w:color="57DEFF"/>
          <w:bottom w:val="single" w:sz="4" w:space="0" w:color="57DEFF"/>
          <w:right w:val="single" w:sz="4" w:space="0" w:color="57DEFF"/>
          <w:insideH w:val="single" w:sz="4" w:space="0" w:color="57DEFF"/>
          <w:insideV w:val="single" w:sz="4" w:space="0" w:color="57DE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6232"/>
      </w:tblGrid>
      <w:tr>
        <w:trPr>
          <w:trHeight w:val="357" w:hRule="atLeast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69"/>
              <w:ind w:left="11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EPR</w:t>
            </w:r>
          </w:p>
        </w:tc>
        <w:tc>
          <w:tcPr>
            <w:tcW w:w="6232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69"/>
              <w:ind w:left="11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Design</w:t>
            </w:r>
            <w:r>
              <w:rPr>
                <w:b/>
                <w:color w:val="FFFFFF"/>
                <w:spacing w:val="-4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Response</w:t>
            </w:r>
          </w:p>
        </w:tc>
      </w:tr>
      <w:tr>
        <w:trPr>
          <w:trHeight w:val="1408" w:hRule="atLeast"/>
        </w:trPr>
        <w:tc>
          <w:tcPr>
            <w:tcW w:w="2263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232" w:type="dxa"/>
            <w:tcBorders>
              <w:top w:val="nil"/>
            </w:tcBorders>
          </w:tcPr>
          <w:p>
            <w:pPr>
              <w:pStyle w:val="TableParagraph"/>
              <w:spacing w:before="1"/>
              <w:ind w:left="108" w:right="206"/>
              <w:rPr>
                <w:sz w:val="16"/>
              </w:rPr>
            </w:pPr>
            <w:r>
              <w:rPr>
                <w:sz w:val="16"/>
              </w:rPr>
              <w:t>identified during the EES and 15 less than the previously approved Development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Plan. None of the trees proposed for removal are considered native vegetation in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accordance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with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the DELWP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Guidelines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for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removal,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destruction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lopping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native vegetation (2017) (or under the previous Permitted Clearing of Native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Vegetation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 Biodiversity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Assessment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Guidelines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(2013).</w:t>
            </w:r>
          </w:p>
          <w:p>
            <w:pPr>
              <w:pStyle w:val="TableParagraph"/>
              <w:spacing w:before="59"/>
              <w:ind w:left="108" w:right="259"/>
              <w:rPr>
                <w:sz w:val="16"/>
              </w:rPr>
            </w:pPr>
            <w:r>
              <w:rPr>
                <w:sz w:val="16"/>
              </w:rPr>
              <w:t>The retained and removed trees are shown on the landscape plans in Appendix C: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Arden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Station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Precinct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Landscape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Plans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Elevations.</w:t>
            </w:r>
          </w:p>
        </w:tc>
      </w:tr>
      <w:tr>
        <w:trPr>
          <w:trHeight w:val="4121" w:hRule="atLeast"/>
        </w:trPr>
        <w:tc>
          <w:tcPr>
            <w:tcW w:w="2263" w:type="dxa"/>
          </w:tcPr>
          <w:p>
            <w:pPr>
              <w:pStyle w:val="TableParagraph"/>
              <w:spacing w:before="61"/>
              <w:ind w:right="427"/>
              <w:rPr>
                <w:sz w:val="16"/>
              </w:rPr>
            </w:pPr>
            <w:r>
              <w:rPr>
                <w:sz w:val="16"/>
              </w:rPr>
              <w:t>EPR AR2: Tree soil and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water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supply</w:t>
            </w:r>
          </w:p>
        </w:tc>
        <w:tc>
          <w:tcPr>
            <w:tcW w:w="6232" w:type="dxa"/>
          </w:tcPr>
          <w:p>
            <w:pPr>
              <w:pStyle w:val="TableParagraph"/>
              <w:spacing w:before="61"/>
              <w:ind w:left="108" w:right="410"/>
              <w:rPr>
                <w:sz w:val="16"/>
              </w:rPr>
            </w:pPr>
            <w:r>
              <w:rPr>
                <w:sz w:val="16"/>
              </w:rPr>
              <w:t>The design of the Arden Station precinct identifies soil zones for tree planting. At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Arden,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trees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will be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planted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several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different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conditions: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79" w:val="left" w:leader="none"/>
              </w:tabs>
              <w:spacing w:line="240" w:lineRule="auto" w:before="60" w:after="0"/>
              <w:ind w:left="278" w:right="0" w:hanging="171"/>
              <w:jc w:val="left"/>
              <w:rPr>
                <w:sz w:val="16"/>
              </w:rPr>
            </w:pPr>
            <w:r>
              <w:rPr>
                <w:sz w:val="16"/>
              </w:rPr>
              <w:t>Directly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garden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bed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lawn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areas where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there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will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natural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large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soil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volumes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279" w:val="left" w:leader="none"/>
              </w:tabs>
              <w:spacing w:line="240" w:lineRule="auto" w:before="59" w:after="0"/>
              <w:ind w:left="278" w:right="419" w:hanging="171"/>
              <w:jc w:val="left"/>
              <w:rPr>
                <w:sz w:val="16"/>
              </w:rPr>
            </w:pPr>
            <w:r>
              <w:rPr>
                <w:sz w:val="16"/>
              </w:rPr>
              <w:t>In paved areas where tree pits with structural soil systems created below the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pavements. These will typically allow stormwater to enter the tree pit providing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passive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irrigation and water treatment.</w:t>
            </w:r>
          </w:p>
          <w:p>
            <w:pPr>
              <w:pStyle w:val="TableParagraph"/>
              <w:spacing w:before="59"/>
              <w:ind w:left="108" w:right="197"/>
              <w:rPr>
                <w:sz w:val="16"/>
              </w:rPr>
            </w:pPr>
            <w:r>
              <w:rPr>
                <w:sz w:val="16"/>
              </w:rPr>
              <w:t>Tree pits depth in paved areas will vary based on whether they are located over the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station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box, or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not.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Typically,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from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surface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level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tree pits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will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vary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depth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1.8-</w:t>
            </w:r>
          </w:p>
          <w:p>
            <w:pPr>
              <w:pStyle w:val="TableParagraph"/>
              <w:spacing w:before="0"/>
              <w:ind w:left="108" w:right="110"/>
              <w:rPr>
                <w:sz w:val="16"/>
              </w:rPr>
            </w:pPr>
            <w:r>
              <w:rPr>
                <w:sz w:val="16"/>
              </w:rPr>
              <w:t>1.4 metres. The width and length of tree pits also varies, depending on the depth of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the pit achievable, as well as how many trees can share a trench.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Tree pits will have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structural soil cell systems, which allows uncompacted soil to be placed under ridged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surface pavements. The actual size and configuration will be subject to the location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of underground utilities.</w:t>
            </w:r>
          </w:p>
          <w:p>
            <w:pPr>
              <w:pStyle w:val="TableParagraph"/>
              <w:spacing w:before="58"/>
              <w:ind w:left="108" w:right="224"/>
              <w:rPr>
                <w:sz w:val="16"/>
              </w:rPr>
            </w:pPr>
            <w:r>
              <w:rPr>
                <w:sz w:val="16"/>
              </w:rPr>
              <w:t>CYP will work with a specialist soil scientist to develop a high-performance soil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specification and profile that balances the optimal soil requirements for storm water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drainage, 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well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for long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term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tree growth.</w:t>
            </w:r>
          </w:p>
          <w:p>
            <w:pPr>
              <w:pStyle w:val="TableParagraph"/>
              <w:spacing w:before="60"/>
              <w:ind w:left="108" w:right="339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soil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zone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for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tree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planting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water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sensitive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urban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design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are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shown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public realm plans in Appendix D: Arden Station Precinct Public Realm Plans and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landscape plans in Appendix C: Arden Station Precinct Landscape Plans and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Elevations.</w:t>
            </w:r>
          </w:p>
        </w:tc>
      </w:tr>
      <w:tr>
        <w:trPr>
          <w:trHeight w:val="2325" w:hRule="atLeast"/>
        </w:trPr>
        <w:tc>
          <w:tcPr>
            <w:tcW w:w="2263" w:type="dxa"/>
          </w:tcPr>
          <w:p>
            <w:pPr>
              <w:pStyle w:val="TableParagraph"/>
              <w:spacing w:before="63"/>
              <w:rPr>
                <w:sz w:val="16"/>
              </w:rPr>
            </w:pPr>
            <w:r>
              <w:rPr>
                <w:sz w:val="16"/>
              </w:rPr>
              <w:t>EPR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AR3: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Tree replacement</w:t>
            </w:r>
          </w:p>
        </w:tc>
        <w:tc>
          <w:tcPr>
            <w:tcW w:w="6232" w:type="dxa"/>
          </w:tcPr>
          <w:p>
            <w:pPr>
              <w:pStyle w:val="TableParagraph"/>
              <w:spacing w:before="61"/>
              <w:ind w:left="108" w:right="356"/>
              <w:rPr>
                <w:sz w:val="16"/>
              </w:rPr>
            </w:pPr>
            <w:r>
              <w:rPr>
                <w:sz w:val="16"/>
              </w:rPr>
              <w:t>The design of the Arden Station precinct has been developed in consultation with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City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Melbourne.</w:t>
            </w:r>
          </w:p>
          <w:p>
            <w:pPr>
              <w:pStyle w:val="TableParagraph"/>
              <w:spacing w:before="62"/>
              <w:ind w:left="108" w:right="215"/>
              <w:rPr>
                <w:sz w:val="16"/>
              </w:rPr>
            </w:pPr>
            <w:r>
              <w:rPr>
                <w:sz w:val="16"/>
              </w:rPr>
              <w:t>The design for the Arden Station precinct includes reinstating trees throughout the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precinct. Overall there will be approximately 103 new trees within the Arden Station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precinct. This will help achieve RPV’s objective of doubling tree canopy by 2040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across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the Metro Tunnel Project.</w:t>
            </w:r>
          </w:p>
          <w:p>
            <w:pPr>
              <w:pStyle w:val="TableParagraph"/>
              <w:spacing w:before="58"/>
              <w:ind w:left="108" w:right="108"/>
              <w:rPr>
                <w:sz w:val="16"/>
              </w:rPr>
            </w:pPr>
            <w:r>
              <w:rPr>
                <w:sz w:val="16"/>
              </w:rPr>
              <w:t>A tree replacement program will be developed in further consultation will City of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Melbourne.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This will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ensure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tree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replacement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carried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out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alignment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with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council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strategies.</w:t>
            </w:r>
          </w:p>
          <w:p>
            <w:pPr>
              <w:pStyle w:val="TableParagraph"/>
              <w:spacing w:before="60"/>
              <w:ind w:left="108" w:right="99"/>
              <w:rPr>
                <w:sz w:val="16"/>
              </w:rPr>
            </w:pPr>
            <w:r>
              <w:rPr>
                <w:sz w:val="16"/>
              </w:rPr>
              <w:t>The reinstated trees are shown on the landscape plans in Appendix C: Arden Station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Precinct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Landscape Plans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Elevations.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Heading3"/>
        <w:numPr>
          <w:ilvl w:val="2"/>
          <w:numId w:val="5"/>
        </w:numPr>
        <w:tabs>
          <w:tab w:pos="971" w:val="left" w:leader="none"/>
        </w:tabs>
        <w:spacing w:line="240" w:lineRule="auto" w:before="209" w:after="0"/>
        <w:ind w:left="970" w:right="0" w:hanging="853"/>
        <w:jc w:val="left"/>
      </w:pPr>
      <w:bookmarkStart w:name="_bookmark51" w:id="121"/>
      <w:bookmarkEnd w:id="121"/>
      <w:r>
        <w:rPr/>
      </w:r>
      <w:bookmarkStart w:name="_bookmark51" w:id="122"/>
      <w:bookmarkEnd w:id="122"/>
      <w:r>
        <w:rPr>
          <w:color w:val="808080"/>
        </w:rPr>
        <w:t>H</w:t>
      </w:r>
      <w:r>
        <w:rPr>
          <w:color w:val="808080"/>
        </w:rPr>
        <w:t>ISTORICAL</w:t>
      </w:r>
      <w:r>
        <w:rPr>
          <w:color w:val="808080"/>
          <w:spacing w:val="-8"/>
        </w:rPr>
        <w:t> </w:t>
      </w:r>
      <w:r>
        <w:rPr>
          <w:color w:val="808080"/>
        </w:rPr>
        <w:t>CULTURAL</w:t>
      </w:r>
      <w:r>
        <w:rPr>
          <w:color w:val="808080"/>
          <w:spacing w:val="-10"/>
        </w:rPr>
        <w:t> </w:t>
      </w:r>
      <w:r>
        <w:rPr>
          <w:color w:val="808080"/>
        </w:rPr>
        <w:t>HERITAGE</w:t>
      </w:r>
    </w:p>
    <w:p>
      <w:pPr>
        <w:pStyle w:val="BodyText"/>
        <w:spacing w:before="123"/>
        <w:ind w:left="118"/>
      </w:pPr>
      <w:hyperlink w:history="true" w:anchor="_bookmark52">
        <w:r>
          <w:rPr/>
          <w:t>Table</w:t>
        </w:r>
        <w:r>
          <w:rPr>
            <w:spacing w:val="-2"/>
          </w:rPr>
          <w:t> </w:t>
        </w:r>
        <w:r>
          <w:rPr/>
          <w:t>7</w:t>
        </w:r>
        <w:r>
          <w:rPr>
            <w:spacing w:val="-1"/>
          </w:rPr>
          <w:t> </w:t>
        </w:r>
      </w:hyperlink>
      <w:r>
        <w:rPr/>
        <w:t>provides the</w:t>
      </w:r>
      <w:r>
        <w:rPr>
          <w:spacing w:val="-2"/>
        </w:rPr>
        <w:t> </w:t>
      </w:r>
      <w:r>
        <w:rPr/>
        <w:t>CYP</w:t>
      </w:r>
      <w:r>
        <w:rPr>
          <w:spacing w:val="-1"/>
        </w:rPr>
        <w:t> </w:t>
      </w:r>
      <w:r>
        <w:rPr/>
        <w:t>design</w:t>
      </w:r>
      <w:r>
        <w:rPr>
          <w:spacing w:val="-2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relevant</w:t>
      </w:r>
      <w:r>
        <w:rPr>
          <w:spacing w:val="-3"/>
        </w:rPr>
        <w:t> </w:t>
      </w:r>
      <w:r>
        <w:rPr/>
        <w:t>historical</w:t>
      </w:r>
      <w:r>
        <w:rPr>
          <w:spacing w:val="-1"/>
        </w:rPr>
        <w:t> </w:t>
      </w:r>
      <w:r>
        <w:rPr/>
        <w:t>cultural</w:t>
      </w:r>
      <w:r>
        <w:rPr>
          <w:spacing w:val="-2"/>
        </w:rPr>
        <w:t> </w:t>
      </w:r>
      <w:r>
        <w:rPr/>
        <w:t>heritage</w:t>
      </w:r>
      <w:r>
        <w:rPr>
          <w:spacing w:val="-1"/>
        </w:rPr>
        <w:t> </w:t>
      </w:r>
      <w:r>
        <w:rPr/>
        <w:t>EPRs.</w:t>
      </w:r>
    </w:p>
    <w:p>
      <w:pPr>
        <w:spacing w:before="120"/>
        <w:ind w:left="118" w:right="0" w:firstLine="0"/>
        <w:jc w:val="left"/>
        <w:rPr>
          <w:sz w:val="18"/>
        </w:rPr>
      </w:pPr>
      <w:bookmarkStart w:name="_bookmark52" w:id="123"/>
      <w:bookmarkEnd w:id="123"/>
      <w:r>
        <w:rPr/>
      </w:r>
      <w:r>
        <w:rPr>
          <w:sz w:val="18"/>
        </w:rPr>
        <w:t>Table</w:t>
      </w:r>
      <w:r>
        <w:rPr>
          <w:spacing w:val="-4"/>
          <w:sz w:val="18"/>
        </w:rPr>
        <w:t> </w:t>
      </w:r>
      <w:r>
        <w:rPr>
          <w:sz w:val="18"/>
        </w:rPr>
        <w:t>7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Design</w:t>
      </w:r>
      <w:r>
        <w:rPr>
          <w:spacing w:val="-3"/>
          <w:sz w:val="18"/>
        </w:rPr>
        <w:t> </w:t>
      </w:r>
      <w:r>
        <w:rPr>
          <w:sz w:val="18"/>
        </w:rPr>
        <w:t>response</w:t>
      </w:r>
      <w:r>
        <w:rPr>
          <w:spacing w:val="-2"/>
          <w:sz w:val="18"/>
        </w:rPr>
        <w:t> </w:t>
      </w:r>
      <w:r>
        <w:rPr>
          <w:sz w:val="18"/>
        </w:rPr>
        <w:t>to</w:t>
      </w:r>
      <w:r>
        <w:rPr>
          <w:spacing w:val="-4"/>
          <w:sz w:val="18"/>
        </w:rPr>
        <w:t> </w:t>
      </w:r>
      <w:r>
        <w:rPr>
          <w:sz w:val="18"/>
        </w:rPr>
        <w:t>relevant</w:t>
      </w:r>
      <w:r>
        <w:rPr>
          <w:spacing w:val="-5"/>
          <w:sz w:val="18"/>
        </w:rPr>
        <w:t> </w:t>
      </w:r>
      <w:r>
        <w:rPr>
          <w:sz w:val="18"/>
        </w:rPr>
        <w:t>historical</w:t>
      </w:r>
      <w:r>
        <w:rPr>
          <w:spacing w:val="-4"/>
          <w:sz w:val="18"/>
        </w:rPr>
        <w:t> </w:t>
      </w:r>
      <w:r>
        <w:rPr>
          <w:sz w:val="18"/>
        </w:rPr>
        <w:t>cultural</w:t>
      </w:r>
      <w:r>
        <w:rPr>
          <w:spacing w:val="-2"/>
          <w:sz w:val="18"/>
        </w:rPr>
        <w:t> </w:t>
      </w:r>
      <w:r>
        <w:rPr>
          <w:sz w:val="18"/>
        </w:rPr>
        <w:t>heritage</w:t>
      </w:r>
      <w:r>
        <w:rPr>
          <w:spacing w:val="-2"/>
          <w:sz w:val="18"/>
        </w:rPr>
        <w:t> </w:t>
      </w:r>
      <w:r>
        <w:rPr>
          <w:sz w:val="18"/>
        </w:rPr>
        <w:t>EPRs</w:t>
      </w: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6232"/>
      </w:tblGrid>
      <w:tr>
        <w:trPr>
          <w:trHeight w:val="357" w:hRule="atLeast"/>
        </w:trPr>
        <w:tc>
          <w:tcPr>
            <w:tcW w:w="2263" w:type="dxa"/>
            <w:shd w:val="clear" w:color="auto" w:fill="00BBE9"/>
          </w:tcPr>
          <w:p>
            <w:pPr>
              <w:pStyle w:val="TableParagraph"/>
              <w:spacing w:before="69"/>
              <w:ind w:left="11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EPR</w:t>
            </w:r>
          </w:p>
        </w:tc>
        <w:tc>
          <w:tcPr>
            <w:tcW w:w="6232" w:type="dxa"/>
            <w:shd w:val="clear" w:color="auto" w:fill="00BBE9"/>
          </w:tcPr>
          <w:p>
            <w:pPr>
              <w:pStyle w:val="TableParagraph"/>
              <w:spacing w:before="69"/>
              <w:ind w:left="11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Design</w:t>
            </w:r>
            <w:r>
              <w:rPr>
                <w:b/>
                <w:color w:val="FFFFFF"/>
                <w:spacing w:val="-4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Response</w:t>
            </w:r>
          </w:p>
        </w:tc>
      </w:tr>
      <w:tr>
        <w:trPr>
          <w:trHeight w:val="2205" w:hRule="atLeast"/>
        </w:trPr>
        <w:tc>
          <w:tcPr>
            <w:tcW w:w="2263" w:type="dxa"/>
            <w:tcBorders>
              <w:left w:val="single" w:sz="4" w:space="0" w:color="57DEFF"/>
              <w:bottom w:val="single" w:sz="4" w:space="0" w:color="57DEFF"/>
              <w:right w:val="single" w:sz="4" w:space="0" w:color="57DEFF"/>
            </w:tcBorders>
          </w:tcPr>
          <w:p>
            <w:pPr>
              <w:pStyle w:val="TableParagraph"/>
              <w:spacing w:before="61"/>
              <w:ind w:right="89"/>
              <w:rPr>
                <w:sz w:val="16"/>
              </w:rPr>
            </w:pPr>
            <w:r>
              <w:rPr>
                <w:sz w:val="16"/>
              </w:rPr>
              <w:t>EPR CH1: Minimise heritage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impact</w:t>
            </w:r>
          </w:p>
          <w:p>
            <w:pPr>
              <w:pStyle w:val="TableParagraph"/>
              <w:spacing w:before="59"/>
              <w:ind w:right="294"/>
              <w:rPr>
                <w:sz w:val="16"/>
              </w:rPr>
            </w:pPr>
            <w:r>
              <w:rPr>
                <w:sz w:val="16"/>
              </w:rPr>
              <w:t>EPR CH7: Archaeological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heritage</w:t>
            </w:r>
          </w:p>
          <w:p>
            <w:pPr>
              <w:pStyle w:val="TableParagraph"/>
              <w:spacing w:before="59"/>
              <w:ind w:right="356"/>
              <w:rPr>
                <w:sz w:val="16"/>
              </w:rPr>
            </w:pPr>
            <w:r>
              <w:rPr>
                <w:sz w:val="16"/>
              </w:rPr>
              <w:t>EPR CH10: Response 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heritage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places</w:t>
            </w:r>
          </w:p>
          <w:p>
            <w:pPr>
              <w:pStyle w:val="TableParagraph"/>
              <w:spacing w:before="62"/>
              <w:ind w:right="205"/>
              <w:rPr>
                <w:sz w:val="16"/>
              </w:rPr>
            </w:pPr>
            <w:r>
              <w:rPr>
                <w:sz w:val="16"/>
              </w:rPr>
              <w:t>EPR CH23: Heritage street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fabric</w:t>
            </w:r>
          </w:p>
        </w:tc>
        <w:tc>
          <w:tcPr>
            <w:tcW w:w="6232" w:type="dxa"/>
            <w:tcBorders>
              <w:left w:val="single" w:sz="4" w:space="0" w:color="57DEFF"/>
              <w:bottom w:val="single" w:sz="4" w:space="0" w:color="57DEFF"/>
              <w:right w:val="single" w:sz="4" w:space="0" w:color="57DEFF"/>
            </w:tcBorders>
          </w:tcPr>
          <w:p>
            <w:pPr>
              <w:pStyle w:val="TableParagraph"/>
              <w:spacing w:before="61"/>
              <w:ind w:left="108" w:right="81"/>
              <w:rPr>
                <w:sz w:val="16"/>
              </w:rPr>
            </w:pPr>
            <w:r>
              <w:rPr>
                <w:sz w:val="16"/>
              </w:rPr>
              <w:t>The design of the Arden Station precinct was developed in consultation with Heritage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Victoria and City of Melbourne. This has resulted in cultural heritage informing the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Arden Station precinct design response, in accordance with the Project’s Heritage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Interpretation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Strategy.</w:t>
            </w:r>
          </w:p>
          <w:p>
            <w:pPr>
              <w:pStyle w:val="TableParagraph"/>
              <w:spacing w:before="58"/>
              <w:ind w:left="108" w:right="120"/>
              <w:rPr>
                <w:sz w:val="16"/>
              </w:rPr>
            </w:pPr>
            <w:r>
              <w:rPr>
                <w:sz w:val="16"/>
              </w:rPr>
              <w:t>The former North Melbourne pottery complex is listed on the Victorian Heritage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Inventory (VHI) and is located within the Arden precinct. Approval was obtained from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Heritage Victoria for associated construction works within this site, which included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development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archaeological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management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plan.</w:t>
            </w:r>
          </w:p>
          <w:p>
            <w:pPr>
              <w:pStyle w:val="TableParagraph"/>
              <w:spacing w:before="61"/>
              <w:ind w:left="108"/>
              <w:rPr>
                <w:sz w:val="16"/>
              </w:rPr>
            </w:pPr>
            <w:r>
              <w:rPr>
                <w:sz w:val="16"/>
              </w:rPr>
              <w:t>There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known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heritage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fabric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at the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existing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Arden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Station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precinct, however</w:t>
            </w:r>
          </w:p>
          <w:p>
            <w:pPr>
              <w:pStyle w:val="TableParagraph"/>
              <w:spacing w:line="182" w:lineRule="exact" w:before="0"/>
              <w:ind w:left="108" w:right="108"/>
              <w:rPr>
                <w:sz w:val="16"/>
              </w:rPr>
            </w:pPr>
            <w:r>
              <w:rPr>
                <w:sz w:val="16"/>
              </w:rPr>
              <w:t>Arden's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industrial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heritage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is expressed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through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proposed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materials,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finishes and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detailing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of the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station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building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plaza.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design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blends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transport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typology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(the</w:t>
            </w:r>
          </w:p>
        </w:tc>
      </w:tr>
    </w:tbl>
    <w:p>
      <w:pPr>
        <w:spacing w:after="0" w:line="182" w:lineRule="exact"/>
        <w:rPr>
          <w:sz w:val="16"/>
        </w:rPr>
        <w:sectPr>
          <w:pgSz w:w="11910" w:h="16840"/>
          <w:pgMar w:header="936" w:footer="365" w:top="1900" w:bottom="640" w:left="130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tbl>
      <w:tblPr>
        <w:tblW w:w="0" w:type="auto"/>
        <w:jc w:val="left"/>
        <w:tblInd w:w="131" w:type="dxa"/>
        <w:tblBorders>
          <w:top w:val="single" w:sz="4" w:space="0" w:color="57DEFF"/>
          <w:left w:val="single" w:sz="4" w:space="0" w:color="57DEFF"/>
          <w:bottom w:val="single" w:sz="4" w:space="0" w:color="57DEFF"/>
          <w:right w:val="single" w:sz="4" w:space="0" w:color="57DEFF"/>
          <w:insideH w:val="single" w:sz="4" w:space="0" w:color="57DEFF"/>
          <w:insideV w:val="single" w:sz="4" w:space="0" w:color="57DE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6232"/>
      </w:tblGrid>
      <w:tr>
        <w:trPr>
          <w:trHeight w:val="357" w:hRule="atLeast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69"/>
              <w:ind w:left="11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EPR</w:t>
            </w:r>
          </w:p>
        </w:tc>
        <w:tc>
          <w:tcPr>
            <w:tcW w:w="6232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69"/>
              <w:ind w:left="11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Design</w:t>
            </w:r>
            <w:r>
              <w:rPr>
                <w:b/>
                <w:color w:val="FFFFFF"/>
                <w:spacing w:val="-4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Response</w:t>
            </w:r>
          </w:p>
        </w:tc>
      </w:tr>
      <w:tr>
        <w:trPr>
          <w:trHeight w:val="3797" w:hRule="atLeast"/>
        </w:trPr>
        <w:tc>
          <w:tcPr>
            <w:tcW w:w="2263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232" w:type="dxa"/>
            <w:tcBorders>
              <w:top w:val="nil"/>
            </w:tcBorders>
          </w:tcPr>
          <w:p>
            <w:pPr>
              <w:pStyle w:val="TableParagraph"/>
              <w:spacing w:before="1"/>
              <w:ind w:left="108" w:right="642"/>
              <w:rPr>
                <w:sz w:val="16"/>
              </w:rPr>
            </w:pPr>
            <w:r>
              <w:rPr>
                <w:sz w:val="16"/>
              </w:rPr>
              <w:t>bridge crossing inspiration and the proposed transport infrastructure) with the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existing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industrial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nature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the area.</w:t>
            </w:r>
          </w:p>
          <w:p>
            <w:pPr>
              <w:pStyle w:val="TableParagraph"/>
              <w:spacing w:before="59"/>
              <w:ind w:left="108" w:right="119"/>
              <w:rPr>
                <w:sz w:val="16"/>
              </w:rPr>
            </w:pPr>
            <w:r>
              <w:rPr>
                <w:sz w:val="16"/>
              </w:rPr>
              <w:t>As part of the Connection to Country Strategy, a collaborative commission for areas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of the landscape has been undertaken with various designers. By celebrating the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unique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character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precinct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amplifying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these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qualities,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Project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supports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unique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identity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connection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place,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country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heritage.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Provisional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locations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for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implementation 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art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installations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is provided.</w:t>
            </w:r>
          </w:p>
          <w:p>
            <w:pPr>
              <w:pStyle w:val="TableParagraph"/>
              <w:spacing w:before="62"/>
              <w:ind w:left="108" w:right="152"/>
              <w:rPr>
                <w:sz w:val="16"/>
              </w:rPr>
            </w:pPr>
            <w:r>
              <w:rPr>
                <w:sz w:val="16"/>
              </w:rPr>
              <w:t>The proposed hardscape and furniture for the public realm will feature materials and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finishes that reflect City of Melbourne's durable and distinctive palette, including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bluestone paving, and stainless steel furniture. Many elements at Arden are made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from brick, stone and stainless steel to enhance the precinct’s identity. The station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structure design opts for red brick, providing a connection to the industrial history of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surrounding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Arden Station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precinct.</w:t>
            </w:r>
          </w:p>
          <w:p>
            <w:pPr>
              <w:pStyle w:val="TableParagraph"/>
              <w:spacing w:before="60"/>
              <w:ind w:left="108" w:right="286"/>
              <w:rPr>
                <w:sz w:val="16"/>
              </w:rPr>
            </w:pPr>
            <w:r>
              <w:rPr>
                <w:sz w:val="16"/>
              </w:rPr>
              <w:t>Plant selection at Arden includes a predominantly native and indigenous plant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palette which further highlights the historical significance and cultural values of the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site.</w:t>
            </w:r>
          </w:p>
          <w:p>
            <w:pPr>
              <w:pStyle w:val="TableParagraph"/>
              <w:spacing w:line="183" w:lineRule="exact" w:before="60"/>
              <w:ind w:left="108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public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realm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response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incorporating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heritage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values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are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discussed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Section</w:t>
            </w:r>
          </w:p>
          <w:p>
            <w:pPr>
              <w:pStyle w:val="TableParagraph"/>
              <w:spacing w:before="0"/>
              <w:ind w:left="108" w:right="375"/>
              <w:rPr>
                <w:sz w:val="16"/>
              </w:rPr>
            </w:pPr>
            <w:hyperlink w:history="true" w:anchor="_bookmark29">
              <w:r>
                <w:rPr>
                  <w:sz w:val="16"/>
                </w:rPr>
                <w:t>4.3.3 </w:t>
              </w:r>
            </w:hyperlink>
            <w:r>
              <w:rPr>
                <w:sz w:val="16"/>
              </w:rPr>
              <w:t>and shown on the public realm plans in Appendix D: Arden Station Precinct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Public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Realm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Plans.</w:t>
            </w:r>
          </w:p>
        </w:tc>
      </w:tr>
      <w:tr>
        <w:trPr>
          <w:trHeight w:val="856" w:hRule="atLeast"/>
        </w:trPr>
        <w:tc>
          <w:tcPr>
            <w:tcW w:w="2263" w:type="dxa"/>
          </w:tcPr>
          <w:p>
            <w:pPr>
              <w:pStyle w:val="TableParagraph"/>
              <w:spacing w:before="61"/>
              <w:ind w:right="525"/>
              <w:rPr>
                <w:sz w:val="16"/>
              </w:rPr>
            </w:pPr>
            <w:r>
              <w:rPr>
                <w:sz w:val="16"/>
              </w:rPr>
              <w:t>CH12: Langford Street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pumping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station</w:t>
            </w:r>
          </w:p>
        </w:tc>
        <w:tc>
          <w:tcPr>
            <w:tcW w:w="6232" w:type="dxa"/>
          </w:tcPr>
          <w:p>
            <w:pPr>
              <w:pStyle w:val="TableParagraph"/>
              <w:spacing w:before="61"/>
              <w:ind w:left="108" w:right="108"/>
              <w:rPr>
                <w:sz w:val="16"/>
              </w:rPr>
            </w:pPr>
            <w:r>
              <w:rPr>
                <w:sz w:val="16"/>
              </w:rPr>
              <w:t>The Intake Substation is located at an alternative location to the concept design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option proposed in the EES and will therefore have no heritage impact on the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Langford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Street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Pumping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Station.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Intake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Substation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subject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separate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Development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Plan.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Heading3"/>
        <w:numPr>
          <w:ilvl w:val="2"/>
          <w:numId w:val="5"/>
        </w:numPr>
        <w:tabs>
          <w:tab w:pos="971" w:val="left" w:leader="none"/>
        </w:tabs>
        <w:spacing w:line="240" w:lineRule="auto" w:before="209" w:after="0"/>
        <w:ind w:left="970" w:right="0" w:hanging="853"/>
        <w:jc w:val="left"/>
      </w:pPr>
      <w:bookmarkStart w:name="_bookmark53" w:id="124"/>
      <w:bookmarkEnd w:id="124"/>
      <w:r>
        <w:rPr/>
      </w:r>
      <w:bookmarkStart w:name="_bookmark53" w:id="125"/>
      <w:bookmarkEnd w:id="125"/>
      <w:r>
        <w:rPr>
          <w:color w:val="808080"/>
        </w:rPr>
        <w:t>LA</w:t>
      </w:r>
      <w:r>
        <w:rPr>
          <w:color w:val="808080"/>
        </w:rPr>
        <w:t>ND</w:t>
      </w:r>
      <w:r>
        <w:rPr>
          <w:color w:val="808080"/>
          <w:spacing w:val="-3"/>
        </w:rPr>
        <w:t> </w:t>
      </w:r>
      <w:r>
        <w:rPr>
          <w:color w:val="808080"/>
        </w:rPr>
        <w:t>USE</w:t>
      </w:r>
      <w:r>
        <w:rPr>
          <w:color w:val="808080"/>
          <w:spacing w:val="-4"/>
        </w:rPr>
        <w:t> </w:t>
      </w:r>
      <w:r>
        <w:rPr>
          <w:color w:val="808080"/>
        </w:rPr>
        <w:t>AND PLANNING</w:t>
      </w:r>
    </w:p>
    <w:p>
      <w:pPr>
        <w:pStyle w:val="BodyText"/>
        <w:spacing w:before="120"/>
        <w:ind w:left="118"/>
      </w:pPr>
      <w:hyperlink w:history="true" w:anchor="_bookmark54">
        <w:r>
          <w:rPr/>
          <w:t>Table</w:t>
        </w:r>
        <w:r>
          <w:rPr>
            <w:spacing w:val="-2"/>
          </w:rPr>
          <w:t> </w:t>
        </w:r>
        <w:r>
          <w:rPr/>
          <w:t>8</w:t>
        </w:r>
        <w:r>
          <w:rPr>
            <w:spacing w:val="-1"/>
          </w:rPr>
          <w:t> </w:t>
        </w:r>
      </w:hyperlink>
      <w:r>
        <w:rPr/>
        <w:t>provides the</w:t>
      </w:r>
      <w:r>
        <w:rPr>
          <w:spacing w:val="-1"/>
        </w:rPr>
        <w:t> </w:t>
      </w:r>
      <w:r>
        <w:rPr/>
        <w:t>CYP</w:t>
      </w:r>
      <w:r>
        <w:rPr>
          <w:spacing w:val="-1"/>
        </w:rPr>
        <w:t> </w:t>
      </w:r>
      <w:r>
        <w:rPr/>
        <w:t>design</w:t>
      </w:r>
      <w:r>
        <w:rPr>
          <w:spacing w:val="-2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relevant</w:t>
      </w:r>
      <w:r>
        <w:rPr>
          <w:spacing w:val="-3"/>
        </w:rPr>
        <w:t> </w:t>
      </w:r>
      <w:r>
        <w:rPr/>
        <w:t>land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planning</w:t>
      </w:r>
      <w:r>
        <w:rPr>
          <w:spacing w:val="-2"/>
        </w:rPr>
        <w:t> </w:t>
      </w:r>
      <w:r>
        <w:rPr/>
        <w:t>EPRs.</w:t>
      </w:r>
    </w:p>
    <w:p>
      <w:pPr>
        <w:spacing w:before="120"/>
        <w:ind w:left="118" w:right="0" w:firstLine="0"/>
        <w:jc w:val="left"/>
        <w:rPr>
          <w:sz w:val="18"/>
        </w:rPr>
      </w:pPr>
      <w:bookmarkStart w:name="_bookmark54" w:id="126"/>
      <w:bookmarkEnd w:id="126"/>
      <w:r>
        <w:rPr/>
      </w:r>
      <w:r>
        <w:rPr>
          <w:sz w:val="18"/>
        </w:rPr>
        <w:t>Table</w:t>
      </w:r>
      <w:r>
        <w:rPr>
          <w:spacing w:val="-3"/>
          <w:sz w:val="18"/>
        </w:rPr>
        <w:t> </w:t>
      </w:r>
      <w:r>
        <w:rPr>
          <w:sz w:val="18"/>
        </w:rPr>
        <w:t>8</w:t>
      </w:r>
      <w:r>
        <w:rPr>
          <w:spacing w:val="-2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Design</w:t>
      </w:r>
      <w:r>
        <w:rPr>
          <w:spacing w:val="-2"/>
          <w:sz w:val="18"/>
        </w:rPr>
        <w:t> </w:t>
      </w:r>
      <w:r>
        <w:rPr>
          <w:sz w:val="18"/>
        </w:rPr>
        <w:t>response</w:t>
      </w:r>
      <w:r>
        <w:rPr>
          <w:spacing w:val="-2"/>
          <w:sz w:val="18"/>
        </w:rPr>
        <w:t> </w:t>
      </w:r>
      <w:r>
        <w:rPr>
          <w:sz w:val="18"/>
        </w:rPr>
        <w:t>to</w:t>
      </w:r>
      <w:r>
        <w:rPr>
          <w:spacing w:val="-4"/>
          <w:sz w:val="18"/>
        </w:rPr>
        <w:t> </w:t>
      </w:r>
      <w:r>
        <w:rPr>
          <w:sz w:val="18"/>
        </w:rPr>
        <w:t>relevant</w:t>
      </w:r>
      <w:r>
        <w:rPr>
          <w:spacing w:val="-3"/>
          <w:sz w:val="18"/>
        </w:rPr>
        <w:t> </w:t>
      </w:r>
      <w:r>
        <w:rPr>
          <w:sz w:val="18"/>
        </w:rPr>
        <w:t>land</w:t>
      </w:r>
      <w:r>
        <w:rPr>
          <w:spacing w:val="-2"/>
          <w:sz w:val="18"/>
        </w:rPr>
        <w:t> </w:t>
      </w:r>
      <w:r>
        <w:rPr>
          <w:sz w:val="18"/>
        </w:rPr>
        <w:t>use</w:t>
      </w:r>
      <w:r>
        <w:rPr>
          <w:spacing w:val="-2"/>
          <w:sz w:val="18"/>
        </w:rPr>
        <w:t> </w:t>
      </w:r>
      <w:r>
        <w:rPr>
          <w:sz w:val="18"/>
        </w:rPr>
        <w:t>and</w:t>
      </w:r>
      <w:r>
        <w:rPr>
          <w:spacing w:val="-3"/>
          <w:sz w:val="18"/>
        </w:rPr>
        <w:t> </w:t>
      </w:r>
      <w:r>
        <w:rPr>
          <w:sz w:val="18"/>
        </w:rPr>
        <w:t>planning</w:t>
      </w:r>
      <w:r>
        <w:rPr>
          <w:spacing w:val="-3"/>
          <w:sz w:val="18"/>
        </w:rPr>
        <w:t> </w:t>
      </w:r>
      <w:r>
        <w:rPr>
          <w:sz w:val="18"/>
        </w:rPr>
        <w:t>EPRs</w:t>
      </w: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31" w:type="dxa"/>
        <w:tblBorders>
          <w:top w:val="single" w:sz="4" w:space="0" w:color="57DEFF"/>
          <w:left w:val="single" w:sz="4" w:space="0" w:color="57DEFF"/>
          <w:bottom w:val="single" w:sz="4" w:space="0" w:color="57DEFF"/>
          <w:right w:val="single" w:sz="4" w:space="0" w:color="57DEFF"/>
          <w:insideH w:val="single" w:sz="4" w:space="0" w:color="57DEFF"/>
          <w:insideV w:val="single" w:sz="4" w:space="0" w:color="57DE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6232"/>
      </w:tblGrid>
      <w:tr>
        <w:trPr>
          <w:trHeight w:val="357" w:hRule="atLeast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69"/>
              <w:ind w:left="11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EPR</w:t>
            </w:r>
          </w:p>
        </w:tc>
        <w:tc>
          <w:tcPr>
            <w:tcW w:w="6232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69"/>
              <w:ind w:left="11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Design</w:t>
            </w:r>
            <w:r>
              <w:rPr>
                <w:b/>
                <w:color w:val="FFFFFF"/>
                <w:spacing w:val="-4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Response</w:t>
            </w:r>
          </w:p>
        </w:tc>
      </w:tr>
      <w:tr>
        <w:trPr>
          <w:trHeight w:val="3754" w:hRule="atLeast"/>
        </w:trPr>
        <w:tc>
          <w:tcPr>
            <w:tcW w:w="2263" w:type="dxa"/>
            <w:tcBorders>
              <w:top w:val="nil"/>
            </w:tcBorders>
          </w:tcPr>
          <w:p>
            <w:pPr>
              <w:pStyle w:val="TableParagraph"/>
              <w:spacing w:before="61"/>
              <w:ind w:right="223"/>
              <w:rPr>
                <w:sz w:val="16"/>
              </w:rPr>
            </w:pPr>
            <w:r>
              <w:rPr>
                <w:sz w:val="16"/>
              </w:rPr>
              <w:t>EPR LU1: Minimise impact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on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existing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land use</w:t>
            </w:r>
          </w:p>
        </w:tc>
        <w:tc>
          <w:tcPr>
            <w:tcW w:w="6232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108" w:right="232"/>
              <w:rPr>
                <w:sz w:val="16"/>
              </w:rPr>
            </w:pPr>
            <w:r>
              <w:rPr>
                <w:sz w:val="16"/>
              </w:rPr>
              <w:t>The design of the Arden Station precinct was developed in consultation with City of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Melbourne.</w:t>
            </w:r>
          </w:p>
          <w:p>
            <w:pPr>
              <w:pStyle w:val="TableParagraph"/>
              <w:spacing w:before="59"/>
              <w:ind w:left="108" w:right="135"/>
              <w:rPr>
                <w:sz w:val="16"/>
              </w:rPr>
            </w:pPr>
            <w:r>
              <w:rPr>
                <w:sz w:val="16"/>
              </w:rPr>
              <w:t>Due to the largely vacant, industrial nature of the new Arden Station precinct, and its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status as a key redevelopment precinct for Melbourne, precinct design seeks 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reduce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limitations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development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capacity 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site.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Examples 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include: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79" w:val="left" w:leader="none"/>
              </w:tabs>
              <w:spacing w:line="240" w:lineRule="auto" w:before="59" w:after="0"/>
              <w:ind w:left="278" w:right="242" w:hanging="171"/>
              <w:jc w:val="both"/>
              <w:rPr>
                <w:sz w:val="16"/>
              </w:rPr>
            </w:pPr>
            <w:r>
              <w:rPr>
                <w:sz w:val="16"/>
              </w:rPr>
              <w:t>The design of the Arden Station building, housing the station entrance, has been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located close to the intersection of Laurens and Barwise Street creating flexibility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for the design of future station entries, precinct streets and public spaces across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Arden redevelopment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precinct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279" w:val="left" w:leader="none"/>
              </w:tabs>
              <w:spacing w:line="240" w:lineRule="auto" w:before="61" w:after="0"/>
              <w:ind w:left="278" w:right="206" w:hanging="171"/>
              <w:jc w:val="both"/>
              <w:rPr>
                <w:sz w:val="16"/>
              </w:rPr>
            </w:pPr>
            <w:r>
              <w:rPr>
                <w:sz w:val="16"/>
              </w:rPr>
              <w:t>The scale of development, namely the station building, is reflective of the existing</w:t>
            </w:r>
            <w:r>
              <w:rPr>
                <w:spacing w:val="-43"/>
                <w:sz w:val="16"/>
              </w:rPr>
              <w:t> </w:t>
            </w:r>
            <w:r>
              <w:rPr>
                <w:sz w:val="16"/>
              </w:rPr>
              <w:t>surrounding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built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environment.</w:t>
            </w:r>
          </w:p>
          <w:p>
            <w:pPr>
              <w:pStyle w:val="TableParagraph"/>
              <w:spacing w:before="58"/>
              <w:ind w:left="108" w:right="126"/>
              <w:rPr>
                <w:sz w:val="16"/>
              </w:rPr>
            </w:pPr>
            <w:r>
              <w:rPr>
                <w:sz w:val="16"/>
              </w:rPr>
              <w:t>The design of Arden Station also provides additional public open space with the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development of a station plaza at the intersection of Laurens and Barwise Streets.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This strengthens the connection between Arden Station and the existing area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beyond. This new area of public open space will become a meeting point for existing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future residents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and workers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 the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Arden Station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precinct.</w:t>
            </w:r>
          </w:p>
          <w:p>
            <w:pPr>
              <w:pStyle w:val="TableParagraph"/>
              <w:spacing w:before="60"/>
              <w:ind w:left="108" w:right="437"/>
              <w:rPr>
                <w:sz w:val="16"/>
              </w:rPr>
            </w:pPr>
            <w:r>
              <w:rPr>
                <w:sz w:val="16"/>
              </w:rPr>
              <w:t>The public realm shown on the public realm drawings is included in Appendix D: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Arden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Station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Precinct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Public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Realm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Plans.</w:t>
            </w:r>
          </w:p>
        </w:tc>
      </w:tr>
      <w:tr>
        <w:trPr>
          <w:trHeight w:val="671" w:hRule="atLeast"/>
        </w:trPr>
        <w:tc>
          <w:tcPr>
            <w:tcW w:w="2263" w:type="dxa"/>
          </w:tcPr>
          <w:p>
            <w:pPr>
              <w:pStyle w:val="TableParagraph"/>
              <w:spacing w:before="61"/>
              <w:rPr>
                <w:sz w:val="16"/>
              </w:rPr>
            </w:pPr>
            <w:r>
              <w:rPr>
                <w:sz w:val="16"/>
              </w:rPr>
              <w:t>EPR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LU2: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Master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plans</w:t>
            </w:r>
          </w:p>
        </w:tc>
        <w:tc>
          <w:tcPr>
            <w:tcW w:w="6232" w:type="dxa"/>
          </w:tcPr>
          <w:p>
            <w:pPr>
              <w:pStyle w:val="TableParagraph"/>
              <w:spacing w:before="61"/>
              <w:ind w:left="108" w:right="81"/>
              <w:rPr>
                <w:sz w:val="16"/>
              </w:rPr>
            </w:pPr>
            <w:r>
              <w:rPr>
                <w:sz w:val="16"/>
              </w:rPr>
              <w:t>The design of the Arden Station precinct was developed in consultation with City of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Melbourne and the Victorian Planning Authority and is consistent with the draft Arden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Structure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Plan (2020).</w:t>
            </w:r>
          </w:p>
        </w:tc>
      </w:tr>
      <w:tr>
        <w:trPr>
          <w:trHeight w:val="1223" w:hRule="atLeast"/>
        </w:trPr>
        <w:tc>
          <w:tcPr>
            <w:tcW w:w="2263" w:type="dxa"/>
          </w:tcPr>
          <w:p>
            <w:pPr>
              <w:pStyle w:val="TableParagraph"/>
              <w:spacing w:before="61"/>
              <w:ind w:right="222"/>
              <w:rPr>
                <w:sz w:val="16"/>
              </w:rPr>
            </w:pPr>
            <w:r>
              <w:rPr>
                <w:sz w:val="16"/>
              </w:rPr>
              <w:t>EPR LU3: Design of Arden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Station</w:t>
            </w:r>
          </w:p>
        </w:tc>
        <w:tc>
          <w:tcPr>
            <w:tcW w:w="6232" w:type="dxa"/>
          </w:tcPr>
          <w:p>
            <w:pPr>
              <w:pStyle w:val="TableParagraph"/>
              <w:spacing w:before="61"/>
              <w:ind w:left="108" w:right="408"/>
              <w:jc w:val="both"/>
              <w:rPr>
                <w:sz w:val="16"/>
              </w:rPr>
            </w:pPr>
            <w:r>
              <w:rPr>
                <w:sz w:val="16"/>
              </w:rPr>
              <w:t>The design is in accordance with the Urban Design Strategy and the draft Arden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Structure Plan (released June 2020), and was developed in consultation with the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Victorian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Planning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Authority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City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Melbourne.</w:t>
            </w:r>
          </w:p>
          <w:p>
            <w:pPr>
              <w:pStyle w:val="TableParagraph"/>
              <w:spacing w:before="60"/>
              <w:ind w:left="108"/>
              <w:jc w:val="both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Urban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Design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Strategy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requires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precinct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have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regard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for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number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of</w:t>
            </w:r>
          </w:p>
          <w:p>
            <w:pPr>
              <w:pStyle w:val="TableParagraph"/>
              <w:spacing w:line="182" w:lineRule="exact" w:before="0"/>
              <w:ind w:left="108" w:right="230"/>
              <w:jc w:val="both"/>
              <w:rPr>
                <w:sz w:val="16"/>
              </w:rPr>
            </w:pPr>
            <w:r>
              <w:rPr>
                <w:sz w:val="16"/>
              </w:rPr>
              <w:t>public realm elements, including but not limited to creating new and improved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connections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well 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making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great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public places.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design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the Arden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Station</w:t>
            </w:r>
          </w:p>
        </w:tc>
      </w:tr>
    </w:tbl>
    <w:p>
      <w:pPr>
        <w:spacing w:after="0" w:line="182" w:lineRule="exact"/>
        <w:jc w:val="both"/>
        <w:rPr>
          <w:sz w:val="16"/>
        </w:rPr>
        <w:sectPr>
          <w:pgSz w:w="11910" w:h="16840"/>
          <w:pgMar w:header="936" w:footer="365" w:top="1900" w:bottom="640" w:left="130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tbl>
      <w:tblPr>
        <w:tblW w:w="0" w:type="auto"/>
        <w:jc w:val="left"/>
        <w:tblInd w:w="131" w:type="dxa"/>
        <w:tblBorders>
          <w:top w:val="single" w:sz="4" w:space="0" w:color="57DEFF"/>
          <w:left w:val="single" w:sz="4" w:space="0" w:color="57DEFF"/>
          <w:bottom w:val="single" w:sz="4" w:space="0" w:color="57DEFF"/>
          <w:right w:val="single" w:sz="4" w:space="0" w:color="57DEFF"/>
          <w:insideH w:val="single" w:sz="4" w:space="0" w:color="57DEFF"/>
          <w:insideV w:val="single" w:sz="4" w:space="0" w:color="57DE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6232"/>
      </w:tblGrid>
      <w:tr>
        <w:trPr>
          <w:trHeight w:val="357" w:hRule="atLeast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69"/>
              <w:ind w:left="11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EPR</w:t>
            </w:r>
          </w:p>
        </w:tc>
        <w:tc>
          <w:tcPr>
            <w:tcW w:w="6232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69"/>
              <w:ind w:left="11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Design</w:t>
            </w:r>
            <w:r>
              <w:rPr>
                <w:b/>
                <w:color w:val="FFFFFF"/>
                <w:spacing w:val="-4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Response</w:t>
            </w:r>
          </w:p>
        </w:tc>
      </w:tr>
      <w:tr>
        <w:trPr>
          <w:trHeight w:val="4716" w:hRule="atLeast"/>
        </w:trPr>
        <w:tc>
          <w:tcPr>
            <w:tcW w:w="2263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6232" w:type="dxa"/>
            <w:tcBorders>
              <w:top w:val="nil"/>
            </w:tcBorders>
          </w:tcPr>
          <w:p>
            <w:pPr>
              <w:pStyle w:val="TableParagraph"/>
              <w:spacing w:before="1"/>
              <w:ind w:left="108" w:right="390"/>
              <w:jc w:val="both"/>
              <w:rPr>
                <w:sz w:val="16"/>
              </w:rPr>
            </w:pPr>
            <w:r>
              <w:rPr>
                <w:sz w:val="16"/>
              </w:rPr>
              <w:t>precinct is consistent with the Urban Design Strategy requirements, for example,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incorporating the development of a public plaza at the station’s entrance, utilising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land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that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was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previously used for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industrial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purposes.</w:t>
            </w:r>
          </w:p>
          <w:p>
            <w:pPr>
              <w:pStyle w:val="TableParagraph"/>
              <w:spacing w:before="60"/>
              <w:ind w:left="108" w:right="330"/>
              <w:rPr>
                <w:sz w:val="16"/>
              </w:rPr>
            </w:pPr>
            <w:r>
              <w:rPr>
                <w:sz w:val="16"/>
              </w:rPr>
              <w:t>The design of the precinct is consistent with the draft Arden Structure Plan (2020)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and allows for the future development of land for public open space across the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broader Arden area. It also provides provision for a future station entrance and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opportunities for development of the interface with the Western Building such 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activation of the building’s south facade through provision of a small retail 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bookable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community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space.</w:t>
            </w:r>
          </w:p>
          <w:p>
            <w:pPr>
              <w:pStyle w:val="TableParagraph"/>
              <w:spacing w:before="60"/>
              <w:ind w:left="108" w:right="110"/>
              <w:rPr>
                <w:sz w:val="16"/>
              </w:rPr>
            </w:pPr>
            <w:r>
              <w:rPr>
                <w:sz w:val="16"/>
              </w:rPr>
              <w:t>Furthermore, the precincts design has taken a comprehensive, integrated approach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to managing water in the Arden Station precinct. Examples of this include the use of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Water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Sensitive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Urban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Design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(WSUD)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plantings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across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precinct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help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manage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local stormwater. In addition, the station entrance, northern retail terrace and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interfacing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retail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entrances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will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be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raised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1.5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metres</w:t>
            </w:r>
            <w:r>
              <w:rPr>
                <w:spacing w:val="4"/>
                <w:sz w:val="16"/>
              </w:rPr>
              <w:t> </w:t>
            </w:r>
            <w:r>
              <w:rPr>
                <w:sz w:val="16"/>
              </w:rPr>
              <w:t>above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ground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level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protect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the station from being flooded from the 1 in 100 year ARI flood event level (this also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includes an additional 0.5 metre high active flood protection barrier at the ticket gate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to protect against the 1 in 1000 year ARI flood event). This is in accordance with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Melbourne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Water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flood management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standards.</w:t>
            </w:r>
          </w:p>
          <w:p>
            <w:pPr>
              <w:pStyle w:val="TableParagraph"/>
              <w:spacing w:before="61"/>
              <w:ind w:left="108" w:right="411"/>
              <w:rPr>
                <w:sz w:val="16"/>
              </w:rPr>
            </w:pPr>
            <w:r>
              <w:rPr>
                <w:sz w:val="16"/>
              </w:rPr>
              <w:t>Landscape drawings included in Appendix C: Arden Station Precinct Landscape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Plans and Elevations show the design response for the Arden Station precinct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incorporating WSUD principles such as plantings and passive drainage/irrigation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utilising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the natural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flow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water.</w:t>
            </w:r>
          </w:p>
          <w:p>
            <w:pPr>
              <w:pStyle w:val="TableParagraph"/>
              <w:spacing w:before="61"/>
              <w:ind w:left="108" w:right="206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detailed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assessment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consistency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with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Urban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Design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Strategy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provided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Section</w:t>
            </w:r>
            <w:r>
              <w:rPr>
                <w:spacing w:val="-1"/>
                <w:sz w:val="16"/>
              </w:rPr>
              <w:t> </w:t>
            </w:r>
            <w:hyperlink w:history="true" w:anchor="_bookmark25">
              <w:r>
                <w:rPr>
                  <w:sz w:val="16"/>
                </w:rPr>
                <w:t>4.3.</w:t>
              </w:r>
            </w:hyperlink>
          </w:p>
        </w:tc>
      </w:tr>
      <w:tr>
        <w:trPr>
          <w:trHeight w:val="1041" w:hRule="atLeast"/>
        </w:trPr>
        <w:tc>
          <w:tcPr>
            <w:tcW w:w="2263" w:type="dxa"/>
          </w:tcPr>
          <w:p>
            <w:pPr>
              <w:pStyle w:val="TableParagraph"/>
              <w:spacing w:before="61"/>
              <w:ind w:right="391"/>
              <w:rPr>
                <w:sz w:val="16"/>
              </w:rPr>
            </w:pPr>
            <w:r>
              <w:rPr>
                <w:sz w:val="16"/>
              </w:rPr>
              <w:t>EPR LU4: Urban Design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Strategy</w:t>
            </w:r>
          </w:p>
        </w:tc>
        <w:tc>
          <w:tcPr>
            <w:tcW w:w="6232" w:type="dxa"/>
          </w:tcPr>
          <w:p>
            <w:pPr>
              <w:pStyle w:val="TableParagraph"/>
              <w:spacing w:before="61"/>
              <w:ind w:left="108"/>
              <w:rPr>
                <w:sz w:val="16"/>
              </w:rPr>
            </w:pPr>
            <w:r>
              <w:rPr>
                <w:sz w:val="16"/>
              </w:rPr>
              <w:t>The design of the Arden Station precinct is in accordance with the Urban Design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Strategy and was developed in consultation with the Urban Design and Architectural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Advice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Panel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(UDAAP).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detailed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assessment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consistency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with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Urban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Design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Strategy is provided in Appendix E: Arden Station Precinct Urban Design Strategy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guidelines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assessment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Section</w:t>
            </w:r>
            <w:r>
              <w:rPr>
                <w:spacing w:val="1"/>
                <w:sz w:val="16"/>
              </w:rPr>
              <w:t> </w:t>
            </w:r>
            <w:hyperlink w:history="true" w:anchor="_bookmark25">
              <w:r>
                <w:rPr>
                  <w:sz w:val="16"/>
                </w:rPr>
                <w:t>4.3.</w:t>
              </w:r>
            </w:hyperlink>
          </w:p>
        </w:tc>
      </w:tr>
    </w:tbl>
    <w:p>
      <w:pPr>
        <w:pStyle w:val="BodyText"/>
        <w:rPr>
          <w:sz w:val="20"/>
        </w:rPr>
      </w:pPr>
    </w:p>
    <w:p>
      <w:pPr>
        <w:pStyle w:val="Heading3"/>
        <w:numPr>
          <w:ilvl w:val="2"/>
          <w:numId w:val="5"/>
        </w:numPr>
        <w:tabs>
          <w:tab w:pos="971" w:val="left" w:leader="none"/>
        </w:tabs>
        <w:spacing w:line="240" w:lineRule="auto" w:before="209" w:after="0"/>
        <w:ind w:left="970" w:right="0" w:hanging="853"/>
        <w:jc w:val="left"/>
      </w:pPr>
      <w:bookmarkStart w:name="_bookmark55" w:id="127"/>
      <w:bookmarkEnd w:id="127"/>
      <w:r>
        <w:rPr/>
      </w:r>
      <w:bookmarkStart w:name="_bookmark55" w:id="128"/>
      <w:bookmarkEnd w:id="128"/>
      <w:r>
        <w:rPr>
          <w:color w:val="808080"/>
        </w:rPr>
        <w:t>LA</w:t>
      </w:r>
      <w:r>
        <w:rPr>
          <w:color w:val="808080"/>
        </w:rPr>
        <w:t>NDSCAPE</w:t>
      </w:r>
      <w:r>
        <w:rPr>
          <w:color w:val="808080"/>
          <w:spacing w:val="-3"/>
        </w:rPr>
        <w:t> </w:t>
      </w:r>
      <w:r>
        <w:rPr>
          <w:color w:val="808080"/>
        </w:rPr>
        <w:t>AND</w:t>
      </w:r>
      <w:r>
        <w:rPr>
          <w:color w:val="808080"/>
          <w:spacing w:val="-3"/>
        </w:rPr>
        <w:t> </w:t>
      </w:r>
      <w:r>
        <w:rPr>
          <w:color w:val="808080"/>
        </w:rPr>
        <w:t>VISUAL</w:t>
      </w:r>
    </w:p>
    <w:p>
      <w:pPr>
        <w:pStyle w:val="BodyText"/>
        <w:spacing w:before="120"/>
        <w:ind w:left="118"/>
      </w:pPr>
      <w:hyperlink w:history="true" w:anchor="_bookmark56">
        <w:r>
          <w:rPr/>
          <w:t>Table</w:t>
        </w:r>
        <w:r>
          <w:rPr>
            <w:spacing w:val="-2"/>
          </w:rPr>
          <w:t> </w:t>
        </w:r>
        <w:r>
          <w:rPr/>
          <w:t>9</w:t>
        </w:r>
        <w:r>
          <w:rPr>
            <w:spacing w:val="-1"/>
          </w:rPr>
          <w:t> </w:t>
        </w:r>
      </w:hyperlink>
      <w:r>
        <w:rPr/>
        <w:t>provides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CYP</w:t>
      </w:r>
      <w:r>
        <w:rPr>
          <w:spacing w:val="-1"/>
        </w:rPr>
        <w:t> </w:t>
      </w:r>
      <w:r>
        <w:rPr/>
        <w:t>design</w:t>
      </w:r>
      <w:r>
        <w:rPr>
          <w:spacing w:val="-3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relevant</w:t>
      </w:r>
      <w:r>
        <w:rPr>
          <w:spacing w:val="-3"/>
        </w:rPr>
        <w:t> </w:t>
      </w:r>
      <w:r>
        <w:rPr/>
        <w:t>landscape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visual</w:t>
      </w:r>
      <w:r>
        <w:rPr>
          <w:spacing w:val="-1"/>
        </w:rPr>
        <w:t> </w:t>
      </w:r>
      <w:r>
        <w:rPr/>
        <w:t>EPRs.</w:t>
      </w:r>
    </w:p>
    <w:p>
      <w:pPr>
        <w:spacing w:before="120"/>
        <w:ind w:left="118" w:right="0" w:firstLine="0"/>
        <w:jc w:val="left"/>
        <w:rPr>
          <w:sz w:val="18"/>
        </w:rPr>
      </w:pPr>
      <w:bookmarkStart w:name="_bookmark56" w:id="129"/>
      <w:bookmarkEnd w:id="129"/>
      <w:r>
        <w:rPr/>
      </w:r>
      <w:r>
        <w:rPr>
          <w:sz w:val="18"/>
        </w:rPr>
        <w:t>Table</w:t>
      </w:r>
      <w:r>
        <w:rPr>
          <w:spacing w:val="-3"/>
          <w:sz w:val="18"/>
        </w:rPr>
        <w:t> </w:t>
      </w:r>
      <w:r>
        <w:rPr>
          <w:sz w:val="18"/>
        </w:rPr>
        <w:t>9</w:t>
      </w:r>
      <w:r>
        <w:rPr>
          <w:spacing w:val="-1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Design</w:t>
      </w:r>
      <w:r>
        <w:rPr>
          <w:spacing w:val="-1"/>
          <w:sz w:val="18"/>
        </w:rPr>
        <w:t> </w:t>
      </w:r>
      <w:r>
        <w:rPr>
          <w:sz w:val="18"/>
        </w:rPr>
        <w:t>response</w:t>
      </w:r>
      <w:r>
        <w:rPr>
          <w:spacing w:val="-2"/>
          <w:sz w:val="18"/>
        </w:rPr>
        <w:t> </w:t>
      </w:r>
      <w:r>
        <w:rPr>
          <w:sz w:val="18"/>
        </w:rPr>
        <w:t>to</w:t>
      </w:r>
      <w:r>
        <w:rPr>
          <w:spacing w:val="-4"/>
          <w:sz w:val="18"/>
        </w:rPr>
        <w:t> </w:t>
      </w:r>
      <w:r>
        <w:rPr>
          <w:sz w:val="18"/>
        </w:rPr>
        <w:t>relevant</w:t>
      </w:r>
      <w:r>
        <w:rPr>
          <w:spacing w:val="-3"/>
          <w:sz w:val="18"/>
        </w:rPr>
        <w:t> </w:t>
      </w:r>
      <w:r>
        <w:rPr>
          <w:sz w:val="18"/>
        </w:rPr>
        <w:t>landscape</w:t>
      </w:r>
      <w:r>
        <w:rPr>
          <w:spacing w:val="-4"/>
          <w:sz w:val="18"/>
        </w:rPr>
        <w:t> </w:t>
      </w:r>
      <w:r>
        <w:rPr>
          <w:sz w:val="18"/>
        </w:rPr>
        <w:t>and</w:t>
      </w:r>
      <w:r>
        <w:rPr>
          <w:spacing w:val="-4"/>
          <w:sz w:val="18"/>
        </w:rPr>
        <w:t> </w:t>
      </w:r>
      <w:r>
        <w:rPr>
          <w:sz w:val="18"/>
        </w:rPr>
        <w:t>visual</w:t>
      </w:r>
      <w:r>
        <w:rPr>
          <w:spacing w:val="-3"/>
          <w:sz w:val="18"/>
        </w:rPr>
        <w:t> </w:t>
      </w:r>
      <w:r>
        <w:rPr>
          <w:sz w:val="18"/>
        </w:rPr>
        <w:t>EPRs</w:t>
      </w:r>
    </w:p>
    <w:p>
      <w:pPr>
        <w:pStyle w:val="BodyText"/>
        <w:spacing w:before="8"/>
        <w:rPr>
          <w:sz w:val="10"/>
        </w:rPr>
      </w:pPr>
    </w:p>
    <w:tbl>
      <w:tblPr>
        <w:tblW w:w="0" w:type="auto"/>
        <w:jc w:val="left"/>
        <w:tblInd w:w="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6232"/>
      </w:tblGrid>
      <w:tr>
        <w:trPr>
          <w:trHeight w:val="357" w:hRule="atLeast"/>
        </w:trPr>
        <w:tc>
          <w:tcPr>
            <w:tcW w:w="2263" w:type="dxa"/>
            <w:shd w:val="clear" w:color="auto" w:fill="00BBE9"/>
          </w:tcPr>
          <w:p>
            <w:pPr>
              <w:pStyle w:val="TableParagraph"/>
              <w:spacing w:before="69"/>
              <w:ind w:left="11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EPR</w:t>
            </w:r>
          </w:p>
        </w:tc>
        <w:tc>
          <w:tcPr>
            <w:tcW w:w="6232" w:type="dxa"/>
            <w:shd w:val="clear" w:color="auto" w:fill="00BBE9"/>
          </w:tcPr>
          <w:p>
            <w:pPr>
              <w:pStyle w:val="TableParagraph"/>
              <w:spacing w:before="69"/>
              <w:ind w:left="11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Design</w:t>
            </w:r>
            <w:r>
              <w:rPr>
                <w:b/>
                <w:color w:val="FFFFFF"/>
                <w:spacing w:val="-4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Response</w:t>
            </w:r>
          </w:p>
        </w:tc>
      </w:tr>
      <w:tr>
        <w:trPr>
          <w:trHeight w:val="3060" w:hRule="atLeast"/>
        </w:trPr>
        <w:tc>
          <w:tcPr>
            <w:tcW w:w="2263" w:type="dxa"/>
            <w:tcBorders>
              <w:left w:val="single" w:sz="4" w:space="0" w:color="57DEFF"/>
              <w:bottom w:val="single" w:sz="4" w:space="0" w:color="57DEFF"/>
              <w:right w:val="single" w:sz="4" w:space="0" w:color="57DEFF"/>
            </w:tcBorders>
          </w:tcPr>
          <w:p>
            <w:pPr>
              <w:pStyle w:val="TableParagraph"/>
              <w:spacing w:before="61"/>
              <w:ind w:right="373"/>
              <w:rPr>
                <w:sz w:val="16"/>
              </w:rPr>
            </w:pPr>
            <w:r>
              <w:rPr>
                <w:sz w:val="16"/>
              </w:rPr>
              <w:t>EPR LV1: Reduce visual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impact</w:t>
            </w:r>
          </w:p>
          <w:p>
            <w:pPr>
              <w:pStyle w:val="TableParagraph"/>
              <w:spacing w:before="59"/>
              <w:ind w:right="133"/>
              <w:rPr>
                <w:sz w:val="16"/>
              </w:rPr>
            </w:pPr>
            <w:r>
              <w:rPr>
                <w:sz w:val="16"/>
              </w:rPr>
              <w:t>EPR LV2: Re-establishment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of public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open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space</w:t>
            </w:r>
          </w:p>
        </w:tc>
        <w:tc>
          <w:tcPr>
            <w:tcW w:w="6232" w:type="dxa"/>
            <w:tcBorders>
              <w:left w:val="single" w:sz="4" w:space="0" w:color="57DEFF"/>
              <w:bottom w:val="single" w:sz="4" w:space="0" w:color="57DEFF"/>
              <w:right w:val="single" w:sz="4" w:space="0" w:color="57DEFF"/>
            </w:tcBorders>
          </w:tcPr>
          <w:p>
            <w:pPr>
              <w:pStyle w:val="TableParagraph"/>
              <w:spacing w:before="61"/>
              <w:ind w:left="108" w:right="108"/>
              <w:rPr>
                <w:sz w:val="16"/>
              </w:rPr>
            </w:pPr>
            <w:r>
              <w:rPr>
                <w:sz w:val="16"/>
              </w:rPr>
              <w:t>The design of the Arden Station precinct was developed in consultation with the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Office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Victorian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Government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Architect,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Victorian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Planning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Authority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City of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Melbourne.</w:t>
            </w:r>
          </w:p>
          <w:p>
            <w:pPr>
              <w:pStyle w:val="TableParagraph"/>
              <w:spacing w:before="60"/>
              <w:ind w:left="108" w:right="161"/>
              <w:rPr>
                <w:sz w:val="16"/>
              </w:rPr>
            </w:pPr>
            <w:r>
              <w:rPr>
                <w:sz w:val="16"/>
              </w:rPr>
              <w:t>The design has given consideration to visual impact on the surrounding built form.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While there are few sensitive receptors in the Arden Station precinct, the design of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the station is of a similar scale to the surrounding built environment and is located in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such a way as to not impede on any existing view lines. Further, the design of the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station utilises soft landscaping treatments to minimise any visual impacts arising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stations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development.</w:t>
            </w:r>
          </w:p>
          <w:p>
            <w:pPr>
              <w:pStyle w:val="TableParagraph"/>
              <w:spacing w:before="61"/>
              <w:ind w:left="108" w:right="312"/>
              <w:rPr>
                <w:sz w:val="16"/>
              </w:rPr>
            </w:pPr>
            <w:r>
              <w:rPr>
                <w:sz w:val="16"/>
              </w:rPr>
              <w:t>Due to the location of the Arden Station precinct in a redevelopment area, there is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minimal impact on public open space. The proposed Arden Station precinct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incorporates a station plaza at the intersection of Lauren and Barwise Streets into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design,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creating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space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for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community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interaction.</w:t>
            </w:r>
          </w:p>
          <w:p>
            <w:pPr>
              <w:pStyle w:val="TableParagraph"/>
              <w:spacing w:before="58"/>
              <w:ind w:left="108" w:right="570"/>
              <w:rPr>
                <w:sz w:val="16"/>
              </w:rPr>
            </w:pPr>
            <w:r>
              <w:rPr>
                <w:sz w:val="16"/>
              </w:rPr>
              <w:t>The public open space is shown on the landscape plans in Appendix C: Arden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Station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Precinct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Landscape Plans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Elevations.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3"/>
        <w:numPr>
          <w:ilvl w:val="2"/>
          <w:numId w:val="5"/>
        </w:numPr>
        <w:tabs>
          <w:tab w:pos="971" w:val="left" w:leader="none"/>
        </w:tabs>
        <w:spacing w:line="240" w:lineRule="auto" w:before="0" w:after="0"/>
        <w:ind w:left="970" w:right="0" w:hanging="853"/>
        <w:jc w:val="left"/>
      </w:pPr>
      <w:bookmarkStart w:name="_bookmark57" w:id="130"/>
      <w:bookmarkEnd w:id="130"/>
      <w:r>
        <w:rPr/>
      </w:r>
      <w:bookmarkStart w:name="_bookmark57" w:id="131"/>
      <w:bookmarkEnd w:id="131"/>
      <w:r>
        <w:rPr>
          <w:color w:val="808080"/>
        </w:rPr>
        <w:t>SO</w:t>
      </w:r>
      <w:r>
        <w:rPr>
          <w:color w:val="808080"/>
        </w:rPr>
        <w:t>CIAL</w:t>
      </w:r>
      <w:r>
        <w:rPr>
          <w:color w:val="808080"/>
          <w:spacing w:val="-6"/>
        </w:rPr>
        <w:t> </w:t>
      </w:r>
      <w:r>
        <w:rPr>
          <w:color w:val="808080"/>
        </w:rPr>
        <w:t>AND</w:t>
      </w:r>
      <w:r>
        <w:rPr>
          <w:color w:val="808080"/>
          <w:spacing w:val="-5"/>
        </w:rPr>
        <w:t> </w:t>
      </w:r>
      <w:r>
        <w:rPr>
          <w:color w:val="808080"/>
        </w:rPr>
        <w:t>COMMUNITY</w:t>
      </w:r>
    </w:p>
    <w:p>
      <w:pPr>
        <w:pStyle w:val="BodyText"/>
        <w:spacing w:before="122"/>
        <w:ind w:left="118"/>
      </w:pPr>
      <w:hyperlink w:history="true" w:anchor="_bookmark58">
        <w:r>
          <w:rPr/>
          <w:t>Table</w:t>
        </w:r>
        <w:r>
          <w:rPr>
            <w:spacing w:val="-2"/>
          </w:rPr>
          <w:t> </w:t>
        </w:r>
        <w:r>
          <w:rPr/>
          <w:t>10</w:t>
        </w:r>
        <w:r>
          <w:rPr>
            <w:spacing w:val="-1"/>
          </w:rPr>
          <w:t> </w:t>
        </w:r>
      </w:hyperlink>
      <w:r>
        <w:rPr/>
        <w:t>provides the</w:t>
      </w:r>
      <w:r>
        <w:rPr>
          <w:spacing w:val="-1"/>
        </w:rPr>
        <w:t> </w:t>
      </w:r>
      <w:r>
        <w:rPr/>
        <w:t>CYP</w:t>
      </w:r>
      <w:r>
        <w:rPr>
          <w:spacing w:val="-2"/>
        </w:rPr>
        <w:t> </w:t>
      </w:r>
      <w:r>
        <w:rPr/>
        <w:t>design</w:t>
      </w:r>
      <w:r>
        <w:rPr>
          <w:spacing w:val="-2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relevant</w:t>
      </w:r>
      <w:r>
        <w:rPr>
          <w:spacing w:val="-2"/>
        </w:rPr>
        <w:t> </w:t>
      </w:r>
      <w:r>
        <w:rPr/>
        <w:t>social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community</w:t>
      </w:r>
      <w:r>
        <w:rPr>
          <w:spacing w:val="-1"/>
        </w:rPr>
        <w:t> </w:t>
      </w:r>
      <w:r>
        <w:rPr/>
        <w:t>EPR.</w:t>
      </w:r>
    </w:p>
    <w:p>
      <w:pPr>
        <w:spacing w:after="0"/>
        <w:sectPr>
          <w:pgSz w:w="11910" w:h="16840"/>
          <w:pgMar w:header="936" w:footer="365" w:top="1900" w:bottom="640" w:left="130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before="94"/>
        <w:ind w:left="118" w:right="0" w:firstLine="0"/>
        <w:jc w:val="left"/>
        <w:rPr>
          <w:sz w:val="18"/>
        </w:rPr>
      </w:pPr>
      <w:bookmarkStart w:name="_bookmark58" w:id="132"/>
      <w:bookmarkEnd w:id="132"/>
      <w:r>
        <w:rPr/>
      </w:r>
      <w:r>
        <w:rPr>
          <w:sz w:val="18"/>
        </w:rPr>
        <w:t>Table</w:t>
      </w:r>
      <w:r>
        <w:rPr>
          <w:spacing w:val="-3"/>
          <w:sz w:val="18"/>
        </w:rPr>
        <w:t> </w:t>
      </w:r>
      <w:r>
        <w:rPr>
          <w:sz w:val="18"/>
        </w:rPr>
        <w:t>10</w:t>
      </w:r>
      <w:r>
        <w:rPr>
          <w:spacing w:val="-4"/>
          <w:sz w:val="18"/>
        </w:rPr>
        <w:t> </w:t>
      </w:r>
      <w:r>
        <w:rPr>
          <w:sz w:val="18"/>
        </w:rPr>
        <w:t>–</w:t>
      </w:r>
      <w:r>
        <w:rPr>
          <w:spacing w:val="-1"/>
          <w:sz w:val="18"/>
        </w:rPr>
        <w:t> </w:t>
      </w:r>
      <w:r>
        <w:rPr>
          <w:sz w:val="18"/>
        </w:rPr>
        <w:t>Design</w:t>
      </w:r>
      <w:r>
        <w:rPr>
          <w:spacing w:val="-1"/>
          <w:sz w:val="18"/>
        </w:rPr>
        <w:t> </w:t>
      </w:r>
      <w:r>
        <w:rPr>
          <w:sz w:val="18"/>
        </w:rPr>
        <w:t>response</w:t>
      </w:r>
      <w:r>
        <w:rPr>
          <w:spacing w:val="-2"/>
          <w:sz w:val="18"/>
        </w:rPr>
        <w:t> </w:t>
      </w:r>
      <w:r>
        <w:rPr>
          <w:sz w:val="18"/>
        </w:rPr>
        <w:t>to</w:t>
      </w:r>
      <w:r>
        <w:rPr>
          <w:spacing w:val="-4"/>
          <w:sz w:val="18"/>
        </w:rPr>
        <w:t> </w:t>
      </w:r>
      <w:r>
        <w:rPr>
          <w:sz w:val="18"/>
        </w:rPr>
        <w:t>relevant</w:t>
      </w:r>
      <w:r>
        <w:rPr>
          <w:spacing w:val="-3"/>
          <w:sz w:val="18"/>
        </w:rPr>
        <w:t> </w:t>
      </w:r>
      <w:r>
        <w:rPr>
          <w:sz w:val="18"/>
        </w:rPr>
        <w:t>social</w:t>
      </w:r>
      <w:r>
        <w:rPr>
          <w:spacing w:val="-2"/>
          <w:sz w:val="18"/>
        </w:rPr>
        <w:t> </w:t>
      </w:r>
      <w:r>
        <w:rPr>
          <w:sz w:val="18"/>
        </w:rPr>
        <w:t>and</w:t>
      </w:r>
      <w:r>
        <w:rPr>
          <w:spacing w:val="-2"/>
          <w:sz w:val="18"/>
        </w:rPr>
        <w:t> </w:t>
      </w:r>
      <w:r>
        <w:rPr>
          <w:sz w:val="18"/>
        </w:rPr>
        <w:t>community EPR</w:t>
      </w: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6232"/>
      </w:tblGrid>
      <w:tr>
        <w:trPr>
          <w:trHeight w:val="360" w:hRule="atLeast"/>
        </w:trPr>
        <w:tc>
          <w:tcPr>
            <w:tcW w:w="2263" w:type="dxa"/>
            <w:shd w:val="clear" w:color="auto" w:fill="00BBE9"/>
          </w:tcPr>
          <w:p>
            <w:pPr>
              <w:pStyle w:val="TableParagraph"/>
              <w:spacing w:before="69"/>
              <w:ind w:left="11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EPR</w:t>
            </w:r>
          </w:p>
        </w:tc>
        <w:tc>
          <w:tcPr>
            <w:tcW w:w="6232" w:type="dxa"/>
            <w:shd w:val="clear" w:color="auto" w:fill="00BBE9"/>
          </w:tcPr>
          <w:p>
            <w:pPr>
              <w:pStyle w:val="TableParagraph"/>
              <w:spacing w:before="69"/>
              <w:ind w:left="11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Design</w:t>
            </w:r>
            <w:r>
              <w:rPr>
                <w:b/>
                <w:color w:val="FFFFFF"/>
                <w:spacing w:val="-4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Response</w:t>
            </w:r>
          </w:p>
        </w:tc>
      </w:tr>
      <w:tr>
        <w:trPr>
          <w:trHeight w:val="2448" w:hRule="atLeast"/>
        </w:trPr>
        <w:tc>
          <w:tcPr>
            <w:tcW w:w="2263" w:type="dxa"/>
            <w:tcBorders>
              <w:left w:val="single" w:sz="4" w:space="0" w:color="57DEFF"/>
              <w:bottom w:val="single" w:sz="4" w:space="0" w:color="57DEFF"/>
              <w:right w:val="single" w:sz="4" w:space="0" w:color="57DEFF"/>
            </w:tcBorders>
          </w:tcPr>
          <w:p>
            <w:pPr>
              <w:pStyle w:val="TableParagraph"/>
              <w:spacing w:before="58"/>
              <w:ind w:right="463"/>
              <w:rPr>
                <w:sz w:val="16"/>
              </w:rPr>
            </w:pPr>
            <w:r>
              <w:rPr>
                <w:sz w:val="16"/>
              </w:rPr>
              <w:t>EPR SC8: Re-establish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public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open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space</w:t>
            </w:r>
          </w:p>
        </w:tc>
        <w:tc>
          <w:tcPr>
            <w:tcW w:w="6232" w:type="dxa"/>
            <w:tcBorders>
              <w:left w:val="single" w:sz="4" w:space="0" w:color="57DEFF"/>
              <w:bottom w:val="single" w:sz="4" w:space="0" w:color="57DEFF"/>
              <w:right w:val="single" w:sz="4" w:space="0" w:color="57DEFF"/>
            </w:tcBorders>
          </w:tcPr>
          <w:p>
            <w:pPr>
              <w:pStyle w:val="TableParagraph"/>
              <w:spacing w:before="58"/>
              <w:ind w:left="108" w:right="356"/>
              <w:rPr>
                <w:sz w:val="16"/>
              </w:rPr>
            </w:pPr>
            <w:r>
              <w:rPr>
                <w:sz w:val="16"/>
              </w:rPr>
              <w:t>The design of the Arden Station precinct has been developed in consultation with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City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Melbourne.</w:t>
            </w:r>
          </w:p>
          <w:p>
            <w:pPr>
              <w:pStyle w:val="TableParagraph"/>
              <w:spacing w:before="62"/>
              <w:ind w:left="108" w:right="152"/>
              <w:rPr>
                <w:sz w:val="16"/>
              </w:rPr>
            </w:pPr>
            <w:r>
              <w:rPr>
                <w:sz w:val="16"/>
              </w:rPr>
              <w:t>Due to the predominantly industrial nature of the site, the Arden Station precinct has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limited public open space. While no open space master plan exists for the precinct,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following completion of construction, development will generally be in accordance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with the draft Arden Structure Plan (2020). This framework outlines future areas 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be used for public open space which the Arden Station Precinct Development Plan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either aligns with, such as the station forecourt plaza, or allows for future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development.</w:t>
            </w:r>
          </w:p>
          <w:p>
            <w:pPr>
              <w:pStyle w:val="TableParagraph"/>
              <w:spacing w:before="59"/>
              <w:ind w:left="108" w:right="90"/>
              <w:rPr>
                <w:sz w:val="16"/>
              </w:rPr>
            </w:pPr>
            <w:r>
              <w:rPr>
                <w:sz w:val="16"/>
              </w:rPr>
              <w:t>The public open space and landscape plans are shown in Appendix C: Arden Station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Precinct Landscape Plans and Elevations and Appendix D: Arden Station Precinct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Public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Realm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Plans,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respectively.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Heading3"/>
        <w:numPr>
          <w:ilvl w:val="2"/>
          <w:numId w:val="5"/>
        </w:numPr>
        <w:tabs>
          <w:tab w:pos="971" w:val="left" w:leader="none"/>
        </w:tabs>
        <w:spacing w:line="240" w:lineRule="auto" w:before="0" w:after="0"/>
        <w:ind w:left="970" w:right="0" w:hanging="853"/>
        <w:jc w:val="left"/>
      </w:pPr>
      <w:bookmarkStart w:name="_bookmark59" w:id="133"/>
      <w:bookmarkEnd w:id="133"/>
      <w:r>
        <w:rPr/>
      </w:r>
      <w:bookmarkStart w:name="_bookmark59" w:id="134"/>
      <w:bookmarkEnd w:id="134"/>
      <w:r>
        <w:rPr>
          <w:color w:val="808080"/>
        </w:rPr>
        <w:t>S</w:t>
      </w:r>
      <w:r>
        <w:rPr>
          <w:color w:val="808080"/>
        </w:rPr>
        <w:t>URFACE</w:t>
      </w:r>
      <w:r>
        <w:rPr>
          <w:color w:val="808080"/>
          <w:spacing w:val="-7"/>
        </w:rPr>
        <w:t> </w:t>
      </w:r>
      <w:r>
        <w:rPr>
          <w:color w:val="808080"/>
        </w:rPr>
        <w:t>WATER</w:t>
      </w:r>
    </w:p>
    <w:p>
      <w:pPr>
        <w:pStyle w:val="BodyText"/>
        <w:spacing w:before="120"/>
        <w:ind w:left="118"/>
      </w:pPr>
      <w:hyperlink w:history="true" w:anchor="_bookmark60">
        <w:r>
          <w:rPr/>
          <w:t>Table</w:t>
        </w:r>
        <w:r>
          <w:rPr>
            <w:spacing w:val="-2"/>
          </w:rPr>
          <w:t> </w:t>
        </w:r>
        <w:r>
          <w:rPr/>
          <w:t>11</w:t>
        </w:r>
        <w:r>
          <w:rPr>
            <w:spacing w:val="-1"/>
          </w:rPr>
          <w:t> </w:t>
        </w:r>
      </w:hyperlink>
      <w:r>
        <w:rPr/>
        <w:t>provides the</w:t>
      </w:r>
      <w:r>
        <w:rPr>
          <w:spacing w:val="-1"/>
        </w:rPr>
        <w:t> </w:t>
      </w:r>
      <w:r>
        <w:rPr/>
        <w:t>CYP</w:t>
      </w:r>
      <w:r>
        <w:rPr>
          <w:spacing w:val="-2"/>
        </w:rPr>
        <w:t> </w:t>
      </w:r>
      <w:r>
        <w:rPr/>
        <w:t>design</w:t>
      </w:r>
      <w:r>
        <w:rPr>
          <w:spacing w:val="-2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relevant</w:t>
      </w:r>
      <w:r>
        <w:rPr>
          <w:spacing w:val="-2"/>
        </w:rPr>
        <w:t> </w:t>
      </w:r>
      <w:r>
        <w:rPr/>
        <w:t>surface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/>
        <w:t>EPRs.</w:t>
      </w:r>
    </w:p>
    <w:p>
      <w:pPr>
        <w:spacing w:before="120"/>
        <w:ind w:left="118" w:right="0" w:firstLine="0"/>
        <w:jc w:val="left"/>
        <w:rPr>
          <w:sz w:val="18"/>
        </w:rPr>
      </w:pPr>
      <w:bookmarkStart w:name="_bookmark60" w:id="135"/>
      <w:bookmarkEnd w:id="135"/>
      <w:r>
        <w:rPr/>
      </w:r>
      <w:r>
        <w:rPr>
          <w:sz w:val="18"/>
        </w:rPr>
        <w:t>Table</w:t>
      </w:r>
      <w:r>
        <w:rPr>
          <w:spacing w:val="-3"/>
          <w:sz w:val="18"/>
        </w:rPr>
        <w:t> </w:t>
      </w:r>
      <w:r>
        <w:rPr>
          <w:sz w:val="18"/>
        </w:rPr>
        <w:t>11</w:t>
      </w:r>
      <w:r>
        <w:rPr>
          <w:spacing w:val="-3"/>
          <w:sz w:val="18"/>
        </w:rPr>
        <w:t> </w:t>
      </w:r>
      <w:r>
        <w:rPr>
          <w:sz w:val="18"/>
        </w:rPr>
        <w:t>– Design</w:t>
      </w:r>
      <w:r>
        <w:rPr>
          <w:spacing w:val="-1"/>
          <w:sz w:val="18"/>
        </w:rPr>
        <w:t> </w:t>
      </w:r>
      <w:r>
        <w:rPr>
          <w:sz w:val="18"/>
        </w:rPr>
        <w:t>response</w:t>
      </w:r>
      <w:r>
        <w:rPr>
          <w:spacing w:val="-1"/>
          <w:sz w:val="18"/>
        </w:rPr>
        <w:t> </w:t>
      </w:r>
      <w:r>
        <w:rPr>
          <w:sz w:val="18"/>
        </w:rPr>
        <w:t>to</w:t>
      </w:r>
      <w:r>
        <w:rPr>
          <w:spacing w:val="-3"/>
          <w:sz w:val="18"/>
        </w:rPr>
        <w:t> </w:t>
      </w:r>
      <w:r>
        <w:rPr>
          <w:sz w:val="18"/>
        </w:rPr>
        <w:t>relevant</w:t>
      </w:r>
      <w:r>
        <w:rPr>
          <w:spacing w:val="-3"/>
          <w:sz w:val="18"/>
        </w:rPr>
        <w:t> </w:t>
      </w:r>
      <w:r>
        <w:rPr>
          <w:sz w:val="18"/>
        </w:rPr>
        <w:t>surface</w:t>
      </w:r>
      <w:r>
        <w:rPr>
          <w:spacing w:val="-1"/>
          <w:sz w:val="18"/>
        </w:rPr>
        <w:t> </w:t>
      </w:r>
      <w:r>
        <w:rPr>
          <w:sz w:val="18"/>
        </w:rPr>
        <w:t>water</w:t>
      </w:r>
      <w:r>
        <w:rPr>
          <w:spacing w:val="-1"/>
          <w:sz w:val="18"/>
        </w:rPr>
        <w:t> </w:t>
      </w:r>
      <w:r>
        <w:rPr>
          <w:sz w:val="18"/>
        </w:rPr>
        <w:t>EPRs</w:t>
      </w:r>
    </w:p>
    <w:p>
      <w:pPr>
        <w:pStyle w:val="BodyText"/>
        <w:spacing w:before="7" w:after="1"/>
        <w:rPr>
          <w:sz w:val="10"/>
        </w:rPr>
      </w:pPr>
    </w:p>
    <w:tbl>
      <w:tblPr>
        <w:tblW w:w="0" w:type="auto"/>
        <w:jc w:val="left"/>
        <w:tblInd w:w="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6232"/>
      </w:tblGrid>
      <w:tr>
        <w:trPr>
          <w:trHeight w:val="357" w:hRule="atLeast"/>
        </w:trPr>
        <w:tc>
          <w:tcPr>
            <w:tcW w:w="2263" w:type="dxa"/>
            <w:shd w:val="clear" w:color="auto" w:fill="00BBE9"/>
          </w:tcPr>
          <w:p>
            <w:pPr>
              <w:pStyle w:val="TableParagraph"/>
              <w:spacing w:before="69"/>
              <w:ind w:left="11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EPR</w:t>
            </w:r>
          </w:p>
        </w:tc>
        <w:tc>
          <w:tcPr>
            <w:tcW w:w="6232" w:type="dxa"/>
            <w:shd w:val="clear" w:color="auto" w:fill="00BBE9"/>
          </w:tcPr>
          <w:p>
            <w:pPr>
              <w:pStyle w:val="TableParagraph"/>
              <w:spacing w:before="69"/>
              <w:ind w:left="11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Design</w:t>
            </w:r>
            <w:r>
              <w:rPr>
                <w:b/>
                <w:color w:val="FFFFFF"/>
                <w:spacing w:val="-4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Response</w:t>
            </w:r>
          </w:p>
        </w:tc>
      </w:tr>
      <w:tr>
        <w:trPr>
          <w:trHeight w:val="5203" w:hRule="atLeast"/>
        </w:trPr>
        <w:tc>
          <w:tcPr>
            <w:tcW w:w="2263" w:type="dxa"/>
            <w:tcBorders>
              <w:left w:val="single" w:sz="4" w:space="0" w:color="57DEFF"/>
              <w:bottom w:val="single" w:sz="4" w:space="0" w:color="57DEFF"/>
              <w:right w:val="single" w:sz="4" w:space="0" w:color="57DEFF"/>
            </w:tcBorders>
          </w:tcPr>
          <w:p>
            <w:pPr>
              <w:pStyle w:val="TableParagraph"/>
              <w:spacing w:before="61"/>
              <w:rPr>
                <w:sz w:val="16"/>
              </w:rPr>
            </w:pPr>
            <w:r>
              <w:rPr>
                <w:sz w:val="16"/>
              </w:rPr>
              <w:t>EPR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SW1: Flood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design</w:t>
            </w:r>
          </w:p>
          <w:p>
            <w:pPr>
              <w:pStyle w:val="TableParagraph"/>
              <w:spacing w:before="58"/>
              <w:ind w:right="223"/>
              <w:rPr>
                <w:sz w:val="16"/>
              </w:rPr>
            </w:pPr>
            <w:r>
              <w:rPr>
                <w:sz w:val="16"/>
              </w:rPr>
              <w:t>EPR SW2: Water sensitive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urban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design</w:t>
            </w:r>
          </w:p>
        </w:tc>
        <w:tc>
          <w:tcPr>
            <w:tcW w:w="6232" w:type="dxa"/>
            <w:tcBorders>
              <w:left w:val="single" w:sz="4" w:space="0" w:color="57DEFF"/>
              <w:bottom w:val="single" w:sz="4" w:space="0" w:color="57DEFF"/>
              <w:right w:val="single" w:sz="4" w:space="0" w:color="57DEFF"/>
            </w:tcBorders>
          </w:tcPr>
          <w:p>
            <w:pPr>
              <w:pStyle w:val="TableParagraph"/>
              <w:spacing w:before="61"/>
              <w:ind w:left="108" w:right="161"/>
              <w:rPr>
                <w:sz w:val="16"/>
              </w:rPr>
            </w:pPr>
            <w:r>
              <w:rPr>
                <w:sz w:val="16"/>
              </w:rPr>
              <w:t>The design of the Arden Station precinct was developed in consultation with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Melbourne Water, City of Melbourne and the Victorian Planning Authority, and inline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with the flood management strategy outlined in the draft Arden Structure Plan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(2020).</w:t>
            </w:r>
          </w:p>
          <w:p>
            <w:pPr>
              <w:pStyle w:val="TableParagraph"/>
              <w:spacing w:before="58"/>
              <w:ind w:left="108" w:right="633"/>
              <w:rPr>
                <w:sz w:val="16"/>
              </w:rPr>
            </w:pPr>
            <w:r>
              <w:rPr>
                <w:sz w:val="16"/>
              </w:rPr>
              <w:t>The Arden site is subject to flooding which is challenging for the development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potential 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site.</w:t>
            </w:r>
          </w:p>
          <w:p>
            <w:pPr>
              <w:pStyle w:val="TableParagraph"/>
              <w:spacing w:before="62"/>
              <w:ind w:left="108" w:right="285"/>
              <w:rPr>
                <w:sz w:val="16"/>
              </w:rPr>
            </w:pPr>
            <w:r>
              <w:rPr>
                <w:sz w:val="16"/>
              </w:rPr>
              <w:t>The adoption of a water sensitive landscape design throughout the whole of the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precinct will help to manage local stormwater. The Arden Station precinct will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embrace this challenge and provide an ecological sponge. All tree pits and garden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beds in the plaza and Laurens Street, will be designed to allow for stormwater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infiltration.</w:t>
            </w:r>
          </w:p>
          <w:p>
            <w:pPr>
              <w:pStyle w:val="TableParagraph"/>
              <w:spacing w:before="60"/>
              <w:ind w:left="108" w:right="117"/>
              <w:rPr>
                <w:sz w:val="16"/>
              </w:rPr>
            </w:pPr>
            <w:r>
              <w:rPr>
                <w:sz w:val="16"/>
              </w:rPr>
              <w:t>A bio-filtration water feature rain garden will be located at the entry to the station.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This will capture stormwater and be planted with ephemeral species. The feature will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allow water to pond, hold and then be directed into terraced cascades before being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collected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stormwater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detention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areas.</w:t>
            </w:r>
          </w:p>
          <w:p>
            <w:pPr>
              <w:pStyle w:val="TableParagraph"/>
              <w:spacing w:before="58"/>
              <w:ind w:left="108" w:right="170"/>
              <w:rPr>
                <w:sz w:val="16"/>
              </w:rPr>
            </w:pPr>
            <w:r>
              <w:rPr>
                <w:sz w:val="16"/>
              </w:rPr>
              <w:t>Arden Station's entrance, northern retail terrace and interfacing retail entrances will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be raised 1.5 metres above ground level to protect the station from being flooded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from the 1 in 100 year ARI flood event level (this also includes an additional 0.5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metre high active flood protection barrier at the ticket gate to protect against the 1 in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1000 year ARI flood event). This is in accordance with Melbourne Water flood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management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standards.</w:t>
            </w:r>
          </w:p>
          <w:p>
            <w:pPr>
              <w:pStyle w:val="TableParagraph"/>
              <w:spacing w:before="60"/>
              <w:ind w:left="108" w:right="206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Arden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Station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precinct</w:t>
            </w:r>
            <w:r>
              <w:rPr>
                <w:spacing w:val="43"/>
                <w:sz w:val="16"/>
              </w:rPr>
              <w:t> </w:t>
            </w:r>
            <w:r>
              <w:rPr>
                <w:sz w:val="16"/>
              </w:rPr>
              <w:t>design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water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sensitive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urban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design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shown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landscape plans in Appendix C: Arden Station Precinct Landscape Plans and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Elevations, and a detailed assessment of consistency with the Urban Design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Strategy is provided in Appendix E: Arden Station Precinct Urban Design Strategy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guidelines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assessment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Section</w:t>
            </w:r>
            <w:r>
              <w:rPr>
                <w:spacing w:val="1"/>
                <w:sz w:val="16"/>
              </w:rPr>
              <w:t> </w:t>
            </w:r>
            <w:hyperlink w:history="true" w:anchor="_bookmark25">
              <w:r>
                <w:rPr>
                  <w:sz w:val="16"/>
                </w:rPr>
                <w:t>4.3.</w:t>
              </w:r>
            </w:hyperlink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3"/>
        <w:numPr>
          <w:ilvl w:val="2"/>
          <w:numId w:val="5"/>
        </w:numPr>
        <w:tabs>
          <w:tab w:pos="971" w:val="left" w:leader="none"/>
        </w:tabs>
        <w:spacing w:line="240" w:lineRule="auto" w:before="0" w:after="0"/>
        <w:ind w:left="970" w:right="0" w:hanging="853"/>
        <w:jc w:val="left"/>
      </w:pPr>
      <w:bookmarkStart w:name="_bookmark61" w:id="136"/>
      <w:bookmarkEnd w:id="136"/>
      <w:r>
        <w:rPr/>
      </w:r>
      <w:bookmarkStart w:name="_bookmark61" w:id="137"/>
      <w:bookmarkEnd w:id="137"/>
      <w:r>
        <w:rPr>
          <w:color w:val="808080"/>
        </w:rPr>
        <w:t>T</w:t>
      </w:r>
      <w:r>
        <w:rPr>
          <w:color w:val="808080"/>
        </w:rPr>
        <w:t>RANSPORT</w:t>
      </w:r>
    </w:p>
    <w:p>
      <w:pPr>
        <w:pStyle w:val="BodyText"/>
        <w:spacing w:before="123"/>
        <w:ind w:left="118"/>
      </w:pPr>
      <w:hyperlink w:history="true" w:anchor="_bookmark62">
        <w:r>
          <w:rPr/>
          <w:t>Table</w:t>
        </w:r>
        <w:r>
          <w:rPr>
            <w:spacing w:val="-2"/>
          </w:rPr>
          <w:t> </w:t>
        </w:r>
        <w:r>
          <w:rPr/>
          <w:t>12</w:t>
        </w:r>
        <w:r>
          <w:rPr>
            <w:spacing w:val="-1"/>
          </w:rPr>
          <w:t> </w:t>
        </w:r>
      </w:hyperlink>
      <w:r>
        <w:rPr/>
        <w:t>provides the</w:t>
      </w:r>
      <w:r>
        <w:rPr>
          <w:spacing w:val="-1"/>
        </w:rPr>
        <w:t> </w:t>
      </w:r>
      <w:r>
        <w:rPr/>
        <w:t>CYP</w:t>
      </w:r>
      <w:r>
        <w:rPr>
          <w:spacing w:val="-1"/>
        </w:rPr>
        <w:t> </w:t>
      </w:r>
      <w:r>
        <w:rPr/>
        <w:t>design</w:t>
      </w:r>
      <w:r>
        <w:rPr>
          <w:spacing w:val="-2"/>
        </w:rPr>
        <w:t> </w:t>
      </w:r>
      <w:r>
        <w:rPr/>
        <w:t>response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relevant</w:t>
      </w:r>
      <w:r>
        <w:rPr>
          <w:spacing w:val="-2"/>
        </w:rPr>
        <w:t> </w:t>
      </w:r>
      <w:r>
        <w:rPr/>
        <w:t>transport</w:t>
      </w:r>
      <w:r>
        <w:rPr>
          <w:spacing w:val="-2"/>
        </w:rPr>
        <w:t> </w:t>
      </w:r>
      <w:r>
        <w:rPr/>
        <w:t>EPRs.</w:t>
      </w:r>
    </w:p>
    <w:p>
      <w:pPr>
        <w:spacing w:after="0"/>
        <w:sectPr>
          <w:pgSz w:w="11910" w:h="16840"/>
          <w:pgMar w:header="936" w:footer="365" w:top="1900" w:bottom="640" w:left="130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before="94"/>
        <w:ind w:left="118" w:right="0" w:firstLine="0"/>
        <w:jc w:val="left"/>
        <w:rPr>
          <w:sz w:val="18"/>
        </w:rPr>
      </w:pPr>
      <w:bookmarkStart w:name="_bookmark62" w:id="138"/>
      <w:bookmarkEnd w:id="138"/>
      <w:r>
        <w:rPr/>
      </w:r>
      <w:r>
        <w:rPr>
          <w:sz w:val="18"/>
        </w:rPr>
        <w:t>Table</w:t>
      </w:r>
      <w:r>
        <w:rPr>
          <w:spacing w:val="-2"/>
          <w:sz w:val="18"/>
        </w:rPr>
        <w:t> </w:t>
      </w:r>
      <w:r>
        <w:rPr>
          <w:sz w:val="18"/>
        </w:rPr>
        <w:t>12</w:t>
      </w:r>
      <w:r>
        <w:rPr>
          <w:spacing w:val="-3"/>
          <w:sz w:val="18"/>
        </w:rPr>
        <w:t> </w:t>
      </w:r>
      <w:r>
        <w:rPr>
          <w:sz w:val="18"/>
        </w:rPr>
        <w:t>–</w:t>
      </w:r>
      <w:r>
        <w:rPr>
          <w:spacing w:val="1"/>
          <w:sz w:val="18"/>
        </w:rPr>
        <w:t> </w:t>
      </w:r>
      <w:r>
        <w:rPr>
          <w:sz w:val="18"/>
        </w:rPr>
        <w:t>Design</w:t>
      </w:r>
      <w:r>
        <w:rPr>
          <w:spacing w:val="-1"/>
          <w:sz w:val="18"/>
        </w:rPr>
        <w:t> </w:t>
      </w:r>
      <w:r>
        <w:rPr>
          <w:sz w:val="18"/>
        </w:rPr>
        <w:t>response to</w:t>
      </w:r>
      <w:r>
        <w:rPr>
          <w:spacing w:val="-3"/>
          <w:sz w:val="18"/>
        </w:rPr>
        <w:t> </w:t>
      </w:r>
      <w:r>
        <w:rPr>
          <w:sz w:val="18"/>
        </w:rPr>
        <w:t>relevant</w:t>
      </w:r>
      <w:r>
        <w:rPr>
          <w:spacing w:val="-3"/>
          <w:sz w:val="18"/>
        </w:rPr>
        <w:t> </w:t>
      </w:r>
      <w:r>
        <w:rPr>
          <w:sz w:val="18"/>
        </w:rPr>
        <w:t>transport</w:t>
      </w:r>
      <w:r>
        <w:rPr>
          <w:spacing w:val="-2"/>
          <w:sz w:val="18"/>
        </w:rPr>
        <w:t> </w:t>
      </w:r>
      <w:r>
        <w:rPr>
          <w:sz w:val="18"/>
        </w:rPr>
        <w:t>EPRs</w:t>
      </w:r>
    </w:p>
    <w:p>
      <w:pPr>
        <w:pStyle w:val="BodyText"/>
        <w:spacing w:before="5"/>
        <w:rPr>
          <w:sz w:val="10"/>
        </w:rPr>
      </w:pPr>
    </w:p>
    <w:tbl>
      <w:tblPr>
        <w:tblW w:w="0" w:type="auto"/>
        <w:jc w:val="left"/>
        <w:tblInd w:w="131" w:type="dxa"/>
        <w:tblBorders>
          <w:top w:val="single" w:sz="4" w:space="0" w:color="57DEFF"/>
          <w:left w:val="single" w:sz="4" w:space="0" w:color="57DEFF"/>
          <w:bottom w:val="single" w:sz="4" w:space="0" w:color="57DEFF"/>
          <w:right w:val="single" w:sz="4" w:space="0" w:color="57DEFF"/>
          <w:insideH w:val="single" w:sz="4" w:space="0" w:color="57DEFF"/>
          <w:insideV w:val="single" w:sz="4" w:space="0" w:color="57DE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6232"/>
      </w:tblGrid>
      <w:tr>
        <w:trPr>
          <w:trHeight w:val="360" w:hRule="atLeast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69"/>
              <w:ind w:left="11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EPR</w:t>
            </w:r>
          </w:p>
        </w:tc>
        <w:tc>
          <w:tcPr>
            <w:tcW w:w="6232" w:type="dxa"/>
            <w:tcBorders>
              <w:top w:val="nil"/>
              <w:left w:val="nil"/>
              <w:bottom w:val="nil"/>
              <w:right w:val="nil"/>
            </w:tcBorders>
            <w:shd w:val="clear" w:color="auto" w:fill="00BBE9"/>
          </w:tcPr>
          <w:p>
            <w:pPr>
              <w:pStyle w:val="TableParagraph"/>
              <w:spacing w:before="69"/>
              <w:ind w:left="11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Design</w:t>
            </w:r>
            <w:r>
              <w:rPr>
                <w:b/>
                <w:color w:val="FFFFFF"/>
                <w:spacing w:val="-4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Response</w:t>
            </w:r>
          </w:p>
        </w:tc>
      </w:tr>
      <w:tr>
        <w:trPr>
          <w:trHeight w:val="3060" w:hRule="atLeast"/>
        </w:trPr>
        <w:tc>
          <w:tcPr>
            <w:tcW w:w="2263" w:type="dxa"/>
            <w:tcBorders>
              <w:top w:val="nil"/>
            </w:tcBorders>
          </w:tcPr>
          <w:p>
            <w:pPr>
              <w:pStyle w:val="TableParagraph"/>
              <w:spacing w:before="58"/>
              <w:ind w:right="285"/>
              <w:rPr>
                <w:sz w:val="16"/>
              </w:rPr>
            </w:pPr>
            <w:r>
              <w:rPr>
                <w:sz w:val="16"/>
              </w:rPr>
              <w:t>EPR T7: Operational road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transport</w:t>
            </w:r>
          </w:p>
        </w:tc>
        <w:tc>
          <w:tcPr>
            <w:tcW w:w="6232" w:type="dxa"/>
            <w:tcBorders>
              <w:top w:val="nil"/>
            </w:tcBorders>
          </w:tcPr>
          <w:p>
            <w:pPr>
              <w:pStyle w:val="TableParagraph"/>
              <w:spacing w:before="58"/>
              <w:ind w:left="108" w:right="201"/>
              <w:jc w:val="both"/>
              <w:rPr>
                <w:sz w:val="16"/>
              </w:rPr>
            </w:pPr>
            <w:r>
              <w:rPr>
                <w:sz w:val="16"/>
              </w:rPr>
              <w:t>The design of the Arden road network has been undertaken in consultation with the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Department of Transport (previously known as VicRoads, Transport for Victoria and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Public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Transport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Victoria) and City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Melbourne.</w:t>
            </w:r>
          </w:p>
          <w:p>
            <w:pPr>
              <w:pStyle w:val="TableParagraph"/>
              <w:spacing w:before="60"/>
              <w:ind w:left="108" w:right="108"/>
              <w:rPr>
                <w:sz w:val="16"/>
              </w:rPr>
            </w:pPr>
            <w:r>
              <w:rPr>
                <w:sz w:val="16"/>
              </w:rPr>
              <w:t>The existing Arden area road network will remain unchanged as a result of the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Project. There will however be a reduction of approximately 24 car parking spaces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within the precinct, with reinstated parking spaces provided along Laurens Street,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Barwise Street and a new service laneway created off Barwise Street (Station Lane),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servicing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the back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house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areas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station.</w:t>
            </w:r>
          </w:p>
          <w:p>
            <w:pPr>
              <w:pStyle w:val="TableParagraph"/>
              <w:spacing w:before="62"/>
              <w:ind w:left="108" w:right="144"/>
              <w:rPr>
                <w:sz w:val="16"/>
              </w:rPr>
            </w:pPr>
            <w:r>
              <w:rPr>
                <w:sz w:val="16"/>
              </w:rPr>
              <w:t>Two new service laneways off Barwise Street will be constructed, servicing the main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station building and Western Building. The service laneway closest to the Western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Building can be incorporated into the future Fogarty Street extension as intended in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draft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Arden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Structure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Plan (2020).</w:t>
            </w:r>
          </w:p>
          <w:p>
            <w:pPr>
              <w:pStyle w:val="TableParagraph"/>
              <w:spacing w:before="59"/>
              <w:ind w:left="108" w:right="114"/>
              <w:rPr>
                <w:sz w:val="16"/>
              </w:rPr>
            </w:pPr>
            <w:r>
              <w:rPr>
                <w:sz w:val="16"/>
              </w:rPr>
              <w:t>This new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road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will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ultimately</w:t>
            </w:r>
            <w:r>
              <w:rPr>
                <w:spacing w:val="5"/>
                <w:sz w:val="16"/>
              </w:rPr>
              <w:t> </w:t>
            </w:r>
            <w:r>
              <w:rPr>
                <w:sz w:val="16"/>
              </w:rPr>
              <w:t>be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integrated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into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broader</w:t>
            </w:r>
            <w:r>
              <w:rPr>
                <w:spacing w:val="3"/>
                <w:sz w:val="16"/>
              </w:rPr>
              <w:t> </w:t>
            </w:r>
            <w:r>
              <w:rPr>
                <w:sz w:val="16"/>
              </w:rPr>
              <w:t>draft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Arden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Structure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Plan (2020) at a later date. Additionally, the station design allows for the extension of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Queensberry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Street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(or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Fogarty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discussed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above)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into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Arden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Station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precinct.</w:t>
            </w:r>
          </w:p>
        </w:tc>
      </w:tr>
      <w:tr>
        <w:trPr>
          <w:trHeight w:val="3059" w:hRule="atLeast"/>
        </w:trPr>
        <w:tc>
          <w:tcPr>
            <w:tcW w:w="2263" w:type="dxa"/>
          </w:tcPr>
          <w:p>
            <w:pPr>
              <w:pStyle w:val="TableParagraph"/>
              <w:spacing w:before="58"/>
              <w:ind w:right="187"/>
              <w:rPr>
                <w:sz w:val="16"/>
              </w:rPr>
            </w:pPr>
            <w:r>
              <w:rPr>
                <w:sz w:val="16"/>
              </w:rPr>
              <w:t>EPR T8: Operational public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transport</w:t>
            </w:r>
          </w:p>
        </w:tc>
        <w:tc>
          <w:tcPr>
            <w:tcW w:w="6232" w:type="dxa"/>
          </w:tcPr>
          <w:p>
            <w:pPr>
              <w:pStyle w:val="TableParagraph"/>
              <w:spacing w:before="58"/>
              <w:ind w:left="108" w:right="205"/>
              <w:jc w:val="both"/>
              <w:rPr>
                <w:sz w:val="16"/>
              </w:rPr>
            </w:pPr>
            <w:r>
              <w:rPr>
                <w:sz w:val="16"/>
              </w:rPr>
              <w:t>The design of the Arden road network has been undertaken in consultation with the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Department of Transport (previously known as VicRoads, Transport for Victoria and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Public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Transport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Victoria)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and City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Melbourne.</w:t>
            </w:r>
          </w:p>
          <w:p>
            <w:pPr>
              <w:pStyle w:val="TableParagraph"/>
              <w:spacing w:before="60"/>
              <w:ind w:left="108" w:right="206"/>
              <w:rPr>
                <w:sz w:val="16"/>
              </w:rPr>
            </w:pPr>
            <w:r>
              <w:rPr>
                <w:sz w:val="16"/>
              </w:rPr>
              <w:t>The design of the Arden Station precinct has taken transport interchange into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consideration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through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ensuring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easy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passenger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arrival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from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bus,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car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taxi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drop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off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as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well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potential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future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tram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connections.</w:t>
            </w:r>
          </w:p>
          <w:p>
            <w:pPr>
              <w:pStyle w:val="TableParagraph"/>
              <w:spacing w:before="60"/>
              <w:ind w:left="108" w:right="163"/>
              <w:rPr>
                <w:sz w:val="16"/>
              </w:rPr>
            </w:pPr>
            <w:r>
              <w:rPr>
                <w:sz w:val="16"/>
              </w:rPr>
              <w:t>At present there is no bus route servicing the Arden Station location, however two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bus stops will be provided on Laurens Street directly adjacent the station entry, on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either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side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road,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providing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opportunity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for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future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bus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route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provide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greater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local area transport. This will also include a train replacement bus stop. Two Kiss-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and-ride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bays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taxi rank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will also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be provided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along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Laurens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Street.</w:t>
            </w:r>
          </w:p>
          <w:p>
            <w:pPr>
              <w:pStyle w:val="TableParagraph"/>
              <w:spacing w:before="62"/>
              <w:ind w:left="108" w:right="206"/>
              <w:rPr>
                <w:sz w:val="16"/>
              </w:rPr>
            </w:pPr>
            <w:r>
              <w:rPr>
                <w:sz w:val="16"/>
              </w:rPr>
              <w:t>While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there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are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currently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no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tram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services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that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stop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Arden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Station,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design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the station precinct allows for future development along Arden Street and / 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Laurens Street for public transport, as outlined in the draft Arden Structure Plan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(2020).</w:t>
            </w:r>
          </w:p>
        </w:tc>
      </w:tr>
      <w:tr>
        <w:trPr>
          <w:trHeight w:val="5510" w:hRule="atLeast"/>
        </w:trPr>
        <w:tc>
          <w:tcPr>
            <w:tcW w:w="2263" w:type="dxa"/>
          </w:tcPr>
          <w:p>
            <w:pPr>
              <w:pStyle w:val="TableParagraph"/>
              <w:spacing w:before="58"/>
              <w:ind w:right="187"/>
              <w:rPr>
                <w:sz w:val="16"/>
              </w:rPr>
            </w:pPr>
            <w:r>
              <w:rPr>
                <w:sz w:val="16"/>
              </w:rPr>
              <w:t>EPR T9: Operational active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transport</w:t>
            </w:r>
          </w:p>
        </w:tc>
        <w:tc>
          <w:tcPr>
            <w:tcW w:w="6232" w:type="dxa"/>
          </w:tcPr>
          <w:p>
            <w:pPr>
              <w:pStyle w:val="TableParagraph"/>
              <w:spacing w:before="58"/>
              <w:ind w:left="108" w:right="203"/>
              <w:jc w:val="both"/>
              <w:rPr>
                <w:sz w:val="16"/>
              </w:rPr>
            </w:pPr>
            <w:r>
              <w:rPr>
                <w:sz w:val="16"/>
              </w:rPr>
              <w:t>The design of the Arden road network has been undertaken in consultation with the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Department of Transport (previously known as VicRoads, Transport for Victoria and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Public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Transport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Victoria)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and City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Melbourne.</w:t>
            </w:r>
          </w:p>
          <w:p>
            <w:pPr>
              <w:pStyle w:val="TableParagraph"/>
              <w:spacing w:before="60"/>
              <w:ind w:left="108" w:right="206"/>
              <w:rPr>
                <w:sz w:val="16"/>
              </w:rPr>
            </w:pP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Arden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located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what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currently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industrial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area,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existing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active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transport network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is poorly defined.</w:t>
            </w:r>
          </w:p>
          <w:p>
            <w:pPr>
              <w:pStyle w:val="TableParagraph"/>
              <w:spacing w:before="62"/>
              <w:ind w:left="108" w:right="152"/>
              <w:rPr>
                <w:sz w:val="16"/>
              </w:rPr>
            </w:pPr>
            <w:r>
              <w:rPr>
                <w:sz w:val="16"/>
              </w:rPr>
              <w:t>The Project will deliver improvements to both the active transport network and the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public realm to develop a high-quality walking and cycling environment. This will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include footpath widening, new signalised pedestrian road crossings, additional tree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planting, street furniture, new signage and lighting, bicycle lanes (including 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separated raised bicycle path on Laurens Street west, and an on-road bicycle path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on Laurens Street east) and generous bicycle parking. The design also supports the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universal access to the Arden Station through the provision of DDA ramps and a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Changing Places facility. These improvements will enhance the active transport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experience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in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Arden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Station precinct.</w:t>
            </w:r>
          </w:p>
          <w:p>
            <w:pPr>
              <w:pStyle w:val="TableParagraph"/>
              <w:spacing w:before="61"/>
              <w:ind w:left="108" w:right="135"/>
              <w:rPr>
                <w:sz w:val="16"/>
              </w:rPr>
            </w:pPr>
            <w:r>
              <w:rPr>
                <w:sz w:val="16"/>
              </w:rPr>
              <w:t>The design prioritises pedestrians and cyclists. Upon completion of the Project, the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Arden area will be somewhat isolated as the majority of areas with planned new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developments will not yet exist. The entrance of the station on Laurens Street will be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approximately 80 metres from the intersections of both Arden and Queensberry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streets. These streets are the main pedestrian routes for passengers approaching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the station, so this entrance location provides maximum catchment opportunity and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visibility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for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approaching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passengers on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foot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bicycle.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station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plaza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has been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designed to orientate passengers and direct them towards the station entry or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connecting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transport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facilities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well 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provide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gathering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waiting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area.</w:t>
            </w:r>
          </w:p>
          <w:p>
            <w:pPr>
              <w:pStyle w:val="TableParagraph"/>
              <w:spacing w:before="60"/>
              <w:ind w:left="108" w:right="120"/>
              <w:rPr>
                <w:sz w:val="16"/>
              </w:rPr>
            </w:pP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design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station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building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has incorporated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bicycle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storage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to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encourage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41"/>
                <w:sz w:val="16"/>
              </w:rPr>
              <w:t> </w:t>
            </w:r>
            <w:r>
              <w:rPr>
                <w:sz w:val="16"/>
              </w:rPr>
              <w:t>cater for active bicycle users. 126 secure bike-parking spaces will be provided on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Day 1. Additional space has been allocated for a further 200 bike parking spaces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(future provision) and Bike Share parking, facilitating sustainable transport and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healthy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lifestyle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options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for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commuters and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station’s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surrounding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communities.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936" w:footer="365" w:top="1900" w:bottom="640" w:left="130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tbl>
      <w:tblPr>
        <w:tblW w:w="0" w:type="auto"/>
        <w:jc w:val="left"/>
        <w:tblInd w:w="1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6232"/>
      </w:tblGrid>
      <w:tr>
        <w:trPr>
          <w:trHeight w:val="357" w:hRule="atLeast"/>
        </w:trPr>
        <w:tc>
          <w:tcPr>
            <w:tcW w:w="2263" w:type="dxa"/>
            <w:shd w:val="clear" w:color="auto" w:fill="00BBE9"/>
          </w:tcPr>
          <w:p>
            <w:pPr>
              <w:pStyle w:val="TableParagraph"/>
              <w:spacing w:before="69"/>
              <w:ind w:left="112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EPR</w:t>
            </w:r>
          </w:p>
        </w:tc>
        <w:tc>
          <w:tcPr>
            <w:tcW w:w="6232" w:type="dxa"/>
            <w:shd w:val="clear" w:color="auto" w:fill="00BBE9"/>
          </w:tcPr>
          <w:p>
            <w:pPr>
              <w:pStyle w:val="TableParagraph"/>
              <w:spacing w:before="69"/>
              <w:ind w:left="113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Design</w:t>
            </w:r>
            <w:r>
              <w:rPr>
                <w:b/>
                <w:color w:val="FFFFFF"/>
                <w:spacing w:val="-4"/>
                <w:sz w:val="19"/>
              </w:rPr>
              <w:t> </w:t>
            </w:r>
            <w:r>
              <w:rPr>
                <w:b/>
                <w:color w:val="FFFFFF"/>
                <w:sz w:val="19"/>
              </w:rPr>
              <w:t>Response</w:t>
            </w:r>
          </w:p>
        </w:tc>
      </w:tr>
      <w:tr>
        <w:trPr>
          <w:trHeight w:val="1838" w:hRule="atLeast"/>
        </w:trPr>
        <w:tc>
          <w:tcPr>
            <w:tcW w:w="2263" w:type="dxa"/>
            <w:tcBorders>
              <w:left w:val="single" w:sz="4" w:space="0" w:color="57DEFF"/>
              <w:bottom w:val="single" w:sz="4" w:space="0" w:color="57DEFF"/>
              <w:right w:val="single" w:sz="4" w:space="0" w:color="57DEFF"/>
            </w:tcBorders>
          </w:tcPr>
          <w:p>
            <w:pPr>
              <w:pStyle w:val="TableParagraph"/>
              <w:spacing w:before="61"/>
              <w:rPr>
                <w:sz w:val="16"/>
              </w:rPr>
            </w:pPr>
            <w:r>
              <w:rPr>
                <w:sz w:val="16"/>
              </w:rPr>
              <w:t>EPR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T10: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Waste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collection</w:t>
            </w:r>
          </w:p>
        </w:tc>
        <w:tc>
          <w:tcPr>
            <w:tcW w:w="6232" w:type="dxa"/>
            <w:tcBorders>
              <w:left w:val="single" w:sz="4" w:space="0" w:color="57DEFF"/>
              <w:bottom w:val="single" w:sz="4" w:space="0" w:color="57DEFF"/>
              <w:right w:val="single" w:sz="4" w:space="0" w:color="57DEFF"/>
            </w:tcBorders>
          </w:tcPr>
          <w:p>
            <w:pPr>
              <w:pStyle w:val="TableParagraph"/>
              <w:spacing w:before="61"/>
              <w:ind w:left="108" w:right="189"/>
              <w:rPr>
                <w:sz w:val="16"/>
              </w:rPr>
            </w:pPr>
            <w:r>
              <w:rPr>
                <w:sz w:val="16"/>
              </w:rPr>
              <w:t>The design of the Arden road network has been undertaken in consultation with the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Department of Transport (previously known as VicRoads, Transport for Victoria and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Public Transport Victoria) and City of Melbourne. Waste collection bays have been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provided at the rear of the station building, in the new purpose-built Station Lane as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well 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on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Barwise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Street.</w:t>
            </w:r>
          </w:p>
          <w:p>
            <w:pPr>
              <w:pStyle w:val="TableParagraph"/>
              <w:spacing w:before="59"/>
              <w:ind w:left="108" w:right="109"/>
              <w:rPr>
                <w:sz w:val="16"/>
              </w:rPr>
            </w:pPr>
            <w:r>
              <w:rPr>
                <w:sz w:val="16"/>
              </w:rPr>
              <w:t>These waste (and loading) bays have been strategically located in areas that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minimise traffic and pedestrian obstruction, primarily by locating these facilities in the</w:t>
            </w:r>
            <w:r>
              <w:rPr>
                <w:spacing w:val="-42"/>
                <w:sz w:val="16"/>
              </w:rPr>
              <w:t> </w:t>
            </w:r>
            <w:r>
              <w:rPr>
                <w:sz w:val="16"/>
              </w:rPr>
              <w:t>new service lane. Loading bays are given dedicated road space to ensure they do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not conflict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with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areas</w:t>
            </w:r>
            <w:r>
              <w:rPr>
                <w:spacing w:val="2"/>
                <w:sz w:val="16"/>
              </w:rPr>
              <w:t> </w:t>
            </w:r>
            <w:r>
              <w:rPr>
                <w:sz w:val="16"/>
              </w:rPr>
              <w:t>of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heavy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pedestrian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movement.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936" w:footer="365" w:top="1900" w:bottom="560" w:left="130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pStyle w:val="Heading1"/>
        <w:numPr>
          <w:ilvl w:val="0"/>
          <w:numId w:val="5"/>
        </w:numPr>
        <w:tabs>
          <w:tab w:pos="686" w:val="left" w:leader="none"/>
        </w:tabs>
        <w:spacing w:line="240" w:lineRule="auto" w:before="88" w:after="0"/>
        <w:ind w:left="685" w:right="0" w:hanging="568"/>
        <w:jc w:val="left"/>
      </w:pPr>
      <w:bookmarkStart w:name="_bookmark63" w:id="139"/>
      <w:bookmarkEnd w:id="139"/>
      <w:r>
        <w:rPr/>
      </w:r>
      <w:bookmarkStart w:name="_bookmark63" w:id="140"/>
      <w:bookmarkEnd w:id="140"/>
      <w:r>
        <w:rPr>
          <w:color w:val="00BBE9"/>
        </w:rPr>
        <w:t>CON</w:t>
      </w:r>
      <w:r>
        <w:rPr>
          <w:color w:val="00BBE9"/>
        </w:rPr>
        <w:t>CLUSION</w:t>
      </w:r>
    </w:p>
    <w:p>
      <w:pPr>
        <w:pStyle w:val="BodyText"/>
        <w:spacing w:before="197"/>
        <w:ind w:left="118" w:right="546"/>
        <w:jc w:val="both"/>
      </w:pPr>
      <w:r>
        <w:rPr/>
        <w:t>This Arden Station Precinct Development Plan presents the built form of CYP’s works in the Arden</w:t>
      </w:r>
      <w:r>
        <w:rPr>
          <w:spacing w:val="-50"/>
        </w:rPr>
        <w:t> </w:t>
      </w:r>
      <w:r>
        <w:rPr/>
        <w:t>Station precinct, including for the new Arden Station from the station entrance to the ticket gate for</w:t>
      </w:r>
      <w:r>
        <w:rPr>
          <w:spacing w:val="-50"/>
        </w:rPr>
        <w:t> </w:t>
      </w:r>
      <w:r>
        <w:rPr/>
        <w:t>Day 1</w:t>
      </w:r>
      <w:r>
        <w:rPr>
          <w:spacing w:val="-2"/>
        </w:rPr>
        <w:t> </w:t>
      </w:r>
      <w:r>
        <w:rPr/>
        <w:t>operation.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accordance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Clause</w:t>
      </w:r>
      <w:r>
        <w:rPr>
          <w:spacing w:val="-1"/>
        </w:rPr>
        <w:t> </w:t>
      </w:r>
      <w:r>
        <w:rPr/>
        <w:t>4.7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Incorporated</w:t>
      </w:r>
      <w:r>
        <w:rPr>
          <w:spacing w:val="-1"/>
        </w:rPr>
        <w:t> </w:t>
      </w:r>
      <w:r>
        <w:rPr/>
        <w:t>Document,</w:t>
      </w:r>
      <w:r>
        <w:rPr>
          <w:spacing w:val="-1"/>
        </w:rPr>
        <w:t> </w:t>
      </w:r>
      <w:r>
        <w:rPr/>
        <w:t>this plan</w:t>
      </w:r>
      <w:r>
        <w:rPr>
          <w:spacing w:val="-1"/>
        </w:rPr>
        <w:t> </w:t>
      </w:r>
      <w:r>
        <w:rPr/>
        <w:t>includes: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2" w:after="0"/>
        <w:ind w:left="402" w:right="0" w:hanging="285"/>
        <w:jc w:val="left"/>
        <w:rPr>
          <w:sz w:val="19"/>
        </w:rPr>
      </w:pPr>
      <w:r>
        <w:rPr>
          <w:sz w:val="19"/>
        </w:rPr>
        <w:t>Site</w:t>
      </w:r>
      <w:r>
        <w:rPr>
          <w:spacing w:val="-3"/>
          <w:sz w:val="19"/>
        </w:rPr>
        <w:t> </w:t>
      </w:r>
      <w:r>
        <w:rPr>
          <w:sz w:val="19"/>
        </w:rPr>
        <w:t>layout</w:t>
      </w:r>
      <w:r>
        <w:rPr>
          <w:spacing w:val="-2"/>
          <w:sz w:val="19"/>
        </w:rPr>
        <w:t> </w:t>
      </w:r>
      <w:r>
        <w:rPr>
          <w:sz w:val="19"/>
        </w:rPr>
        <w:t>plan</w:t>
      </w:r>
      <w:r>
        <w:rPr>
          <w:spacing w:val="-2"/>
          <w:sz w:val="19"/>
        </w:rPr>
        <w:t> </w:t>
      </w:r>
      <w:r>
        <w:rPr>
          <w:sz w:val="19"/>
        </w:rPr>
        <w:t>(refer</w:t>
      </w:r>
      <w:r>
        <w:rPr>
          <w:spacing w:val="-2"/>
          <w:sz w:val="19"/>
        </w:rPr>
        <w:t> </w:t>
      </w:r>
      <w:r>
        <w:rPr>
          <w:sz w:val="19"/>
        </w:rPr>
        <w:t>to</w:t>
      </w:r>
      <w:r>
        <w:rPr>
          <w:spacing w:val="-2"/>
          <w:sz w:val="19"/>
        </w:rPr>
        <w:t> </w:t>
      </w:r>
      <w:hyperlink w:history="true" w:anchor="_bookmark0">
        <w:r>
          <w:rPr>
            <w:sz w:val="19"/>
          </w:rPr>
          <w:t>Appendix</w:t>
        </w:r>
        <w:r>
          <w:rPr>
            <w:spacing w:val="-1"/>
            <w:sz w:val="19"/>
          </w:rPr>
          <w:t> </w:t>
        </w:r>
        <w:r>
          <w:rPr>
            <w:sz w:val="19"/>
          </w:rPr>
          <w:t>A:</w:t>
        </w:r>
        <w:r>
          <w:rPr>
            <w:spacing w:val="-2"/>
            <w:sz w:val="19"/>
          </w:rPr>
          <w:t> </w:t>
        </w:r>
        <w:r>
          <w:rPr>
            <w:sz w:val="19"/>
          </w:rPr>
          <w:t>Arden</w:t>
        </w:r>
        <w:r>
          <w:rPr>
            <w:spacing w:val="1"/>
            <w:sz w:val="19"/>
          </w:rPr>
          <w:t> </w:t>
        </w:r>
        <w:r>
          <w:rPr>
            <w:sz w:val="19"/>
          </w:rPr>
          <w:t>Station</w:t>
        </w:r>
        <w:r>
          <w:rPr>
            <w:spacing w:val="-2"/>
            <w:sz w:val="19"/>
          </w:rPr>
          <w:t> </w:t>
        </w:r>
        <w:r>
          <w:rPr>
            <w:sz w:val="19"/>
          </w:rPr>
          <w:t>Precinct</w:t>
        </w:r>
        <w:r>
          <w:rPr>
            <w:spacing w:val="-2"/>
            <w:sz w:val="19"/>
          </w:rPr>
          <w:t> </w:t>
        </w:r>
        <w:r>
          <w:rPr>
            <w:sz w:val="19"/>
          </w:rPr>
          <w:t>Site</w:t>
        </w:r>
        <w:r>
          <w:rPr>
            <w:spacing w:val="-2"/>
            <w:sz w:val="19"/>
          </w:rPr>
          <w:t> </w:t>
        </w:r>
        <w:r>
          <w:rPr>
            <w:sz w:val="19"/>
          </w:rPr>
          <w:t>Layout</w:t>
        </w:r>
        <w:r>
          <w:rPr>
            <w:spacing w:val="-2"/>
            <w:sz w:val="19"/>
          </w:rPr>
          <w:t> </w:t>
        </w:r>
        <w:r>
          <w:rPr>
            <w:sz w:val="19"/>
          </w:rPr>
          <w:t>Plan</w:t>
        </w:r>
      </w:hyperlink>
      <w:r>
        <w:rPr>
          <w:sz w:val="19"/>
        </w:rPr>
        <w:t>)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7" w:after="0"/>
        <w:ind w:left="402" w:right="302" w:hanging="284"/>
        <w:jc w:val="left"/>
        <w:rPr>
          <w:sz w:val="19"/>
        </w:rPr>
      </w:pPr>
      <w:r>
        <w:rPr>
          <w:sz w:val="19"/>
        </w:rPr>
        <w:t>Architectural plans and elevations (refer to Appendix B: Arden Station Precinct Architectural Plans</w:t>
      </w:r>
      <w:r>
        <w:rPr>
          <w:spacing w:val="-50"/>
          <w:sz w:val="19"/>
        </w:rPr>
        <w:t> </w:t>
      </w:r>
      <w:r>
        <w:rPr>
          <w:sz w:val="19"/>
        </w:rPr>
        <w:t>and</w:t>
      </w:r>
      <w:r>
        <w:rPr>
          <w:spacing w:val="-1"/>
          <w:sz w:val="19"/>
        </w:rPr>
        <w:t> </w:t>
      </w:r>
      <w:r>
        <w:rPr>
          <w:sz w:val="19"/>
        </w:rPr>
        <w:t>Elevations)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8" w:after="0"/>
        <w:ind w:left="402" w:right="547" w:hanging="284"/>
        <w:jc w:val="left"/>
        <w:rPr>
          <w:sz w:val="19"/>
        </w:rPr>
      </w:pPr>
      <w:r>
        <w:rPr>
          <w:sz w:val="19"/>
        </w:rPr>
        <w:t>Landscape plans and elevations (refer to Appendix C: Arden Station Precinct Landscape Plans</w:t>
      </w:r>
      <w:r>
        <w:rPr>
          <w:spacing w:val="-50"/>
          <w:sz w:val="19"/>
        </w:rPr>
        <w:t> </w:t>
      </w:r>
      <w:r>
        <w:rPr>
          <w:sz w:val="19"/>
        </w:rPr>
        <w:t>and</w:t>
      </w:r>
      <w:r>
        <w:rPr>
          <w:spacing w:val="-1"/>
          <w:sz w:val="19"/>
        </w:rPr>
        <w:t> </w:t>
      </w:r>
      <w:r>
        <w:rPr>
          <w:sz w:val="19"/>
        </w:rPr>
        <w:t>Elevations)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21" w:after="0"/>
        <w:ind w:left="402" w:right="0" w:hanging="285"/>
        <w:jc w:val="left"/>
        <w:rPr>
          <w:sz w:val="19"/>
        </w:rPr>
      </w:pPr>
      <w:r>
        <w:rPr>
          <w:sz w:val="19"/>
        </w:rPr>
        <w:t>Public</w:t>
      </w:r>
      <w:r>
        <w:rPr>
          <w:spacing w:val="-1"/>
          <w:sz w:val="19"/>
        </w:rPr>
        <w:t> </w:t>
      </w:r>
      <w:r>
        <w:rPr>
          <w:sz w:val="19"/>
        </w:rPr>
        <w:t>realm</w:t>
      </w:r>
      <w:r>
        <w:rPr>
          <w:spacing w:val="-3"/>
          <w:sz w:val="19"/>
        </w:rPr>
        <w:t> </w:t>
      </w:r>
      <w:r>
        <w:rPr>
          <w:sz w:val="19"/>
        </w:rPr>
        <w:t>plans (refer</w:t>
      </w:r>
      <w:r>
        <w:rPr>
          <w:spacing w:val="-3"/>
          <w:sz w:val="19"/>
        </w:rPr>
        <w:t> </w:t>
      </w:r>
      <w:r>
        <w:rPr>
          <w:sz w:val="19"/>
        </w:rPr>
        <w:t>to</w:t>
      </w:r>
      <w:r>
        <w:rPr>
          <w:spacing w:val="-1"/>
          <w:sz w:val="19"/>
        </w:rPr>
        <w:t> </w:t>
      </w:r>
      <w:r>
        <w:rPr>
          <w:sz w:val="19"/>
        </w:rPr>
        <w:t>Appendix</w:t>
      </w:r>
      <w:r>
        <w:rPr>
          <w:spacing w:val="-1"/>
          <w:sz w:val="19"/>
        </w:rPr>
        <w:t> </w:t>
      </w:r>
      <w:r>
        <w:rPr>
          <w:sz w:val="19"/>
        </w:rPr>
        <w:t>D:</w:t>
      </w:r>
      <w:r>
        <w:rPr>
          <w:spacing w:val="-3"/>
          <w:sz w:val="19"/>
        </w:rPr>
        <w:t> </w:t>
      </w:r>
      <w:r>
        <w:rPr>
          <w:sz w:val="19"/>
        </w:rPr>
        <w:t>Arden</w:t>
      </w:r>
      <w:r>
        <w:rPr>
          <w:spacing w:val="-1"/>
          <w:sz w:val="19"/>
        </w:rPr>
        <w:t> </w:t>
      </w:r>
      <w:r>
        <w:rPr>
          <w:sz w:val="19"/>
        </w:rPr>
        <w:t>Station Precinct</w:t>
      </w:r>
      <w:r>
        <w:rPr>
          <w:spacing w:val="-3"/>
          <w:sz w:val="19"/>
        </w:rPr>
        <w:t> </w:t>
      </w:r>
      <w:r>
        <w:rPr>
          <w:sz w:val="19"/>
        </w:rPr>
        <w:t>Public</w:t>
      </w:r>
      <w:r>
        <w:rPr>
          <w:spacing w:val="-2"/>
          <w:sz w:val="19"/>
        </w:rPr>
        <w:t> </w:t>
      </w:r>
      <w:r>
        <w:rPr>
          <w:sz w:val="19"/>
        </w:rPr>
        <w:t>Realm</w:t>
      </w:r>
      <w:r>
        <w:rPr>
          <w:spacing w:val="-2"/>
          <w:sz w:val="19"/>
        </w:rPr>
        <w:t> </w:t>
      </w:r>
      <w:r>
        <w:rPr>
          <w:sz w:val="19"/>
        </w:rPr>
        <w:t>Plans)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7" w:after="0"/>
        <w:ind w:left="402" w:right="749" w:hanging="284"/>
        <w:jc w:val="both"/>
        <w:rPr>
          <w:sz w:val="19"/>
        </w:rPr>
      </w:pPr>
      <w:r>
        <w:rPr>
          <w:sz w:val="19"/>
        </w:rPr>
        <w:t>An explanation demonstrating how this Development Plan is in accordance with the relevant</w:t>
      </w:r>
      <w:r>
        <w:rPr>
          <w:spacing w:val="-50"/>
          <w:sz w:val="19"/>
        </w:rPr>
        <w:t> </w:t>
      </w:r>
      <w:r>
        <w:rPr>
          <w:sz w:val="19"/>
        </w:rPr>
        <w:t>sections of the approved Urban Design Strategy (refer to Section </w:t>
      </w:r>
      <w:hyperlink w:history="true" w:anchor="_bookmark25">
        <w:r>
          <w:rPr>
            <w:sz w:val="19"/>
          </w:rPr>
          <w:t>4.3 </w:t>
        </w:r>
      </w:hyperlink>
      <w:r>
        <w:rPr>
          <w:sz w:val="19"/>
        </w:rPr>
        <w:t>and Appendix E: Arden</w:t>
      </w:r>
      <w:r>
        <w:rPr>
          <w:spacing w:val="-50"/>
          <w:sz w:val="19"/>
        </w:rPr>
        <w:t> </w:t>
      </w:r>
      <w:r>
        <w:rPr>
          <w:sz w:val="19"/>
        </w:rPr>
        <w:t>Station</w:t>
      </w:r>
      <w:r>
        <w:rPr>
          <w:spacing w:val="-1"/>
          <w:sz w:val="19"/>
        </w:rPr>
        <w:t> </w:t>
      </w:r>
      <w:r>
        <w:rPr>
          <w:sz w:val="19"/>
        </w:rPr>
        <w:t>Precinct</w:t>
      </w:r>
      <w:r>
        <w:rPr>
          <w:spacing w:val="-1"/>
          <w:sz w:val="19"/>
        </w:rPr>
        <w:t> </w:t>
      </w:r>
      <w:r>
        <w:rPr>
          <w:sz w:val="19"/>
        </w:rPr>
        <w:t>Urban Design</w:t>
      </w:r>
      <w:r>
        <w:rPr>
          <w:spacing w:val="-2"/>
          <w:sz w:val="19"/>
        </w:rPr>
        <w:t> </w:t>
      </w:r>
      <w:r>
        <w:rPr>
          <w:sz w:val="19"/>
        </w:rPr>
        <w:t>Strategy guidelines assessment)</w:t>
      </w:r>
    </w:p>
    <w:p>
      <w:pPr>
        <w:pStyle w:val="ListParagraph"/>
        <w:numPr>
          <w:ilvl w:val="0"/>
          <w:numId w:val="9"/>
        </w:numPr>
        <w:tabs>
          <w:tab w:pos="403" w:val="left" w:leader="none"/>
        </w:tabs>
        <w:spacing w:line="240" w:lineRule="auto" w:before="118" w:after="0"/>
        <w:ind w:left="402" w:right="470" w:hanging="284"/>
        <w:jc w:val="left"/>
        <w:rPr>
          <w:sz w:val="19"/>
        </w:rPr>
      </w:pPr>
      <w:r>
        <w:rPr>
          <w:sz w:val="19"/>
        </w:rPr>
        <w:t>An explanation demonstrating how this Development Plan is in accordance with the relevant</w:t>
      </w:r>
      <w:r>
        <w:rPr>
          <w:spacing w:val="1"/>
          <w:sz w:val="19"/>
        </w:rPr>
        <w:t> </w:t>
      </w:r>
      <w:r>
        <w:rPr>
          <w:sz w:val="19"/>
        </w:rPr>
        <w:t>sections</w:t>
      </w:r>
      <w:r>
        <w:rPr>
          <w:spacing w:val="-3"/>
          <w:sz w:val="19"/>
        </w:rPr>
        <w:t> </w:t>
      </w:r>
      <w:r>
        <w:rPr>
          <w:sz w:val="19"/>
        </w:rPr>
        <w:t>of</w:t>
      </w:r>
      <w:r>
        <w:rPr>
          <w:spacing w:val="-4"/>
          <w:sz w:val="19"/>
        </w:rPr>
        <w:t> </w:t>
      </w:r>
      <w:r>
        <w:rPr>
          <w:sz w:val="19"/>
        </w:rPr>
        <w:t>the</w:t>
      </w:r>
      <w:r>
        <w:rPr>
          <w:spacing w:val="-4"/>
          <w:sz w:val="19"/>
        </w:rPr>
        <w:t> </w:t>
      </w:r>
      <w:r>
        <w:rPr>
          <w:sz w:val="19"/>
        </w:rPr>
        <w:t>approved</w:t>
      </w:r>
      <w:r>
        <w:rPr>
          <w:spacing w:val="-4"/>
          <w:sz w:val="19"/>
        </w:rPr>
        <w:t> </w:t>
      </w:r>
      <w:r>
        <w:rPr>
          <w:sz w:val="19"/>
        </w:rPr>
        <w:t>Environmental</w:t>
      </w:r>
      <w:r>
        <w:rPr>
          <w:spacing w:val="-3"/>
          <w:sz w:val="19"/>
        </w:rPr>
        <w:t> </w:t>
      </w:r>
      <w:r>
        <w:rPr>
          <w:sz w:val="19"/>
        </w:rPr>
        <w:t>Management</w:t>
      </w:r>
      <w:r>
        <w:rPr>
          <w:spacing w:val="-3"/>
          <w:sz w:val="19"/>
        </w:rPr>
        <w:t> </w:t>
      </w:r>
      <w:r>
        <w:rPr>
          <w:sz w:val="19"/>
        </w:rPr>
        <w:t>Framework</w:t>
      </w:r>
      <w:r>
        <w:rPr>
          <w:spacing w:val="-3"/>
          <w:sz w:val="19"/>
        </w:rPr>
        <w:t> </w:t>
      </w:r>
      <w:r>
        <w:rPr>
          <w:sz w:val="19"/>
        </w:rPr>
        <w:t>particularly</w:t>
      </w:r>
      <w:r>
        <w:rPr>
          <w:spacing w:val="-2"/>
          <w:sz w:val="19"/>
        </w:rPr>
        <w:t> </w:t>
      </w:r>
      <w:r>
        <w:rPr>
          <w:sz w:val="19"/>
        </w:rPr>
        <w:t>the</w:t>
      </w:r>
      <w:r>
        <w:rPr>
          <w:spacing w:val="-3"/>
          <w:sz w:val="19"/>
        </w:rPr>
        <w:t> </w:t>
      </w:r>
      <w:r>
        <w:rPr>
          <w:sz w:val="19"/>
        </w:rPr>
        <w:t>Environmental</w:t>
      </w:r>
      <w:r>
        <w:rPr>
          <w:spacing w:val="-50"/>
          <w:sz w:val="19"/>
        </w:rPr>
        <w:t> </w:t>
      </w:r>
      <w:r>
        <w:rPr>
          <w:sz w:val="19"/>
        </w:rPr>
        <w:t>Performance Requirements (refer to Section </w:t>
      </w:r>
      <w:hyperlink w:history="true" w:anchor="_bookmark45">
        <w:r>
          <w:rPr>
            <w:sz w:val="19"/>
          </w:rPr>
          <w:t>4.4 </w:t>
        </w:r>
      </w:hyperlink>
      <w:r>
        <w:rPr>
          <w:sz w:val="19"/>
        </w:rPr>
        <w:t>and Appendix F: Arden Station Precinct</w:t>
      </w:r>
      <w:r>
        <w:rPr>
          <w:spacing w:val="1"/>
          <w:sz w:val="19"/>
        </w:rPr>
        <w:t> </w:t>
      </w:r>
      <w:r>
        <w:rPr>
          <w:sz w:val="19"/>
        </w:rPr>
        <w:t>Environmental</w:t>
      </w:r>
      <w:r>
        <w:rPr>
          <w:spacing w:val="-1"/>
          <w:sz w:val="19"/>
        </w:rPr>
        <w:t> </w:t>
      </w:r>
      <w:r>
        <w:rPr>
          <w:sz w:val="19"/>
        </w:rPr>
        <w:t>Performance</w:t>
      </w:r>
      <w:r>
        <w:rPr>
          <w:spacing w:val="-3"/>
          <w:sz w:val="19"/>
        </w:rPr>
        <w:t> </w:t>
      </w:r>
      <w:r>
        <w:rPr>
          <w:sz w:val="19"/>
        </w:rPr>
        <w:t>Requirements</w:t>
      </w:r>
      <w:r>
        <w:rPr>
          <w:spacing w:val="1"/>
          <w:sz w:val="19"/>
        </w:rPr>
        <w:t> </w:t>
      </w:r>
      <w:r>
        <w:rPr>
          <w:sz w:val="19"/>
        </w:rPr>
        <w:t>assessment).</w:t>
      </w:r>
    </w:p>
    <w:p>
      <w:pPr>
        <w:pStyle w:val="BodyText"/>
        <w:spacing w:before="120"/>
        <w:ind w:left="118"/>
        <w:jc w:val="both"/>
      </w:pPr>
      <w:r>
        <w:rPr/>
        <w:t>RPV’s</w:t>
      </w:r>
      <w:r>
        <w:rPr>
          <w:spacing w:val="-2"/>
        </w:rPr>
        <w:t> </w:t>
      </w:r>
      <w:r>
        <w:rPr/>
        <w:t>Urban</w:t>
      </w:r>
      <w:r>
        <w:rPr>
          <w:spacing w:val="-2"/>
        </w:rPr>
        <w:t> </w:t>
      </w:r>
      <w:r>
        <w:rPr/>
        <w:t>Design</w:t>
      </w:r>
      <w:r>
        <w:rPr>
          <w:spacing w:val="-2"/>
        </w:rPr>
        <w:t> </w:t>
      </w:r>
      <w:r>
        <w:rPr/>
        <w:t>Strategy</w:t>
      </w:r>
      <w:r>
        <w:rPr>
          <w:spacing w:val="-2"/>
        </w:rPr>
        <w:t> </w:t>
      </w:r>
      <w:r>
        <w:rPr/>
        <w:t>established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Urban</w:t>
      </w:r>
      <w:r>
        <w:rPr>
          <w:spacing w:val="-2"/>
        </w:rPr>
        <w:t> </w:t>
      </w:r>
      <w:r>
        <w:rPr/>
        <w:t>Design</w:t>
      </w:r>
      <w:r>
        <w:rPr>
          <w:spacing w:val="-3"/>
        </w:rPr>
        <w:t> </w:t>
      </w:r>
      <w:r>
        <w:rPr/>
        <w:t>Vision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project:</w:t>
      </w:r>
    </w:p>
    <w:p>
      <w:pPr>
        <w:spacing w:before="120"/>
        <w:ind w:left="402" w:right="312" w:firstLine="0"/>
        <w:jc w:val="left"/>
        <w:rPr>
          <w:i/>
          <w:sz w:val="19"/>
        </w:rPr>
      </w:pPr>
      <w:r>
        <w:rPr>
          <w:i/>
          <w:sz w:val="19"/>
        </w:rPr>
        <w:t>“A legacy of outstanding rail stations and associated public spaces that put people first, contribute</w:t>
      </w:r>
      <w:r>
        <w:rPr>
          <w:i/>
          <w:spacing w:val="-50"/>
          <w:sz w:val="19"/>
        </w:rPr>
        <w:t> </w:t>
      </w:r>
      <w:r>
        <w:rPr>
          <w:i/>
          <w:sz w:val="19"/>
        </w:rPr>
        <w:t>to</w:t>
      </w:r>
      <w:r>
        <w:rPr>
          <w:i/>
          <w:spacing w:val="-4"/>
          <w:sz w:val="19"/>
        </w:rPr>
        <w:t> </w:t>
      </w:r>
      <w:r>
        <w:rPr>
          <w:i/>
          <w:sz w:val="19"/>
        </w:rPr>
        <w:t>Melbourne’s</w:t>
      </w:r>
      <w:r>
        <w:rPr>
          <w:i/>
          <w:spacing w:val="-4"/>
          <w:sz w:val="19"/>
        </w:rPr>
        <w:t> </w:t>
      </w:r>
      <w:r>
        <w:rPr>
          <w:i/>
          <w:sz w:val="19"/>
        </w:rPr>
        <w:t>reputation</w:t>
      </w:r>
      <w:r>
        <w:rPr>
          <w:i/>
          <w:spacing w:val="-5"/>
          <w:sz w:val="19"/>
        </w:rPr>
        <w:t> </w:t>
      </w:r>
      <w:r>
        <w:rPr>
          <w:i/>
          <w:sz w:val="19"/>
        </w:rPr>
        <w:t>for</w:t>
      </w:r>
      <w:r>
        <w:rPr>
          <w:i/>
          <w:spacing w:val="-5"/>
          <w:sz w:val="19"/>
        </w:rPr>
        <w:t> </w:t>
      </w:r>
      <w:r>
        <w:rPr>
          <w:i/>
          <w:sz w:val="19"/>
        </w:rPr>
        <w:t>design</w:t>
      </w:r>
      <w:r>
        <w:rPr>
          <w:i/>
          <w:spacing w:val="-4"/>
          <w:sz w:val="19"/>
        </w:rPr>
        <w:t> </w:t>
      </w:r>
      <w:r>
        <w:rPr>
          <w:i/>
          <w:sz w:val="19"/>
        </w:rPr>
        <w:t>excellence,</w:t>
      </w:r>
      <w:r>
        <w:rPr>
          <w:i/>
          <w:spacing w:val="-5"/>
          <w:sz w:val="19"/>
        </w:rPr>
        <w:t> </w:t>
      </w:r>
      <w:r>
        <w:rPr>
          <w:i/>
          <w:sz w:val="19"/>
        </w:rPr>
        <w:t>and</w:t>
      </w:r>
      <w:r>
        <w:rPr>
          <w:i/>
          <w:spacing w:val="-5"/>
          <w:sz w:val="19"/>
        </w:rPr>
        <w:t> </w:t>
      </w:r>
      <w:r>
        <w:rPr>
          <w:i/>
          <w:sz w:val="19"/>
        </w:rPr>
        <w:t>deliver</w:t>
      </w:r>
      <w:r>
        <w:rPr>
          <w:i/>
          <w:spacing w:val="-5"/>
          <w:sz w:val="19"/>
        </w:rPr>
        <w:t> </w:t>
      </w:r>
      <w:r>
        <w:rPr>
          <w:i/>
          <w:sz w:val="19"/>
        </w:rPr>
        <w:t>an</w:t>
      </w:r>
      <w:r>
        <w:rPr>
          <w:i/>
          <w:spacing w:val="-5"/>
          <w:sz w:val="19"/>
        </w:rPr>
        <w:t> </w:t>
      </w:r>
      <w:r>
        <w:rPr>
          <w:i/>
          <w:sz w:val="19"/>
        </w:rPr>
        <w:t>overall</w:t>
      </w:r>
      <w:r>
        <w:rPr>
          <w:i/>
          <w:spacing w:val="-3"/>
          <w:sz w:val="19"/>
        </w:rPr>
        <w:t> </w:t>
      </w:r>
      <w:r>
        <w:rPr>
          <w:i/>
          <w:sz w:val="19"/>
        </w:rPr>
        <w:t>substantial</w:t>
      </w:r>
      <w:r>
        <w:rPr>
          <w:i/>
          <w:spacing w:val="-4"/>
          <w:sz w:val="19"/>
        </w:rPr>
        <w:t> </w:t>
      </w:r>
      <w:r>
        <w:rPr>
          <w:i/>
          <w:sz w:val="19"/>
        </w:rPr>
        <w:t>benefit</w:t>
      </w:r>
      <w:r>
        <w:rPr>
          <w:i/>
          <w:spacing w:val="-5"/>
          <w:sz w:val="19"/>
        </w:rPr>
        <w:t> </w:t>
      </w:r>
      <w:r>
        <w:rPr>
          <w:i/>
          <w:sz w:val="19"/>
        </w:rPr>
        <w:t>in</w:t>
      </w:r>
      <w:r>
        <w:rPr>
          <w:i/>
          <w:spacing w:val="-5"/>
          <w:sz w:val="19"/>
        </w:rPr>
        <w:t> </w:t>
      </w:r>
      <w:r>
        <w:rPr>
          <w:i/>
          <w:sz w:val="19"/>
        </w:rPr>
        <w:t>terms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of urban quality for Melbourne, for the transport network, and for local areas influenced by the</w:t>
      </w:r>
      <w:r>
        <w:rPr>
          <w:i/>
          <w:spacing w:val="1"/>
          <w:sz w:val="19"/>
        </w:rPr>
        <w:t> </w:t>
      </w:r>
      <w:r>
        <w:rPr>
          <w:i/>
          <w:sz w:val="19"/>
        </w:rPr>
        <w:t>project.”</w:t>
      </w:r>
    </w:p>
    <w:p>
      <w:pPr>
        <w:pStyle w:val="BodyText"/>
        <w:spacing w:before="120"/>
        <w:ind w:left="118" w:right="352"/>
      </w:pPr>
      <w:r>
        <w:rPr/>
        <w:t>In response, CYP has designed the Arden Station as an integrated public building and landmark that</w:t>
      </w:r>
      <w:r>
        <w:rPr>
          <w:spacing w:val="-51"/>
        </w:rPr>
        <w:t> </w:t>
      </w:r>
      <w:r>
        <w:rPr/>
        <w:t>connects seamlessly with the proposed future Arden Urban Renewal Precinct, as identified in the</w:t>
      </w:r>
      <w:r>
        <w:rPr>
          <w:spacing w:val="1"/>
        </w:rPr>
        <w:t> </w:t>
      </w:r>
      <w:r>
        <w:rPr/>
        <w:t>draft</w:t>
      </w:r>
      <w:r>
        <w:rPr>
          <w:spacing w:val="-2"/>
        </w:rPr>
        <w:t> </w:t>
      </w:r>
      <w:r>
        <w:rPr/>
        <w:t>Arden Structure</w:t>
      </w:r>
      <w:r>
        <w:rPr>
          <w:spacing w:val="-1"/>
        </w:rPr>
        <w:t> </w:t>
      </w:r>
      <w:r>
        <w:rPr/>
        <w:t>Plan</w:t>
      </w:r>
      <w:r>
        <w:rPr>
          <w:spacing w:val="-1"/>
        </w:rPr>
        <w:t> </w:t>
      </w:r>
      <w:r>
        <w:rPr/>
        <w:t>(2020).</w:t>
      </w:r>
    </w:p>
    <w:p>
      <w:pPr>
        <w:pStyle w:val="BodyText"/>
        <w:spacing w:before="120"/>
        <w:ind w:left="118" w:right="289"/>
      </w:pPr>
      <w:r>
        <w:rPr/>
        <w:t>The Arden Station precinct public realm design will create new spaces for transit users and the</w:t>
      </w:r>
      <w:r>
        <w:rPr>
          <w:spacing w:val="1"/>
        </w:rPr>
        <w:t> </w:t>
      </w:r>
      <w:r>
        <w:rPr/>
        <w:t>community to interact with and enjoy. A station plaza on Laurens Street provides a meeting place at</w:t>
      </w:r>
      <w:r>
        <w:rPr>
          <w:spacing w:val="1"/>
        </w:rPr>
        <w:t> </w:t>
      </w:r>
      <w:r>
        <w:rPr/>
        <w:t>the station entry set back from the street, while a new green laneway servicing the rear of the station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provides an inviting and green space, set amongst trees, encouraging visitors to enjoy the</w:t>
      </w:r>
      <w:r>
        <w:rPr>
          <w:spacing w:val="1"/>
        </w:rPr>
        <w:t> </w:t>
      </w:r>
      <w:r>
        <w:rPr/>
        <w:t>surrounds. Project works will change the streetscape of Laurens Street, encouraging ongoing urban</w:t>
      </w:r>
      <w:r>
        <w:rPr>
          <w:spacing w:val="1"/>
        </w:rPr>
        <w:t> </w:t>
      </w:r>
      <w:r>
        <w:rPr/>
        <w:t>renewal in an area currently heavily dominated by industrial uses. Works along Barwise Street will</w:t>
      </w:r>
      <w:r>
        <w:rPr>
          <w:spacing w:val="1"/>
        </w:rPr>
        <w:t> </w:t>
      </w:r>
      <w:r>
        <w:rPr/>
        <w:t>reinvigorate an underused space and the design will reinstate a greener more sustainable precinct as</w:t>
      </w:r>
      <w:r>
        <w:rPr>
          <w:spacing w:val="-50"/>
        </w:rPr>
        <w:t> </w:t>
      </w:r>
      <w:r>
        <w:rPr/>
        <w:t>a</w:t>
      </w:r>
      <w:r>
        <w:rPr>
          <w:spacing w:val="-2"/>
        </w:rPr>
        <w:t> </w:t>
      </w:r>
      <w:r>
        <w:rPr/>
        <w:t>legacy for</w:t>
      </w:r>
      <w:r>
        <w:rPr>
          <w:spacing w:val="-1"/>
        </w:rPr>
        <w:t> </w:t>
      </w:r>
      <w:r>
        <w:rPr/>
        <w:t>future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opportunities.</w:t>
      </w:r>
    </w:p>
    <w:p>
      <w:pPr>
        <w:pStyle w:val="BodyText"/>
        <w:spacing w:before="119"/>
        <w:ind w:left="118" w:right="786"/>
      </w:pPr>
      <w:r>
        <w:rPr/>
        <w:t>The CYP design for the Arden Station precinct has incorporated feedback from a range of</w:t>
      </w:r>
      <w:r>
        <w:rPr>
          <w:spacing w:val="1"/>
        </w:rPr>
        <w:t> </w:t>
      </w:r>
      <w:r>
        <w:rPr/>
        <w:t>stakeholders including those identified in the Incorporated Document; the Office of the Victorian</w:t>
      </w:r>
      <w:r>
        <w:rPr>
          <w:spacing w:val="-50"/>
        </w:rPr>
        <w:t> </w:t>
      </w:r>
      <w:r>
        <w:rPr/>
        <w:t>Government Architect, City of Melbourne, the Department of Transport (previously known as</w:t>
      </w:r>
      <w:r>
        <w:rPr>
          <w:spacing w:val="1"/>
        </w:rPr>
        <w:t> </w:t>
      </w:r>
      <w:r>
        <w:rPr/>
        <w:t>VicRoads, Transport for Victoria and Public Transport Victoria), Melbourne Water and Heritage</w:t>
      </w:r>
      <w:r>
        <w:rPr>
          <w:spacing w:val="1"/>
        </w:rPr>
        <w:t> </w:t>
      </w:r>
      <w:r>
        <w:rPr/>
        <w:t>Victoria.</w:t>
      </w:r>
    </w:p>
    <w:p>
      <w:pPr>
        <w:pStyle w:val="BodyText"/>
        <w:spacing w:before="121"/>
        <w:ind w:left="118" w:right="396"/>
      </w:pPr>
      <w:r>
        <w:rPr/>
        <w:t>The previous version of this Arden Station Precinct Development Plan was approved by the Minister</w:t>
      </w:r>
      <w:r>
        <w:rPr>
          <w:spacing w:val="-50"/>
        </w:rPr>
        <w:t> </w:t>
      </w:r>
      <w:r>
        <w:rPr/>
        <w:t>for Planning on Thursday 8 March 2018. Under the Project’s Incorporated Document, and in</w:t>
      </w:r>
      <w:r>
        <w:rPr>
          <w:spacing w:val="1"/>
        </w:rPr>
        <w:t> </w:t>
      </w:r>
      <w:r>
        <w:rPr/>
        <w:t>accordance</w:t>
      </w:r>
      <w:r>
        <w:rPr>
          <w:spacing w:val="-2"/>
        </w:rPr>
        <w:t> </w:t>
      </w:r>
      <w:r>
        <w:rPr/>
        <w:t>with Clause</w:t>
      </w:r>
      <w:r>
        <w:rPr>
          <w:spacing w:val="-2"/>
        </w:rPr>
        <w:t> </w:t>
      </w:r>
      <w:r>
        <w:rPr/>
        <w:t>4.7.8,</w:t>
      </w:r>
      <w:r>
        <w:rPr>
          <w:spacing w:val="-1"/>
        </w:rPr>
        <w:t> </w:t>
      </w:r>
      <w:r>
        <w:rPr/>
        <w:t>CYP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seeking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amendment</w:t>
      </w:r>
      <w:r>
        <w:rPr>
          <w:spacing w:val="-2"/>
        </w:rPr>
        <w:t> </w:t>
      </w:r>
      <w:r>
        <w:rPr/>
        <w:t>to this</w:t>
      </w:r>
      <w:r>
        <w:rPr>
          <w:spacing w:val="-1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Plan.</w:t>
      </w:r>
    </w:p>
    <w:p>
      <w:pPr>
        <w:pStyle w:val="BodyText"/>
        <w:spacing w:before="119"/>
        <w:ind w:left="118" w:right="458"/>
      </w:pPr>
      <w:r>
        <w:rPr/>
        <w:t>In accordance with the Incorporated Document requirements, the amended version of this Arden</w:t>
      </w:r>
      <w:r>
        <w:rPr>
          <w:spacing w:val="1"/>
        </w:rPr>
        <w:t> </w:t>
      </w:r>
      <w:r>
        <w:rPr/>
        <w:t>Station Precinct Development Plan was made available for public inspection for 15 business days</w:t>
      </w:r>
      <w:r>
        <w:rPr>
          <w:spacing w:val="1"/>
        </w:rPr>
        <w:t> </w:t>
      </w:r>
      <w:r>
        <w:rPr/>
        <w:t>from Monday 9 August 2021 until Friday 27 August 2021 on the Engage Victoria website along with</w:t>
      </w:r>
      <w:r>
        <w:rPr>
          <w:spacing w:val="-50"/>
        </w:rPr>
        <w:t> </w:t>
      </w:r>
      <w:r>
        <w:rPr/>
        <w:t>an</w:t>
      </w:r>
      <w:r>
        <w:rPr>
          <w:spacing w:val="-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to provide written comments.</w:t>
      </w:r>
    </w:p>
    <w:p>
      <w:pPr>
        <w:pStyle w:val="BodyText"/>
        <w:spacing w:before="122"/>
        <w:ind w:left="118" w:right="459"/>
      </w:pPr>
      <w:r>
        <w:rPr/>
        <w:t>The amendments to this Development Plan improve the design in line with the design principles for</w:t>
      </w:r>
      <w:r>
        <w:rPr>
          <w:spacing w:val="-50"/>
        </w:rPr>
        <w:t> </w:t>
      </w:r>
      <w:r>
        <w:rPr/>
        <w:t>the Metro Tunnel Project and include changes to the architectural layout, landscape design and</w:t>
      </w:r>
      <w:r>
        <w:rPr>
          <w:spacing w:val="1"/>
        </w:rPr>
        <w:t> </w:t>
      </w:r>
      <w:r>
        <w:rPr/>
        <w:t>public</w:t>
      </w:r>
      <w:r>
        <w:rPr>
          <w:spacing w:val="-2"/>
        </w:rPr>
        <w:t> </w:t>
      </w:r>
      <w:r>
        <w:rPr/>
        <w:t>realm</w:t>
      </w:r>
      <w:r>
        <w:rPr>
          <w:spacing w:val="-3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Project.</w:t>
      </w:r>
      <w:r>
        <w:rPr>
          <w:spacing w:val="-3"/>
        </w:rPr>
        <w:t> </w:t>
      </w:r>
      <w:r>
        <w:rPr/>
        <w:t>These</w:t>
      </w:r>
      <w:r>
        <w:rPr>
          <w:spacing w:val="-2"/>
        </w:rPr>
        <w:t> </w:t>
      </w:r>
      <w:r>
        <w:rPr/>
        <w:t>amendments have</w:t>
      </w:r>
      <w:r>
        <w:rPr>
          <w:spacing w:val="-3"/>
        </w:rPr>
        <w:t> </w:t>
      </w:r>
      <w:r>
        <w:rPr/>
        <w:t>been</w:t>
      </w:r>
      <w:r>
        <w:rPr>
          <w:spacing w:val="-2"/>
        </w:rPr>
        <w:t> </w:t>
      </w:r>
      <w:r>
        <w:rPr/>
        <w:t>made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improve</w:t>
      </w:r>
      <w:r>
        <w:rPr>
          <w:spacing w:val="-2"/>
        </w:rPr>
        <w:t> </w:t>
      </w:r>
      <w:r>
        <w:rPr/>
        <w:t>access</w:t>
      </w:r>
      <w:r>
        <w:rPr>
          <w:spacing w:val="-2"/>
        </w:rPr>
        <w:t> </w:t>
      </w:r>
      <w:r>
        <w:rPr/>
        <w:t>to</w:t>
      </w:r>
    </w:p>
    <w:p>
      <w:pPr>
        <w:spacing w:after="0"/>
        <w:sectPr>
          <w:pgSz w:w="11910" w:h="16840"/>
          <w:pgMar w:header="936" w:footer="365" w:top="1900" w:bottom="560" w:left="1300" w:right="1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spacing w:before="93"/>
        <w:ind w:left="118" w:right="469"/>
      </w:pPr>
      <w:r>
        <w:rPr/>
        <w:t>the Arden Station, enhance flood protection and provide more greenery through retaining and</w:t>
      </w:r>
      <w:r>
        <w:rPr>
          <w:spacing w:val="1"/>
        </w:rPr>
        <w:t> </w:t>
      </w:r>
      <w:r>
        <w:rPr/>
        <w:t>planting more trees, with 32 less trees removed than identified during the EES and 15 less than the</w:t>
      </w:r>
      <w:r>
        <w:rPr>
          <w:spacing w:val="-50"/>
        </w:rPr>
        <w:t> </w:t>
      </w:r>
      <w:r>
        <w:rPr/>
        <w:t>previously</w:t>
      </w:r>
      <w:r>
        <w:rPr>
          <w:spacing w:val="-1"/>
        </w:rPr>
        <w:t> </w:t>
      </w:r>
      <w:r>
        <w:rPr/>
        <w:t>approved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Plan.</w:t>
      </w:r>
    </w:p>
    <w:p>
      <w:pPr>
        <w:pStyle w:val="BodyText"/>
        <w:spacing w:before="120"/>
        <w:ind w:left="118" w:right="397"/>
      </w:pPr>
      <w:r>
        <w:rPr/>
        <w:t>Consultation with key stakeholders has been ongoing during the preparation of these amendments.</w:t>
      </w:r>
      <w:r>
        <w:rPr>
          <w:spacing w:val="1"/>
        </w:rPr>
        <w:t> </w:t>
      </w:r>
      <w:r>
        <w:rPr/>
        <w:t>This includes the Victorian Planning Authority as well as the list of stakeholders identified in the</w:t>
      </w:r>
      <w:r>
        <w:rPr>
          <w:spacing w:val="1"/>
        </w:rPr>
        <w:t> </w:t>
      </w:r>
      <w:r>
        <w:rPr/>
        <w:t>Incorporated Document; the Office of the Victorian Government Architect, City of Melbourne,</w:t>
      </w:r>
      <w:r>
        <w:rPr>
          <w:spacing w:val="1"/>
        </w:rPr>
        <w:t> </w:t>
      </w:r>
      <w:r>
        <w:rPr/>
        <w:t>Department of Transport (previously VicRoads, Public Transport Victoria and Transport for Victoria),</w:t>
      </w:r>
      <w:r>
        <w:rPr>
          <w:spacing w:val="-50"/>
        </w:rPr>
        <w:t> </w:t>
      </w:r>
      <w:r>
        <w:rPr/>
        <w:t>Melbourne</w:t>
      </w:r>
      <w:r>
        <w:rPr>
          <w:spacing w:val="-2"/>
        </w:rPr>
        <w:t> </w:t>
      </w:r>
      <w:r>
        <w:rPr/>
        <w:t>Water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Heritage</w:t>
      </w:r>
      <w:r>
        <w:rPr>
          <w:spacing w:val="-1"/>
        </w:rPr>
        <w:t> </w:t>
      </w:r>
      <w:r>
        <w:rPr/>
        <w:t>Victoria.</w:t>
      </w:r>
    </w:p>
    <w:p>
      <w:pPr>
        <w:pStyle w:val="BodyText"/>
        <w:spacing w:before="120"/>
        <w:ind w:left="118" w:right="448"/>
      </w:pPr>
      <w:r>
        <w:rPr/>
        <w:t>This Development Plan presents the scope and extent of the built form of CYP’s works in the Arden</w:t>
      </w:r>
      <w:r>
        <w:rPr>
          <w:spacing w:val="-50"/>
        </w:rPr>
        <w:t> </w:t>
      </w:r>
      <w:r>
        <w:rPr/>
        <w:t>Station precinct with associated construction works to occur within the Project Land boundary and</w:t>
      </w:r>
      <w:r>
        <w:rPr>
          <w:spacing w:val="1"/>
        </w:rPr>
        <w:t> </w:t>
      </w:r>
      <w:r>
        <w:rPr/>
        <w:t>construction impacts to be managed in accordance with the approved Environmental Management</w:t>
      </w:r>
      <w:r>
        <w:rPr>
          <w:spacing w:val="1"/>
        </w:rPr>
        <w:t> </w:t>
      </w:r>
      <w:r>
        <w:rPr/>
        <w:t>Framework. This includes separately prepared Environmental Management System, Construction</w:t>
      </w:r>
      <w:r>
        <w:rPr>
          <w:spacing w:val="1"/>
        </w:rPr>
        <w:t> </w:t>
      </w:r>
      <w:r>
        <w:rPr/>
        <w:t>Environmental Management Plan, Site Environmental Implementation Plans and aspect-specific</w:t>
      </w:r>
      <w:r>
        <w:rPr>
          <w:spacing w:val="1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plans (as</w:t>
      </w:r>
      <w:r>
        <w:rPr>
          <w:spacing w:val="1"/>
        </w:rPr>
        <w:t> </w:t>
      </w:r>
      <w:r>
        <w:rPr/>
        <w:t>specified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Environmental Performance</w:t>
      </w:r>
      <w:r>
        <w:rPr>
          <w:spacing w:val="-2"/>
        </w:rPr>
        <w:t> </w:t>
      </w:r>
      <w:r>
        <w:rPr/>
        <w:t>Requirements).</w:t>
      </w:r>
    </w:p>
    <w:sectPr>
      <w:pgSz w:w="11910" w:h="16840"/>
      <w:pgMar w:header="936" w:footer="365" w:top="1900" w:bottom="640" w:left="130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9.944pt;margin-top:808.68158pt;width:259.75pt;height:11pt;mso-position-horizontal-relative:page;mso-position-vertical-relative:page;z-index:-17223168" type="#_x0000_t202" id="docshape1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6C6C6C"/>
                    <w:sz w:val="16"/>
                  </w:rPr>
                  <w:t>Arden</w:t>
                </w:r>
                <w:r>
                  <w:rPr>
                    <w:color w:val="6C6C6C"/>
                    <w:spacing w:val="-3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Station</w:t>
                </w:r>
                <w:r>
                  <w:rPr>
                    <w:color w:val="6C6C6C"/>
                    <w:spacing w:val="-6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Precinct</w:t>
                </w:r>
                <w:r>
                  <w:rPr>
                    <w:color w:val="6C6C6C"/>
                    <w:spacing w:val="-1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Development</w:t>
                </w:r>
                <w:r>
                  <w:rPr>
                    <w:color w:val="6C6C6C"/>
                    <w:spacing w:val="-2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Plan|</w:t>
                </w:r>
                <w:r>
                  <w:rPr>
                    <w:color w:val="6C6C6C"/>
                    <w:spacing w:val="-3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Wednesday,</w:t>
                </w:r>
                <w:r>
                  <w:rPr>
                    <w:color w:val="6C6C6C"/>
                    <w:spacing w:val="-1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27</w:t>
                </w:r>
                <w:r>
                  <w:rPr>
                    <w:color w:val="6C6C6C"/>
                    <w:spacing w:val="-5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October</w:t>
                </w:r>
                <w:r>
                  <w:rPr>
                    <w:color w:val="6C6C6C"/>
                    <w:spacing w:val="-2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44.899994pt;margin-top:808.68158pt;width:51.95pt;height:11pt;mso-position-horizontal-relative:page;mso-position-vertical-relative:page;z-index:-17222656" type="#_x0000_t202" id="docshape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Page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sz w:val="16"/>
                  </w:rPr>
                  <w:t> of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69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919998pt;margin-top:562.081604pt;width:259.75pt;height:11pt;mso-position-horizontal-relative:page;mso-position-vertical-relative:page;z-index:-17212928" type="#_x0000_t202" id="docshape65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6C6C6C"/>
                    <w:sz w:val="16"/>
                  </w:rPr>
                  <w:t>Arden</w:t>
                </w:r>
                <w:r>
                  <w:rPr>
                    <w:color w:val="6C6C6C"/>
                    <w:spacing w:val="-3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Station</w:t>
                </w:r>
                <w:r>
                  <w:rPr>
                    <w:color w:val="6C6C6C"/>
                    <w:spacing w:val="-6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Precinct</w:t>
                </w:r>
                <w:r>
                  <w:rPr>
                    <w:color w:val="6C6C6C"/>
                    <w:spacing w:val="-2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Development</w:t>
                </w:r>
                <w:r>
                  <w:rPr>
                    <w:color w:val="6C6C6C"/>
                    <w:spacing w:val="-1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Plan|</w:t>
                </w:r>
                <w:r>
                  <w:rPr>
                    <w:color w:val="6C6C6C"/>
                    <w:spacing w:val="-3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Wednesday,</w:t>
                </w:r>
                <w:r>
                  <w:rPr>
                    <w:color w:val="6C6C6C"/>
                    <w:spacing w:val="-2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27</w:t>
                </w:r>
                <w:r>
                  <w:rPr>
                    <w:color w:val="6C6C6C"/>
                    <w:spacing w:val="-5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October</w:t>
                </w:r>
                <w:r>
                  <w:rPr>
                    <w:color w:val="6C6C6C"/>
                    <w:spacing w:val="-2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720.419983pt;margin-top:562.081604pt;width:51.95pt;height:11pt;mso-position-horizontal-relative:page;mso-position-vertical-relative:page;z-index:-17212416" type="#_x0000_t202" id="docshape66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Page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47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of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69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944pt;margin-top:808.68158pt;width:259.75pt;height:11pt;mso-position-horizontal-relative:page;mso-position-vertical-relative:page;z-index:-17211904" type="#_x0000_t202" id="docshape70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6C6C6C"/>
                    <w:sz w:val="16"/>
                  </w:rPr>
                  <w:t>Arden</w:t>
                </w:r>
                <w:r>
                  <w:rPr>
                    <w:color w:val="6C6C6C"/>
                    <w:spacing w:val="-3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Station</w:t>
                </w:r>
                <w:r>
                  <w:rPr>
                    <w:color w:val="6C6C6C"/>
                    <w:spacing w:val="-6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Precinct</w:t>
                </w:r>
                <w:r>
                  <w:rPr>
                    <w:color w:val="6C6C6C"/>
                    <w:spacing w:val="-1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Development</w:t>
                </w:r>
                <w:r>
                  <w:rPr>
                    <w:color w:val="6C6C6C"/>
                    <w:spacing w:val="-2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Plan|</w:t>
                </w:r>
                <w:r>
                  <w:rPr>
                    <w:color w:val="6C6C6C"/>
                    <w:spacing w:val="-3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Wednesday,</w:t>
                </w:r>
                <w:r>
                  <w:rPr>
                    <w:color w:val="6C6C6C"/>
                    <w:spacing w:val="-1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27</w:t>
                </w:r>
                <w:r>
                  <w:rPr>
                    <w:color w:val="6C6C6C"/>
                    <w:spacing w:val="-5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October</w:t>
                </w:r>
                <w:r>
                  <w:rPr>
                    <w:color w:val="6C6C6C"/>
                    <w:spacing w:val="-2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45.5pt;margin-top:808.68158pt;width:51.95pt;height:11pt;mso-position-horizontal-relative:page;mso-position-vertical-relative:page;z-index:-17211392" type="#_x0000_t202" id="docshape71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Page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48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of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69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919998pt;margin-top:562.081604pt;width:259.75pt;height:11pt;mso-position-horizontal-relative:page;mso-position-vertical-relative:page;z-index:-17210880" type="#_x0000_t202" id="docshape7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6C6C6C"/>
                    <w:sz w:val="16"/>
                  </w:rPr>
                  <w:t>Arden</w:t>
                </w:r>
                <w:r>
                  <w:rPr>
                    <w:color w:val="6C6C6C"/>
                    <w:spacing w:val="-3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Station</w:t>
                </w:r>
                <w:r>
                  <w:rPr>
                    <w:color w:val="6C6C6C"/>
                    <w:spacing w:val="-6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Precinct</w:t>
                </w:r>
                <w:r>
                  <w:rPr>
                    <w:color w:val="6C6C6C"/>
                    <w:spacing w:val="-2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Development</w:t>
                </w:r>
                <w:r>
                  <w:rPr>
                    <w:color w:val="6C6C6C"/>
                    <w:spacing w:val="-1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Plan|</w:t>
                </w:r>
                <w:r>
                  <w:rPr>
                    <w:color w:val="6C6C6C"/>
                    <w:spacing w:val="-3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Wednesday,</w:t>
                </w:r>
                <w:r>
                  <w:rPr>
                    <w:color w:val="6C6C6C"/>
                    <w:spacing w:val="-2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27</w:t>
                </w:r>
                <w:r>
                  <w:rPr>
                    <w:color w:val="6C6C6C"/>
                    <w:spacing w:val="-5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October</w:t>
                </w:r>
                <w:r>
                  <w:rPr>
                    <w:color w:val="6C6C6C"/>
                    <w:spacing w:val="-2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720.419983pt;margin-top:562.081604pt;width:51.95pt;height:11pt;mso-position-horizontal-relative:page;mso-position-vertical-relative:page;z-index:-17210368" type="#_x0000_t202" id="docshape73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Page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49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of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69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2"/>
      </w:rPr>
    </w:pPr>
    <w:r>
      <w:rPr/>
      <w:pict>
        <v:shape style="position:absolute;margin-left:69.944pt;margin-top:808.68158pt;width:259.75pt;height:11pt;mso-position-horizontal-relative:page;mso-position-vertical-relative:page;z-index:-17209344" type="#_x0000_t202" id="docshape74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6C6C6C"/>
                    <w:sz w:val="16"/>
                  </w:rPr>
                  <w:t>Arden</w:t>
                </w:r>
                <w:r>
                  <w:rPr>
                    <w:color w:val="6C6C6C"/>
                    <w:spacing w:val="-3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Station</w:t>
                </w:r>
                <w:r>
                  <w:rPr>
                    <w:color w:val="6C6C6C"/>
                    <w:spacing w:val="-6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Precinct</w:t>
                </w:r>
                <w:r>
                  <w:rPr>
                    <w:color w:val="6C6C6C"/>
                    <w:spacing w:val="-1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Development</w:t>
                </w:r>
                <w:r>
                  <w:rPr>
                    <w:color w:val="6C6C6C"/>
                    <w:spacing w:val="-2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Plan|</w:t>
                </w:r>
                <w:r>
                  <w:rPr>
                    <w:color w:val="6C6C6C"/>
                    <w:spacing w:val="-3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Wednesday,</w:t>
                </w:r>
                <w:r>
                  <w:rPr>
                    <w:color w:val="6C6C6C"/>
                    <w:spacing w:val="-1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27</w:t>
                </w:r>
                <w:r>
                  <w:rPr>
                    <w:color w:val="6C6C6C"/>
                    <w:spacing w:val="-5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October</w:t>
                </w:r>
                <w:r>
                  <w:rPr>
                    <w:color w:val="6C6C6C"/>
                    <w:spacing w:val="-2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44.779999pt;margin-top:808.68158pt;width:51.95pt;height:11pt;mso-position-horizontal-relative:page;mso-position-vertical-relative:page;z-index:-17208832" type="#_x0000_t202" id="docshape75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Page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  <w:r>
                  <w:rPr>
                    <w:sz w:val="16"/>
                  </w:rPr>
                  <w:t> of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69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919998pt;margin-top:562.081604pt;width:259.75pt;height:11pt;mso-position-horizontal-relative:page;mso-position-vertical-relative:page;z-index:-17222144" type="#_x0000_t202" id="docshape3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6C6C6C"/>
                    <w:sz w:val="16"/>
                  </w:rPr>
                  <w:t>Arden</w:t>
                </w:r>
                <w:r>
                  <w:rPr>
                    <w:color w:val="6C6C6C"/>
                    <w:spacing w:val="-3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Station</w:t>
                </w:r>
                <w:r>
                  <w:rPr>
                    <w:color w:val="6C6C6C"/>
                    <w:spacing w:val="-6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Precinct</w:t>
                </w:r>
                <w:r>
                  <w:rPr>
                    <w:color w:val="6C6C6C"/>
                    <w:spacing w:val="-2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Development</w:t>
                </w:r>
                <w:r>
                  <w:rPr>
                    <w:color w:val="6C6C6C"/>
                    <w:spacing w:val="-1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Plan|</w:t>
                </w:r>
                <w:r>
                  <w:rPr>
                    <w:color w:val="6C6C6C"/>
                    <w:spacing w:val="-3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Wednesday,</w:t>
                </w:r>
                <w:r>
                  <w:rPr>
                    <w:color w:val="6C6C6C"/>
                    <w:spacing w:val="-2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27</w:t>
                </w:r>
                <w:r>
                  <w:rPr>
                    <w:color w:val="6C6C6C"/>
                    <w:spacing w:val="-5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October</w:t>
                </w:r>
                <w:r>
                  <w:rPr>
                    <w:color w:val="6C6C6C"/>
                    <w:spacing w:val="-2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720.419983pt;margin-top:562.081604pt;width:51.95pt;height:11pt;mso-position-horizontal-relative:page;mso-position-vertical-relative:page;z-index:-17221632" type="#_x0000_t202" id="docshape4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Page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23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of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69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944pt;margin-top:808.68158pt;width:259.75pt;height:11pt;mso-position-horizontal-relative:page;mso-position-vertical-relative:page;z-index:-17220608" type="#_x0000_t202" id="docshape39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6C6C6C"/>
                    <w:sz w:val="16"/>
                  </w:rPr>
                  <w:t>Arden</w:t>
                </w:r>
                <w:r>
                  <w:rPr>
                    <w:color w:val="6C6C6C"/>
                    <w:spacing w:val="-3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Station</w:t>
                </w:r>
                <w:r>
                  <w:rPr>
                    <w:color w:val="6C6C6C"/>
                    <w:spacing w:val="-6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Precinct</w:t>
                </w:r>
                <w:r>
                  <w:rPr>
                    <w:color w:val="6C6C6C"/>
                    <w:spacing w:val="-1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Development</w:t>
                </w:r>
                <w:r>
                  <w:rPr>
                    <w:color w:val="6C6C6C"/>
                    <w:spacing w:val="-1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Plan|</w:t>
                </w:r>
                <w:r>
                  <w:rPr>
                    <w:color w:val="6C6C6C"/>
                    <w:spacing w:val="-3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Wednesday,</w:t>
                </w:r>
                <w:r>
                  <w:rPr>
                    <w:color w:val="6C6C6C"/>
                    <w:spacing w:val="-2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27</w:t>
                </w:r>
                <w:r>
                  <w:rPr>
                    <w:color w:val="6C6C6C"/>
                    <w:spacing w:val="-5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October</w:t>
                </w:r>
                <w:r>
                  <w:rPr>
                    <w:color w:val="6C6C6C"/>
                    <w:spacing w:val="-2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44.899994pt;margin-top:808.68158pt;width:51.95pt;height:11pt;mso-position-horizontal-relative:page;mso-position-vertical-relative:page;z-index:-17220096" type="#_x0000_t202" id="docshape40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Page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sz w:val="16"/>
                  </w:rPr>
                  <w:t> of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69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919998pt;margin-top:562.081604pt;width:259.75pt;height:11pt;mso-position-horizontal-relative:page;mso-position-vertical-relative:page;z-index:-17219584" type="#_x0000_t202" id="docshape47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6C6C6C"/>
                    <w:sz w:val="16"/>
                  </w:rPr>
                  <w:t>Arden</w:t>
                </w:r>
                <w:r>
                  <w:rPr>
                    <w:color w:val="6C6C6C"/>
                    <w:spacing w:val="-3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Station</w:t>
                </w:r>
                <w:r>
                  <w:rPr>
                    <w:color w:val="6C6C6C"/>
                    <w:spacing w:val="-6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Precinct</w:t>
                </w:r>
                <w:r>
                  <w:rPr>
                    <w:color w:val="6C6C6C"/>
                    <w:spacing w:val="-2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Development</w:t>
                </w:r>
                <w:r>
                  <w:rPr>
                    <w:color w:val="6C6C6C"/>
                    <w:spacing w:val="-1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Plan|</w:t>
                </w:r>
                <w:r>
                  <w:rPr>
                    <w:color w:val="6C6C6C"/>
                    <w:spacing w:val="-3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Wednesday,</w:t>
                </w:r>
                <w:r>
                  <w:rPr>
                    <w:color w:val="6C6C6C"/>
                    <w:spacing w:val="-2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27</w:t>
                </w:r>
                <w:r>
                  <w:rPr>
                    <w:color w:val="6C6C6C"/>
                    <w:spacing w:val="-5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October</w:t>
                </w:r>
                <w:r>
                  <w:rPr>
                    <w:color w:val="6C6C6C"/>
                    <w:spacing w:val="-2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720.419983pt;margin-top:562.081604pt;width:51.95pt;height:11pt;mso-position-horizontal-relative:page;mso-position-vertical-relative:page;z-index:-17219072" type="#_x0000_t202" id="docshape48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Page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30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of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69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944pt;margin-top:808.68158pt;width:259.75pt;height:11pt;mso-position-horizontal-relative:page;mso-position-vertical-relative:page;z-index:-17218048" type="#_x0000_t202" id="docshape49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6C6C6C"/>
                    <w:sz w:val="16"/>
                  </w:rPr>
                  <w:t>Arden</w:t>
                </w:r>
                <w:r>
                  <w:rPr>
                    <w:color w:val="6C6C6C"/>
                    <w:spacing w:val="-3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Station</w:t>
                </w:r>
                <w:r>
                  <w:rPr>
                    <w:color w:val="6C6C6C"/>
                    <w:spacing w:val="-6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Precinct</w:t>
                </w:r>
                <w:r>
                  <w:rPr>
                    <w:color w:val="6C6C6C"/>
                    <w:spacing w:val="-1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Development</w:t>
                </w:r>
                <w:r>
                  <w:rPr>
                    <w:color w:val="6C6C6C"/>
                    <w:spacing w:val="-2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Plan|</w:t>
                </w:r>
                <w:r>
                  <w:rPr>
                    <w:color w:val="6C6C6C"/>
                    <w:spacing w:val="-3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Wednesday,</w:t>
                </w:r>
                <w:r>
                  <w:rPr>
                    <w:color w:val="6C6C6C"/>
                    <w:spacing w:val="-1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27</w:t>
                </w:r>
                <w:r>
                  <w:rPr>
                    <w:color w:val="6C6C6C"/>
                    <w:spacing w:val="-5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October</w:t>
                </w:r>
                <w:r>
                  <w:rPr>
                    <w:color w:val="6C6C6C"/>
                    <w:spacing w:val="-2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44.899994pt;margin-top:808.68158pt;width:51.95pt;height:11pt;mso-position-horizontal-relative:page;mso-position-vertical-relative:page;z-index:-17217536" type="#_x0000_t202" id="docshape50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Page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sz w:val="16"/>
                  </w:rPr>
                  <w:t> of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69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919998pt;margin-top:562.081604pt;width:259.75pt;height:11pt;mso-position-horizontal-relative:page;mso-position-vertical-relative:page;z-index:-17217024" type="#_x0000_t202" id="docshape57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6C6C6C"/>
                    <w:sz w:val="16"/>
                  </w:rPr>
                  <w:t>Arden</w:t>
                </w:r>
                <w:r>
                  <w:rPr>
                    <w:color w:val="6C6C6C"/>
                    <w:spacing w:val="-3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Station</w:t>
                </w:r>
                <w:r>
                  <w:rPr>
                    <w:color w:val="6C6C6C"/>
                    <w:spacing w:val="-6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Precinct</w:t>
                </w:r>
                <w:r>
                  <w:rPr>
                    <w:color w:val="6C6C6C"/>
                    <w:spacing w:val="-2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Development</w:t>
                </w:r>
                <w:r>
                  <w:rPr>
                    <w:color w:val="6C6C6C"/>
                    <w:spacing w:val="-1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Plan|</w:t>
                </w:r>
                <w:r>
                  <w:rPr>
                    <w:color w:val="6C6C6C"/>
                    <w:spacing w:val="-3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Wednesday,</w:t>
                </w:r>
                <w:r>
                  <w:rPr>
                    <w:color w:val="6C6C6C"/>
                    <w:spacing w:val="-2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27</w:t>
                </w:r>
                <w:r>
                  <w:rPr>
                    <w:color w:val="6C6C6C"/>
                    <w:spacing w:val="-5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October</w:t>
                </w:r>
                <w:r>
                  <w:rPr>
                    <w:color w:val="6C6C6C"/>
                    <w:spacing w:val="-2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720.419983pt;margin-top:562.081604pt;width:51.95pt;height:11pt;mso-position-horizontal-relative:page;mso-position-vertical-relative:page;z-index:-17216512" type="#_x0000_t202" id="docshape58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Page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43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of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69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944pt;margin-top:808.68158pt;width:259.75pt;height:11pt;mso-position-horizontal-relative:page;mso-position-vertical-relative:page;z-index:-17216000" type="#_x0000_t202" id="docshape59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6C6C6C"/>
                    <w:sz w:val="16"/>
                  </w:rPr>
                  <w:t>Arden</w:t>
                </w:r>
                <w:r>
                  <w:rPr>
                    <w:color w:val="6C6C6C"/>
                    <w:spacing w:val="-3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Station</w:t>
                </w:r>
                <w:r>
                  <w:rPr>
                    <w:color w:val="6C6C6C"/>
                    <w:spacing w:val="-6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Precinct</w:t>
                </w:r>
                <w:r>
                  <w:rPr>
                    <w:color w:val="6C6C6C"/>
                    <w:spacing w:val="-1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Development</w:t>
                </w:r>
                <w:r>
                  <w:rPr>
                    <w:color w:val="6C6C6C"/>
                    <w:spacing w:val="-2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Plan|</w:t>
                </w:r>
                <w:r>
                  <w:rPr>
                    <w:color w:val="6C6C6C"/>
                    <w:spacing w:val="-3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Wednesday,</w:t>
                </w:r>
                <w:r>
                  <w:rPr>
                    <w:color w:val="6C6C6C"/>
                    <w:spacing w:val="-1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27</w:t>
                </w:r>
                <w:r>
                  <w:rPr>
                    <w:color w:val="6C6C6C"/>
                    <w:spacing w:val="-5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October</w:t>
                </w:r>
                <w:r>
                  <w:rPr>
                    <w:color w:val="6C6C6C"/>
                    <w:spacing w:val="-2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44.899994pt;margin-top:808.68158pt;width:51.95pt;height:11pt;mso-position-horizontal-relative:page;mso-position-vertical-relative:page;z-index:-17215488" type="#_x0000_t202" id="docshape60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Page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44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of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69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919998pt;margin-top:562.081604pt;width:259.75pt;height:11pt;mso-position-horizontal-relative:page;mso-position-vertical-relative:page;z-index:-17214976" type="#_x0000_t202" id="docshape61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6C6C6C"/>
                    <w:sz w:val="16"/>
                  </w:rPr>
                  <w:t>Arden</w:t>
                </w:r>
                <w:r>
                  <w:rPr>
                    <w:color w:val="6C6C6C"/>
                    <w:spacing w:val="-3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Station</w:t>
                </w:r>
                <w:r>
                  <w:rPr>
                    <w:color w:val="6C6C6C"/>
                    <w:spacing w:val="-6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Precinct</w:t>
                </w:r>
                <w:r>
                  <w:rPr>
                    <w:color w:val="6C6C6C"/>
                    <w:spacing w:val="-2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Development</w:t>
                </w:r>
                <w:r>
                  <w:rPr>
                    <w:color w:val="6C6C6C"/>
                    <w:spacing w:val="-1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Plan|</w:t>
                </w:r>
                <w:r>
                  <w:rPr>
                    <w:color w:val="6C6C6C"/>
                    <w:spacing w:val="-3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Wednesday,</w:t>
                </w:r>
                <w:r>
                  <w:rPr>
                    <w:color w:val="6C6C6C"/>
                    <w:spacing w:val="-2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27</w:t>
                </w:r>
                <w:r>
                  <w:rPr>
                    <w:color w:val="6C6C6C"/>
                    <w:spacing w:val="-5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October</w:t>
                </w:r>
                <w:r>
                  <w:rPr>
                    <w:color w:val="6C6C6C"/>
                    <w:spacing w:val="-2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720.419983pt;margin-top:562.081604pt;width:51.95pt;height:11pt;mso-position-horizontal-relative:page;mso-position-vertical-relative:page;z-index:-17214464" type="#_x0000_t202" id="docshape62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Page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45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of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69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.944pt;margin-top:808.68158pt;width:259.75pt;height:11pt;mso-position-horizontal-relative:page;mso-position-vertical-relative:page;z-index:-17213952" type="#_x0000_t202" id="docshape63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6C6C6C"/>
                    <w:sz w:val="16"/>
                  </w:rPr>
                  <w:t>Arden</w:t>
                </w:r>
                <w:r>
                  <w:rPr>
                    <w:color w:val="6C6C6C"/>
                    <w:spacing w:val="-3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Station</w:t>
                </w:r>
                <w:r>
                  <w:rPr>
                    <w:color w:val="6C6C6C"/>
                    <w:spacing w:val="-6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Precinct</w:t>
                </w:r>
                <w:r>
                  <w:rPr>
                    <w:color w:val="6C6C6C"/>
                    <w:spacing w:val="-1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Development</w:t>
                </w:r>
                <w:r>
                  <w:rPr>
                    <w:color w:val="6C6C6C"/>
                    <w:spacing w:val="-2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Plan|</w:t>
                </w:r>
                <w:r>
                  <w:rPr>
                    <w:color w:val="6C6C6C"/>
                    <w:spacing w:val="-3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Wednesday,</w:t>
                </w:r>
                <w:r>
                  <w:rPr>
                    <w:color w:val="6C6C6C"/>
                    <w:spacing w:val="-1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27</w:t>
                </w:r>
                <w:r>
                  <w:rPr>
                    <w:color w:val="6C6C6C"/>
                    <w:spacing w:val="-5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October</w:t>
                </w:r>
                <w:r>
                  <w:rPr>
                    <w:color w:val="6C6C6C"/>
                    <w:spacing w:val="-2"/>
                    <w:sz w:val="16"/>
                  </w:rPr>
                  <w:t> </w:t>
                </w:r>
                <w:r>
                  <w:rPr>
                    <w:color w:val="6C6C6C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44.899994pt;margin-top:808.68158pt;width:51.95pt;height:11pt;mso-position-horizontal-relative:page;mso-position-vertical-relative:page;z-index:-17213440" type="#_x0000_t202" id="docshape64" filled="false" stroked="false">
          <v:textbox inset="0,0,0,0">
            <w:txbxContent>
              <w:p>
                <w:pPr>
                  <w:spacing w:before="15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Page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46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of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69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92800">
          <wp:simplePos x="0" y="0"/>
          <wp:positionH relativeFrom="page">
            <wp:posOffset>658345</wp:posOffset>
          </wp:positionH>
          <wp:positionV relativeFrom="page">
            <wp:posOffset>594232</wp:posOffset>
          </wp:positionV>
          <wp:extent cx="6217709" cy="623951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17709" cy="6239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106624">
          <wp:simplePos x="0" y="0"/>
          <wp:positionH relativeFrom="page">
            <wp:posOffset>679177</wp:posOffset>
          </wp:positionH>
          <wp:positionV relativeFrom="page">
            <wp:posOffset>594232</wp:posOffset>
          </wp:positionV>
          <wp:extent cx="6222530" cy="623951"/>
          <wp:effectExtent l="0" t="0" r="0" b="0"/>
          <wp:wrapNone/>
          <wp:docPr id="47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22530" cy="6239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95360">
          <wp:simplePos x="0" y="0"/>
          <wp:positionH relativeFrom="page">
            <wp:posOffset>658622</wp:posOffset>
          </wp:positionH>
          <wp:positionV relativeFrom="page">
            <wp:posOffset>596772</wp:posOffset>
          </wp:positionV>
          <wp:extent cx="6220323" cy="623951"/>
          <wp:effectExtent l="0" t="0" r="0" b="0"/>
          <wp:wrapNone/>
          <wp:docPr id="19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20323" cy="6239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097920">
          <wp:simplePos x="0" y="0"/>
          <wp:positionH relativeFrom="page">
            <wp:posOffset>640047</wp:posOffset>
          </wp:positionH>
          <wp:positionV relativeFrom="page">
            <wp:posOffset>571098</wp:posOffset>
          </wp:positionV>
          <wp:extent cx="6217605" cy="621355"/>
          <wp:effectExtent l="0" t="0" r="0" b="0"/>
          <wp:wrapNone/>
          <wp:docPr id="25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17605" cy="621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0"/>
      <w:numFmt w:val="bullet"/>
      <w:lvlText w:val=""/>
      <w:lvlJc w:val="left"/>
      <w:pPr>
        <w:ind w:left="278" w:hanging="171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874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68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62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56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51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45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9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33" w:hanging="171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278" w:hanging="171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874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68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62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56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51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45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9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33" w:hanging="171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278" w:hanging="171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874" w:hanging="1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68" w:hanging="1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62" w:hanging="1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56" w:hanging="1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51" w:hanging="1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45" w:hanging="1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39" w:hanging="1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33" w:hanging="171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402" w:hanging="284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19"/>
        <w:szCs w:val="19"/>
      </w:rPr>
    </w:lvl>
    <w:lvl w:ilvl="1">
      <w:start w:val="0"/>
      <w:numFmt w:val="bullet"/>
      <w:lvlText w:val="–"/>
      <w:lvlJc w:val="left"/>
      <w:pPr>
        <w:ind w:left="685" w:hanging="284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19"/>
        <w:szCs w:val="19"/>
      </w:rPr>
    </w:lvl>
    <w:lvl w:ilvl="2">
      <w:start w:val="0"/>
      <w:numFmt w:val="bullet"/>
      <w:lvlText w:val="•"/>
      <w:lvlJc w:val="left"/>
      <w:pPr>
        <w:ind w:left="1596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12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28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45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61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177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093" w:hanging="284"/>
      </w:pPr>
      <w:rPr>
        <w:rFonts w:hint="default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676" w:hanging="286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19"/>
        <w:szCs w:val="19"/>
      </w:rPr>
    </w:lvl>
    <w:lvl w:ilvl="1">
      <w:start w:val="1"/>
      <w:numFmt w:val="lowerRoman"/>
      <w:lvlText w:val="%2."/>
      <w:lvlJc w:val="left"/>
      <w:pPr>
        <w:ind w:left="676" w:hanging="2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19"/>
        <w:szCs w:val="19"/>
      </w:rPr>
    </w:lvl>
    <w:lvl w:ilvl="2">
      <w:start w:val="0"/>
      <w:numFmt w:val="bullet"/>
      <w:lvlText w:val="•"/>
      <w:lvlJc w:val="left"/>
      <w:pPr>
        <w:ind w:left="1476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75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73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72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70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68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67" w:hanging="284"/>
      </w:pPr>
      <w:rPr>
        <w:rFonts w:hint="default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827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18"/>
        <w:szCs w:val="18"/>
      </w:rPr>
    </w:lvl>
    <w:lvl w:ilvl="1">
      <w:start w:val="0"/>
      <w:numFmt w:val="bullet"/>
      <w:lvlText w:val="•"/>
      <w:lvlJc w:val="left"/>
      <w:pPr>
        <w:ind w:left="120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8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73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5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42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12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1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95" w:hanging="360"/>
      </w:pPr>
      <w:rPr>
        <w:rFonts w:hint="default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676" w:hanging="286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19"/>
        <w:szCs w:val="19"/>
      </w:rPr>
    </w:lvl>
    <w:lvl w:ilvl="1">
      <w:start w:val="0"/>
      <w:numFmt w:val="bullet"/>
      <w:lvlText w:val="•"/>
      <w:lvlJc w:val="left"/>
      <w:pPr>
        <w:ind w:left="1078" w:hanging="2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76" w:hanging="2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75" w:hanging="2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73" w:hanging="2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72" w:hanging="2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70" w:hanging="2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68" w:hanging="2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67" w:hanging="286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045" w:hanging="567"/>
        <w:jc w:val="right"/>
      </w:pPr>
      <w:rPr>
        <w:rFonts w:hint="default" w:ascii="Arial" w:hAnsi="Arial" w:eastAsia="Arial" w:cs="Arial"/>
        <w:b w:val="0"/>
        <w:bCs w:val="0"/>
        <w:i w:val="0"/>
        <w:iCs w:val="0"/>
        <w:color w:val="00BBE9"/>
        <w:w w:val="100"/>
        <w:sz w:val="40"/>
        <w:szCs w:val="40"/>
      </w:rPr>
    </w:lvl>
    <w:lvl w:ilvl="1">
      <w:start w:val="1"/>
      <w:numFmt w:val="decimal"/>
      <w:lvlText w:val="%1.%2."/>
      <w:lvlJc w:val="left"/>
      <w:pPr>
        <w:ind w:left="1186" w:hanging="708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00BBE9"/>
        <w:w w:val="99"/>
        <w:sz w:val="32"/>
        <w:szCs w:val="32"/>
      </w:rPr>
    </w:lvl>
    <w:lvl w:ilvl="2">
      <w:start w:val="1"/>
      <w:numFmt w:val="decimal"/>
      <w:lvlText w:val="%1.%2.%3."/>
      <w:lvlJc w:val="left"/>
      <w:pPr>
        <w:ind w:left="1330" w:hanging="852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808080"/>
        <w:spacing w:val="-3"/>
        <w:w w:val="100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110" w:hanging="992"/>
        <w:jc w:val="right"/>
      </w:pPr>
      <w:rPr>
        <w:rFonts w:hint="default" w:ascii="Arial" w:hAnsi="Arial" w:eastAsia="Arial" w:cs="Arial"/>
        <w:b/>
        <w:bCs/>
        <w:i w:val="0"/>
        <w:iCs w:val="0"/>
        <w:color w:val="252525"/>
        <w:spacing w:val="-1"/>
        <w:w w:val="100"/>
        <w:sz w:val="21"/>
        <w:szCs w:val="21"/>
      </w:rPr>
    </w:lvl>
    <w:lvl w:ilvl="4">
      <w:start w:val="0"/>
      <w:numFmt w:val="bullet"/>
      <w:lvlText w:val="•"/>
      <w:lvlJc w:val="left"/>
      <w:pPr>
        <w:ind w:left="1180" w:hanging="9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40" w:hanging="9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57" w:hanging="9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74" w:hanging="9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891" w:hanging="992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"/>
      <w:lvlJc w:val="left"/>
      <w:pPr>
        <w:ind w:left="408" w:hanging="284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998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96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194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9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90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988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586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184" w:hanging="284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569" w:hanging="284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18"/>
        <w:szCs w:val="18"/>
      </w:rPr>
    </w:lvl>
    <w:lvl w:ilvl="1">
      <w:start w:val="0"/>
      <w:numFmt w:val="bullet"/>
      <w:lvlText w:val="•"/>
      <w:lvlJc w:val="left"/>
      <w:pPr>
        <w:ind w:left="1158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56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54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52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50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48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46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44" w:hanging="284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762" w:hanging="284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19"/>
        <w:szCs w:val="19"/>
      </w:rPr>
    </w:lvl>
    <w:lvl w:ilvl="1">
      <w:start w:val="0"/>
      <w:numFmt w:val="bullet"/>
      <w:lvlText w:val="•"/>
      <w:lvlJc w:val="left"/>
      <w:pPr>
        <w:ind w:left="1612" w:hanging="28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65" w:hanging="28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17" w:hanging="28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70" w:hanging="28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23" w:hanging="28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75" w:hanging="28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28" w:hanging="28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81" w:hanging="284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45" w:hanging="567"/>
        <w:jc w:val="left"/>
      </w:pPr>
      <w:rPr>
        <w:rFonts w:hint="default" w:ascii="Arial" w:hAnsi="Arial" w:eastAsia="Arial" w:cs="Arial"/>
        <w:b/>
        <w:bCs/>
        <w:i w:val="0"/>
        <w:iCs w:val="0"/>
        <w:w w:val="99"/>
        <w:sz w:val="19"/>
        <w:szCs w:val="19"/>
      </w:rPr>
    </w:lvl>
    <w:lvl w:ilvl="1">
      <w:start w:val="1"/>
      <w:numFmt w:val="decimal"/>
      <w:lvlText w:val="%1.%2."/>
      <w:lvlJc w:val="left"/>
      <w:pPr>
        <w:ind w:left="1045" w:hanging="567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19"/>
        <w:szCs w:val="19"/>
      </w:rPr>
    </w:lvl>
    <w:lvl w:ilvl="2">
      <w:start w:val="1"/>
      <w:numFmt w:val="decimal"/>
      <w:lvlText w:val="%1.%2.%3."/>
      <w:lvlJc w:val="left"/>
      <w:pPr>
        <w:ind w:left="1755" w:hanging="711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19"/>
        <w:szCs w:val="19"/>
      </w:rPr>
    </w:lvl>
    <w:lvl w:ilvl="3">
      <w:start w:val="0"/>
      <w:numFmt w:val="bullet"/>
      <w:lvlText w:val="•"/>
      <w:lvlJc w:val="left"/>
      <w:pPr>
        <w:ind w:left="3432" w:hanging="7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68" w:hanging="7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105" w:hanging="7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41" w:hanging="7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77" w:hanging="7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13" w:hanging="711"/>
      </w:pPr>
      <w:rPr>
        <w:rFonts w:hint="default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TOC1" w:type="paragraph">
    <w:name w:val="TOC 1"/>
    <w:basedOn w:val="Normal"/>
    <w:uiPriority w:val="1"/>
    <w:qFormat/>
    <w:pPr>
      <w:ind w:left="478"/>
    </w:pPr>
    <w:rPr>
      <w:rFonts w:ascii="Arial" w:hAnsi="Arial" w:eastAsia="Arial" w:cs="Arial"/>
      <w:b/>
      <w:bCs/>
      <w:sz w:val="19"/>
      <w:szCs w:val="19"/>
    </w:rPr>
  </w:style>
  <w:style w:styleId="TOC2" w:type="paragraph">
    <w:name w:val="TOC 2"/>
    <w:basedOn w:val="Normal"/>
    <w:uiPriority w:val="1"/>
    <w:qFormat/>
    <w:pPr>
      <w:spacing w:before="120"/>
      <w:ind w:left="1045" w:hanging="568"/>
    </w:pPr>
    <w:rPr>
      <w:rFonts w:ascii="Arial" w:hAnsi="Arial" w:eastAsia="Arial" w:cs="Arial"/>
      <w:sz w:val="19"/>
      <w:szCs w:val="19"/>
    </w:rPr>
  </w:style>
  <w:style w:styleId="TOC3" w:type="paragraph">
    <w:name w:val="TOC 3"/>
    <w:basedOn w:val="Normal"/>
    <w:uiPriority w:val="1"/>
    <w:qFormat/>
    <w:pPr>
      <w:spacing w:before="120"/>
      <w:ind w:left="1755" w:hanging="711"/>
    </w:pPr>
    <w:rPr>
      <w:rFonts w:ascii="Arial" w:hAnsi="Arial" w:eastAsia="Arial" w:cs="Arial"/>
      <w:sz w:val="19"/>
      <w:szCs w:val="19"/>
    </w:rPr>
  </w:style>
  <w:style w:styleId="TOC4" w:type="paragraph">
    <w:name w:val="TOC 4"/>
    <w:basedOn w:val="Normal"/>
    <w:uiPriority w:val="1"/>
    <w:qFormat/>
    <w:pPr>
      <w:ind w:left="1806"/>
    </w:pPr>
    <w:rPr>
      <w:rFonts w:ascii="Arial" w:hAnsi="Arial" w:eastAsia="Arial" w:cs="Arial"/>
      <w:sz w:val="19"/>
      <w:szCs w:val="19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9"/>
      <w:szCs w:val="19"/>
    </w:rPr>
  </w:style>
  <w:style w:styleId="Heading1" w:type="paragraph">
    <w:name w:val="Heading 1"/>
    <w:basedOn w:val="Normal"/>
    <w:uiPriority w:val="1"/>
    <w:qFormat/>
    <w:pPr>
      <w:spacing w:before="88"/>
      <w:ind w:left="478"/>
      <w:outlineLvl w:val="1"/>
    </w:pPr>
    <w:rPr>
      <w:rFonts w:ascii="Arial" w:hAnsi="Arial" w:eastAsia="Arial" w:cs="Arial"/>
      <w:sz w:val="40"/>
      <w:szCs w:val="40"/>
    </w:rPr>
  </w:style>
  <w:style w:styleId="Heading2" w:type="paragraph">
    <w:name w:val="Heading 2"/>
    <w:basedOn w:val="Normal"/>
    <w:uiPriority w:val="1"/>
    <w:qFormat/>
    <w:pPr>
      <w:ind w:left="478" w:hanging="709"/>
      <w:outlineLvl w:val="2"/>
    </w:pPr>
    <w:rPr>
      <w:rFonts w:ascii="Arial" w:hAnsi="Arial" w:eastAsia="Arial" w:cs="Arial"/>
      <w:sz w:val="32"/>
      <w:szCs w:val="32"/>
    </w:rPr>
  </w:style>
  <w:style w:styleId="Heading3" w:type="paragraph">
    <w:name w:val="Heading 3"/>
    <w:basedOn w:val="Normal"/>
    <w:uiPriority w:val="1"/>
    <w:qFormat/>
    <w:pPr>
      <w:ind w:left="970" w:hanging="853"/>
      <w:outlineLvl w:val="3"/>
    </w:pPr>
    <w:rPr>
      <w:rFonts w:ascii="Arial" w:hAnsi="Arial" w:eastAsia="Arial" w:cs="Arial"/>
      <w:sz w:val="28"/>
      <w:szCs w:val="28"/>
    </w:rPr>
  </w:style>
  <w:style w:styleId="Heading4" w:type="paragraph">
    <w:name w:val="Heading 4"/>
    <w:basedOn w:val="Normal"/>
    <w:uiPriority w:val="1"/>
    <w:qFormat/>
    <w:pPr>
      <w:ind w:left="1530" w:hanging="992"/>
      <w:outlineLvl w:val="4"/>
    </w:pPr>
    <w:rPr>
      <w:rFonts w:ascii="Arial" w:hAnsi="Arial" w:eastAsia="Arial" w:cs="Arial"/>
      <w:b/>
      <w:bCs/>
      <w:sz w:val="21"/>
      <w:szCs w:val="21"/>
    </w:rPr>
  </w:style>
  <w:style w:styleId="Heading5" w:type="paragraph">
    <w:name w:val="Heading 5"/>
    <w:basedOn w:val="Normal"/>
    <w:uiPriority w:val="1"/>
    <w:qFormat/>
    <w:pPr>
      <w:ind w:left="478"/>
      <w:outlineLvl w:val="5"/>
    </w:pPr>
    <w:rPr>
      <w:rFonts w:ascii="Arial" w:hAnsi="Arial" w:eastAsia="Arial" w:cs="Arial"/>
      <w:b/>
      <w:bCs/>
      <w:sz w:val="19"/>
      <w:szCs w:val="19"/>
    </w:rPr>
  </w:style>
  <w:style w:styleId="ListParagraph" w:type="paragraph">
    <w:name w:val="List Paragraph"/>
    <w:basedOn w:val="Normal"/>
    <w:uiPriority w:val="1"/>
    <w:qFormat/>
    <w:pPr>
      <w:spacing w:before="120"/>
      <w:ind w:left="402" w:hanging="285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spacing w:before="119"/>
      <w:ind w:left="107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header" Target="header2.xml"/><Relationship Id="rId15" Type="http://schemas.openxmlformats.org/officeDocument/2006/relationships/footer" Target="footer2.xml"/><Relationship Id="rId16" Type="http://schemas.openxmlformats.org/officeDocument/2006/relationships/image" Target="media/image9.jpeg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header" Target="header4.xml"/><Relationship Id="rId22" Type="http://schemas.openxmlformats.org/officeDocument/2006/relationships/footer" Target="footer4.xml"/><Relationship Id="rId23" Type="http://schemas.openxmlformats.org/officeDocument/2006/relationships/image" Target="media/image12.jpeg"/><Relationship Id="rId24" Type="http://schemas.openxmlformats.org/officeDocument/2006/relationships/header" Target="header5.xml"/><Relationship Id="rId25" Type="http://schemas.openxmlformats.org/officeDocument/2006/relationships/footer" Target="footer5.xml"/><Relationship Id="rId26" Type="http://schemas.openxmlformats.org/officeDocument/2006/relationships/image" Target="media/image13.jpeg"/><Relationship Id="rId27" Type="http://schemas.openxmlformats.org/officeDocument/2006/relationships/image" Target="media/image14.jpeg"/><Relationship Id="rId28" Type="http://schemas.openxmlformats.org/officeDocument/2006/relationships/header" Target="header6.xml"/><Relationship Id="rId29" Type="http://schemas.openxmlformats.org/officeDocument/2006/relationships/footer" Target="footer6.xml"/><Relationship Id="rId30" Type="http://schemas.openxmlformats.org/officeDocument/2006/relationships/image" Target="media/image15.jpeg"/><Relationship Id="rId31" Type="http://schemas.openxmlformats.org/officeDocument/2006/relationships/header" Target="header7.xml"/><Relationship Id="rId32" Type="http://schemas.openxmlformats.org/officeDocument/2006/relationships/footer" Target="footer7.xml"/><Relationship Id="rId33" Type="http://schemas.openxmlformats.org/officeDocument/2006/relationships/image" Target="media/image2.jpeg"/><Relationship Id="rId34" Type="http://schemas.openxmlformats.org/officeDocument/2006/relationships/header" Target="header8.xml"/><Relationship Id="rId35" Type="http://schemas.openxmlformats.org/officeDocument/2006/relationships/footer" Target="footer8.xml"/><Relationship Id="rId36" Type="http://schemas.openxmlformats.org/officeDocument/2006/relationships/image" Target="media/image16.jpeg"/><Relationship Id="rId37" Type="http://schemas.openxmlformats.org/officeDocument/2006/relationships/header" Target="header9.xml"/><Relationship Id="rId38" Type="http://schemas.openxmlformats.org/officeDocument/2006/relationships/footer" Target="footer9.xml"/><Relationship Id="rId39" Type="http://schemas.openxmlformats.org/officeDocument/2006/relationships/header" Target="header10.xml"/><Relationship Id="rId40" Type="http://schemas.openxmlformats.org/officeDocument/2006/relationships/footer" Target="footer10.xml"/><Relationship Id="rId41" Type="http://schemas.openxmlformats.org/officeDocument/2006/relationships/image" Target="media/image17.jpeg"/><Relationship Id="rId42" Type="http://schemas.openxmlformats.org/officeDocument/2006/relationships/image" Target="media/image18.jpeg"/><Relationship Id="rId43" Type="http://schemas.openxmlformats.org/officeDocument/2006/relationships/header" Target="header11.xml"/><Relationship Id="rId44" Type="http://schemas.openxmlformats.org/officeDocument/2006/relationships/footer" Target="footer11.xml"/><Relationship Id="rId45" Type="http://schemas.openxmlformats.org/officeDocument/2006/relationships/header" Target="header12.xml"/><Relationship Id="rId46" Type="http://schemas.openxmlformats.org/officeDocument/2006/relationships/footer" Target="footer12.xml"/><Relationship Id="rId47" Type="http://schemas.openxmlformats.org/officeDocument/2006/relationships/image" Target="media/image19.jpeg"/><Relationship Id="rId48" Type="http://schemas.openxmlformats.org/officeDocument/2006/relationships/header" Target="header13.xml"/><Relationship Id="rId49" Type="http://schemas.openxmlformats.org/officeDocument/2006/relationships/footer" Target="footer13.xml"/><Relationship Id="rId50" Type="http://schemas.openxmlformats.org/officeDocument/2006/relationships/image" Target="media/image20.jpeg"/><Relationship Id="rId51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Flannery</dc:creator>
  <dcterms:created xsi:type="dcterms:W3CDTF">2022-01-10T02:42:17Z</dcterms:created>
  <dcterms:modified xsi:type="dcterms:W3CDTF">2022-01-10T02:42:17Z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2021-10-27T00:00:00Z</vt:filetime>
  </property>
  <property fmtid="{D5CDD505-2E9C-101B-9397-08002B2CF9AE}" pid="3" name="Creator">
    <vt:lpwstr>Adobe Acrobat Standard DC (32-bit) 21.7.20099</vt:lpwstr>
  </property>
  <property fmtid="{D5CDD505-2E9C-101B-9397-08002B2CF9AE}" pid="4" name="LastSaved">
    <vt:filetime>2022-01-10T00:00:00Z</vt:filetime>
  </property>
</Properties>
</file>