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2446" w14:textId="7F9374C9" w:rsidR="00C65485" w:rsidRPr="00EC4746" w:rsidRDefault="00DF283C" w:rsidP="00DF283C">
      <w:pPr>
        <w:tabs>
          <w:tab w:val="left" w:pos="7665"/>
        </w:tabs>
      </w:pPr>
      <w:bookmarkStart w:id="1" w:name="_GoBack"/>
      <w:bookmarkEnd w:id="1"/>
      <w:r>
        <w:br/>
      </w:r>
      <w:r w:rsidR="00AD2E41">
        <w:t xml:space="preserve">25 </w:t>
      </w:r>
      <w:r w:rsidR="0004024E">
        <w:t xml:space="preserve">March 2020                                                                                                                       </w:t>
      </w:r>
      <w:r>
        <w:t>WES200</w:t>
      </w:r>
      <w:r w:rsidR="0004024E">
        <w:t>1</w:t>
      </w:r>
      <w:r>
        <w:t>.06</w:t>
      </w:r>
      <w:r w:rsidR="0004024E">
        <w:t>(R2)</w:t>
      </w:r>
    </w:p>
    <w:p w14:paraId="09666FF3" w14:textId="52D74DC2" w:rsidR="00BF2778" w:rsidRPr="00971695" w:rsidRDefault="0004024E" w:rsidP="00971695">
      <w:pPr>
        <w:pStyle w:val="Title"/>
      </w:pPr>
      <w:r>
        <w:t xml:space="preserve">Reminder </w:t>
      </w:r>
      <w:r w:rsidR="00C65485" w:rsidRPr="00EC4746">
        <w:t xml:space="preserve">notification: </w:t>
      </w:r>
      <w:r w:rsidR="00C12846">
        <w:t>Williamstown Road inbound exit ramp 24/7 works</w:t>
      </w:r>
    </w:p>
    <w:p w14:paraId="0F12B190" w14:textId="77777777" w:rsidR="00C65485" w:rsidRDefault="00C65485" w:rsidP="00C65485">
      <w:pPr>
        <w:rPr>
          <w:rFonts w:eastAsiaTheme="majorEastAsia" w:cs="Arial"/>
          <w:color w:val="343645" w:themeColor="text2"/>
          <w:kern w:val="28"/>
          <w:sz w:val="25"/>
          <w:szCs w:val="25"/>
        </w:rPr>
        <w:sectPr w:rsidR="00C65485" w:rsidSect="00B33342">
          <w:footerReference w:type="default" r:id="rId12"/>
          <w:headerReference w:type="first" r:id="rId13"/>
          <w:footerReference w:type="first" r:id="rId14"/>
          <w:pgSz w:w="11906" w:h="16838"/>
          <w:pgMar w:top="2460" w:right="1558" w:bottom="1440" w:left="1276" w:header="0" w:footer="297" w:gutter="0"/>
          <w:cols w:space="708"/>
          <w:titlePg/>
          <w:docGrid w:linePitch="360"/>
        </w:sectPr>
      </w:pPr>
    </w:p>
    <w:p w14:paraId="31C6E1D2" w14:textId="4B79F299" w:rsidR="00C65485" w:rsidRDefault="00B46CDD" w:rsidP="00971695">
      <w:pPr>
        <w:pStyle w:val="Intro"/>
      </w:pPr>
      <w:r>
        <w:t xml:space="preserve">We’re about to enter a new phase of our work on underground </w:t>
      </w:r>
      <w:r w:rsidR="0004024E">
        <w:t xml:space="preserve">services </w:t>
      </w:r>
      <w:r>
        <w:t xml:space="preserve">at the Williamstown Road inbound exit ramp. This includes </w:t>
      </w:r>
      <w:r w:rsidR="006E18AA">
        <w:t>completing sewer relocation works</w:t>
      </w:r>
      <w:r>
        <w:t xml:space="preserve"> and </w:t>
      </w:r>
      <w:r w:rsidR="006E18AA">
        <w:t xml:space="preserve">installing </w:t>
      </w:r>
      <w:r>
        <w:t>a</w:t>
      </w:r>
      <w:r w:rsidR="006E18AA">
        <w:t xml:space="preserve"> new</w:t>
      </w:r>
      <w:r>
        <w:t xml:space="preserve"> water main pipe. </w:t>
      </w:r>
    </w:p>
    <w:p w14:paraId="0BB9A608" w14:textId="56F43A74" w:rsidR="00B46CDD" w:rsidRDefault="00B46CDD" w:rsidP="00971695">
      <w:pPr>
        <w:pStyle w:val="Intro"/>
      </w:pPr>
      <w:r>
        <w:t xml:space="preserve">The </w:t>
      </w:r>
      <w:r w:rsidR="0004024E">
        <w:t xml:space="preserve">next stage </w:t>
      </w:r>
      <w:r>
        <w:t xml:space="preserve">of works will get underway on 27 March and will run </w:t>
      </w:r>
      <w:r w:rsidR="005573E7">
        <w:t xml:space="preserve">both day and night </w:t>
      </w:r>
      <w:r>
        <w:t xml:space="preserve">for two weeks. </w:t>
      </w:r>
    </w:p>
    <w:p w14:paraId="2DFA1D03" w14:textId="464B6D04" w:rsidR="00B46CDD" w:rsidRPr="00CA0E15" w:rsidRDefault="00B46CDD" w:rsidP="00971695">
      <w:pPr>
        <w:pStyle w:val="Intro"/>
      </w:pPr>
      <w:r>
        <w:t>Please note the Williamstown Road inbound exit ramp will be closed during this time.</w:t>
      </w:r>
    </w:p>
    <w:p w14:paraId="35D1F2A8" w14:textId="4A99C1B8" w:rsidR="00C65485" w:rsidRDefault="00D16972" w:rsidP="00C65485">
      <w:pPr>
        <w:pStyle w:val="Heading3"/>
        <w:rPr>
          <w:rFonts w:cs="Arial"/>
        </w:rPr>
      </w:pPr>
      <w:r>
        <w:rPr>
          <w:rFonts w:cs="Arial"/>
        </w:rPr>
        <w:t>Sewer</w:t>
      </w:r>
      <w:r w:rsidR="00987B15">
        <w:rPr>
          <w:rFonts w:cs="Arial"/>
        </w:rPr>
        <w:t xml:space="preserve"> and water</w:t>
      </w:r>
      <w:r>
        <w:rPr>
          <w:rFonts w:cs="Arial"/>
        </w:rPr>
        <w:t xml:space="preserve"> </w:t>
      </w:r>
      <w:r w:rsidR="0000591D">
        <w:rPr>
          <w:rFonts w:cs="Arial"/>
        </w:rPr>
        <w:t>pipe relocation</w:t>
      </w:r>
      <w:r>
        <w:rPr>
          <w:rFonts w:cs="Arial"/>
        </w:rPr>
        <w:br/>
        <w:t xml:space="preserve">27 March – </w:t>
      </w:r>
      <w:r w:rsidR="004D0E24">
        <w:rPr>
          <w:rFonts w:cs="Arial"/>
        </w:rPr>
        <w:t xml:space="preserve">9 </w:t>
      </w:r>
      <w:r w:rsidR="0031110C">
        <w:rPr>
          <w:rFonts w:cs="Arial"/>
        </w:rPr>
        <w:t>April</w:t>
      </w:r>
      <w:r>
        <w:rPr>
          <w:rFonts w:cs="Arial"/>
        </w:rPr>
        <w:t xml:space="preserve"> 2020</w:t>
      </w:r>
      <w:r w:rsidR="00C65485" w:rsidRPr="00CA0E15">
        <w:rPr>
          <w:rFonts w:cs="Arial"/>
        </w:rPr>
        <w:t xml:space="preserve"> </w:t>
      </w:r>
      <w:bookmarkStart w:id="2" w:name="_Toc430529461"/>
    </w:p>
    <w:p w14:paraId="0F811624" w14:textId="77777777" w:rsidR="000B6346" w:rsidRDefault="001859EE" w:rsidP="00987B15">
      <w:pPr>
        <w:pStyle w:val="Default"/>
        <w:rPr>
          <w:rFonts w:ascii="Arial" w:eastAsia="Arial" w:hAnsi="Arial" w:cs="Arial"/>
          <w:color w:val="231F20"/>
          <w:sz w:val="19"/>
          <w:szCs w:val="19"/>
          <w:lang w:val="en-US" w:bidi="en-US"/>
        </w:rPr>
      </w:pPr>
      <w:r>
        <w:rPr>
          <w:rFonts w:ascii="Arial" w:eastAsia="Arial" w:hAnsi="Arial" w:cs="Arial"/>
          <w:color w:val="231F20"/>
          <w:sz w:val="19"/>
          <w:szCs w:val="19"/>
          <w:lang w:val="en-US" w:bidi="en-US"/>
        </w:rPr>
        <w:br/>
      </w:r>
      <w:r w:rsidRPr="001D7B11">
        <w:rPr>
          <w:rFonts w:ascii="Arial" w:eastAsia="Arial" w:hAnsi="Arial" w:cs="Arial"/>
          <w:color w:val="231F20"/>
          <w:sz w:val="19"/>
          <w:szCs w:val="19"/>
          <w:lang w:val="en-US" w:bidi="en-US"/>
        </w:rPr>
        <w:t xml:space="preserve">Work is continuing to </w:t>
      </w:r>
      <w:r w:rsidR="00987B15">
        <w:rPr>
          <w:rFonts w:ascii="Arial" w:eastAsia="Arial" w:hAnsi="Arial" w:cs="Arial"/>
          <w:color w:val="231F20"/>
          <w:sz w:val="19"/>
          <w:szCs w:val="19"/>
          <w:lang w:val="en-US" w:bidi="en-US"/>
        </w:rPr>
        <w:t xml:space="preserve">complete the </w:t>
      </w:r>
      <w:r w:rsidRPr="001D7B11">
        <w:rPr>
          <w:rFonts w:ascii="Arial" w:eastAsia="Arial" w:hAnsi="Arial" w:cs="Arial"/>
          <w:color w:val="231F20"/>
          <w:sz w:val="19"/>
          <w:szCs w:val="19"/>
          <w:lang w:val="en-US" w:bidi="en-US"/>
        </w:rPr>
        <w:t>relocat</w:t>
      </w:r>
      <w:r w:rsidR="00987B15">
        <w:rPr>
          <w:rFonts w:ascii="Arial" w:eastAsia="Arial" w:hAnsi="Arial" w:cs="Arial"/>
          <w:color w:val="231F20"/>
          <w:sz w:val="19"/>
          <w:szCs w:val="19"/>
          <w:lang w:val="en-US" w:bidi="en-US"/>
        </w:rPr>
        <w:t>ion of</w:t>
      </w:r>
      <w:r w:rsidRPr="001D7B11">
        <w:rPr>
          <w:rFonts w:ascii="Arial" w:eastAsia="Arial" w:hAnsi="Arial" w:cs="Arial"/>
          <w:color w:val="231F20"/>
          <w:sz w:val="19"/>
          <w:szCs w:val="19"/>
          <w:lang w:val="en-US" w:bidi="en-US"/>
        </w:rPr>
        <w:t xml:space="preserve"> a large underground sewer pipe </w:t>
      </w:r>
      <w:r w:rsidR="00987B15">
        <w:rPr>
          <w:rFonts w:ascii="Arial" w:eastAsia="Arial" w:hAnsi="Arial" w:cs="Arial"/>
          <w:color w:val="231F20"/>
          <w:sz w:val="19"/>
          <w:szCs w:val="19"/>
          <w:lang w:val="en-US" w:bidi="en-US"/>
        </w:rPr>
        <w:t xml:space="preserve">at </w:t>
      </w:r>
      <w:r>
        <w:rPr>
          <w:rFonts w:ascii="Arial" w:eastAsia="Arial" w:hAnsi="Arial" w:cs="Arial"/>
          <w:color w:val="231F20"/>
          <w:sz w:val="19"/>
          <w:szCs w:val="19"/>
          <w:lang w:val="en-US" w:bidi="en-US"/>
        </w:rPr>
        <w:t>the Williamstown Road inbound exit ramp.</w:t>
      </w:r>
    </w:p>
    <w:p w14:paraId="0ECF903F" w14:textId="5185A7BE" w:rsidR="0004024E" w:rsidRDefault="001859EE" w:rsidP="00987B15">
      <w:pPr>
        <w:pStyle w:val="Default"/>
        <w:rPr>
          <w:rFonts w:ascii="Arial" w:eastAsia="Arial" w:hAnsi="Arial" w:cs="Arial"/>
          <w:color w:val="231F20"/>
          <w:sz w:val="19"/>
          <w:szCs w:val="19"/>
          <w:lang w:val="en-US" w:bidi="en-US"/>
        </w:rPr>
      </w:pPr>
      <w:r>
        <w:rPr>
          <w:rFonts w:ascii="Arial" w:eastAsia="Arial" w:hAnsi="Arial" w:cs="Arial"/>
          <w:color w:val="231F20"/>
          <w:sz w:val="19"/>
          <w:szCs w:val="19"/>
          <w:lang w:val="en-US" w:bidi="en-US"/>
        </w:rPr>
        <w:t xml:space="preserve"> </w:t>
      </w:r>
    </w:p>
    <w:p w14:paraId="3792C6E5" w14:textId="75F9E4E8" w:rsidR="00987B15" w:rsidRPr="00987B15" w:rsidRDefault="00987B15" w:rsidP="00987B15">
      <w:pPr>
        <w:pStyle w:val="Default"/>
        <w:rPr>
          <w:lang w:val="en-US" w:bidi="en-US"/>
        </w:rPr>
      </w:pPr>
      <w:r>
        <w:rPr>
          <w:rFonts w:ascii="Arial" w:eastAsia="Arial" w:hAnsi="Arial" w:cs="Arial"/>
          <w:color w:val="231F20"/>
          <w:sz w:val="19"/>
          <w:szCs w:val="19"/>
          <w:lang w:val="en-US" w:bidi="en-US"/>
        </w:rPr>
        <w:t>We’ll also be removing a redundant gas pipe and installing a new water main pipe underneath the freeway</w:t>
      </w:r>
      <w:r w:rsidR="00073528">
        <w:rPr>
          <w:rFonts w:ascii="Arial" w:eastAsia="Arial" w:hAnsi="Arial" w:cs="Arial"/>
          <w:color w:val="231F20"/>
          <w:sz w:val="19"/>
          <w:szCs w:val="19"/>
          <w:lang w:val="en-US" w:bidi="en-US"/>
        </w:rPr>
        <w:t>, at the Williamstown Road inbound exit ramp</w:t>
      </w:r>
      <w:r>
        <w:rPr>
          <w:rFonts w:ascii="Arial" w:eastAsia="Arial" w:hAnsi="Arial" w:cs="Arial"/>
          <w:color w:val="231F20"/>
          <w:sz w:val="19"/>
          <w:szCs w:val="19"/>
          <w:lang w:val="en-US" w:bidi="en-US"/>
        </w:rPr>
        <w:t xml:space="preserve"> and along Williamstown Road. </w:t>
      </w:r>
    </w:p>
    <w:p w14:paraId="2BEDC352" w14:textId="24A23670" w:rsidR="001302A8" w:rsidRDefault="001859EE" w:rsidP="001302A8">
      <w:pPr>
        <w:pStyle w:val="Bullets"/>
        <w:numPr>
          <w:ilvl w:val="0"/>
          <w:numId w:val="0"/>
        </w:numPr>
        <w:ind w:left="360" w:hanging="360"/>
      </w:pPr>
      <w:r w:rsidRPr="00DF4D23">
        <w:rPr>
          <w:rFonts w:eastAsia="Arial"/>
          <w:color w:val="231F20"/>
          <w:szCs w:val="19"/>
          <w:lang w:val="en-US" w:bidi="en-US"/>
        </w:rPr>
        <w:t>These works</w:t>
      </w:r>
      <w:r w:rsidR="0004024E">
        <w:rPr>
          <w:rFonts w:eastAsia="Arial"/>
          <w:color w:val="231F20"/>
          <w:szCs w:val="19"/>
          <w:lang w:val="en-US" w:bidi="en-US"/>
        </w:rPr>
        <w:t xml:space="preserve"> will be 24 hours a day</w:t>
      </w:r>
      <w:r w:rsidR="00DC15EC">
        <w:rPr>
          <w:rFonts w:eastAsia="Arial"/>
          <w:color w:val="231F20"/>
          <w:szCs w:val="19"/>
          <w:lang w:val="en-US" w:bidi="en-US"/>
        </w:rPr>
        <w:t xml:space="preserve"> for two weeks</w:t>
      </w:r>
      <w:r w:rsidR="0004024E">
        <w:rPr>
          <w:rFonts w:eastAsia="Arial"/>
          <w:color w:val="231F20"/>
          <w:szCs w:val="19"/>
          <w:lang w:val="en-US" w:bidi="en-US"/>
        </w:rPr>
        <w:t xml:space="preserve"> and</w:t>
      </w:r>
      <w:r w:rsidRPr="00DF4D23">
        <w:rPr>
          <w:rFonts w:eastAsia="Arial"/>
          <w:color w:val="231F20"/>
          <w:szCs w:val="19"/>
          <w:lang w:val="en-US" w:bidi="en-US"/>
        </w:rPr>
        <w:t xml:space="preserve"> will include: </w:t>
      </w:r>
    </w:p>
    <w:p w14:paraId="01E41AFB" w14:textId="7ADA12E2" w:rsidR="001302A8" w:rsidRDefault="001302A8" w:rsidP="001302A8">
      <w:pPr>
        <w:pStyle w:val="Bullets"/>
      </w:pPr>
      <w:r>
        <w:t>constructing and reinstating the manhole shaft for future access to the sewer pipe</w:t>
      </w:r>
    </w:p>
    <w:p w14:paraId="5B6AF887" w14:textId="665EA562" w:rsidR="001302A8" w:rsidRDefault="001302A8" w:rsidP="001302A8">
      <w:pPr>
        <w:pStyle w:val="Bullets"/>
      </w:pPr>
      <w:r>
        <w:t>digging a trench along the Williamstown Road inbound exit ramp, within the construction site</w:t>
      </w:r>
    </w:p>
    <w:p w14:paraId="37CAD07C" w14:textId="0D37FBF5" w:rsidR="004D0E24" w:rsidRDefault="00BD4965" w:rsidP="00CD007C">
      <w:pPr>
        <w:pStyle w:val="Bullets"/>
      </w:pPr>
      <w:r>
        <w:t>installing the new water main pipe</w:t>
      </w:r>
      <w:r w:rsidR="004D0E24">
        <w:t xml:space="preserve"> </w:t>
      </w:r>
    </w:p>
    <w:p w14:paraId="31CD47C8" w14:textId="0FE6AC81" w:rsidR="001302A8" w:rsidRDefault="00BD4965" w:rsidP="001302A8">
      <w:pPr>
        <w:pStyle w:val="Bullets"/>
      </w:pPr>
      <w:r>
        <w:t>backfilling the trench and reinstating the pavement</w:t>
      </w:r>
    </w:p>
    <w:p w14:paraId="0DF7555F" w14:textId="684E2FEA" w:rsidR="004D12B3" w:rsidRPr="00704B5A" w:rsidRDefault="004D12B3" w:rsidP="00704B5A">
      <w:pPr>
        <w:pStyle w:val="Bullets"/>
        <w:numPr>
          <w:ilvl w:val="0"/>
          <w:numId w:val="0"/>
        </w:numPr>
        <w:rPr>
          <w:rFonts w:eastAsiaTheme="majorEastAsia"/>
          <w:b/>
          <w:color w:val="343645" w:themeColor="text2"/>
          <w:sz w:val="22"/>
        </w:rPr>
      </w:pPr>
      <w:r w:rsidRPr="004D12B3">
        <w:rPr>
          <w:rFonts w:eastAsiaTheme="majorEastAsia"/>
          <w:b/>
          <w:color w:val="343645" w:themeColor="text2"/>
          <w:sz w:val="22"/>
        </w:rPr>
        <w:t xml:space="preserve">Inbound </w:t>
      </w:r>
      <w:r w:rsidR="00DC15EC">
        <w:rPr>
          <w:rFonts w:eastAsiaTheme="majorEastAsia"/>
          <w:b/>
          <w:color w:val="343645" w:themeColor="text2"/>
          <w:sz w:val="22"/>
        </w:rPr>
        <w:t>tunnel entrance</w:t>
      </w:r>
      <w:r w:rsidRPr="004D12B3">
        <w:rPr>
          <w:rFonts w:eastAsiaTheme="majorEastAsia"/>
          <w:b/>
          <w:color w:val="343645" w:themeColor="text2"/>
          <w:sz w:val="22"/>
        </w:rPr>
        <w:t xml:space="preserve"> beam </w:t>
      </w:r>
      <w:r w:rsidR="00DC15EC">
        <w:rPr>
          <w:rFonts w:eastAsiaTheme="majorEastAsia"/>
          <w:b/>
          <w:color w:val="343645" w:themeColor="text2"/>
          <w:sz w:val="22"/>
        </w:rPr>
        <w:t>installation</w:t>
      </w:r>
      <w:r>
        <w:rPr>
          <w:rFonts w:eastAsiaTheme="majorEastAsia"/>
          <w:b/>
          <w:color w:val="343645" w:themeColor="text2"/>
          <w:sz w:val="22"/>
        </w:rPr>
        <w:br/>
      </w:r>
      <w:r w:rsidR="007C20BA">
        <w:rPr>
          <w:rFonts w:eastAsiaTheme="majorEastAsia"/>
          <w:b/>
          <w:color w:val="343645" w:themeColor="text2"/>
          <w:sz w:val="22"/>
        </w:rPr>
        <w:t xml:space="preserve">From </w:t>
      </w:r>
      <w:r>
        <w:rPr>
          <w:rFonts w:eastAsiaTheme="majorEastAsia"/>
          <w:b/>
          <w:color w:val="343645" w:themeColor="text2"/>
          <w:sz w:val="22"/>
        </w:rPr>
        <w:t>2</w:t>
      </w:r>
      <w:r w:rsidR="007C20BA">
        <w:rPr>
          <w:rFonts w:eastAsiaTheme="majorEastAsia"/>
          <w:b/>
          <w:color w:val="343645" w:themeColor="text2"/>
          <w:sz w:val="22"/>
        </w:rPr>
        <w:t>6</w:t>
      </w:r>
      <w:r>
        <w:rPr>
          <w:rFonts w:eastAsiaTheme="majorEastAsia"/>
          <w:b/>
          <w:color w:val="343645" w:themeColor="text2"/>
          <w:sz w:val="22"/>
        </w:rPr>
        <w:t xml:space="preserve"> March </w:t>
      </w:r>
      <w:r w:rsidR="007C20BA">
        <w:rPr>
          <w:rFonts w:eastAsiaTheme="majorEastAsia"/>
          <w:b/>
          <w:color w:val="343645" w:themeColor="text2"/>
          <w:sz w:val="22"/>
        </w:rPr>
        <w:t>2020</w:t>
      </w:r>
      <w:r w:rsidR="007C20BA">
        <w:rPr>
          <w:rFonts w:eastAsiaTheme="majorEastAsia"/>
          <w:b/>
          <w:color w:val="343645" w:themeColor="text2"/>
          <w:sz w:val="22"/>
        </w:rPr>
        <w:br/>
      </w:r>
      <w:r w:rsidR="00BD4965">
        <w:br/>
      </w:r>
      <w:r>
        <w:t xml:space="preserve">Work is also progressing </w:t>
      </w:r>
      <w:r w:rsidR="0004024E">
        <w:t xml:space="preserve">at </w:t>
      </w:r>
      <w:r>
        <w:t xml:space="preserve">the inbound </w:t>
      </w:r>
      <w:r w:rsidR="000B6346">
        <w:t>tunnel entrance</w:t>
      </w:r>
      <w:r>
        <w:t>. From</w:t>
      </w:r>
      <w:r w:rsidR="007C20BA">
        <w:t xml:space="preserve"> Thursday</w:t>
      </w:r>
      <w:r>
        <w:t xml:space="preserve"> </w:t>
      </w:r>
      <w:r w:rsidR="007C20BA">
        <w:t>26</w:t>
      </w:r>
      <w:r w:rsidR="00351C71">
        <w:t xml:space="preserve"> </w:t>
      </w:r>
      <w:r w:rsidR="007C20BA">
        <w:t xml:space="preserve">March, </w:t>
      </w:r>
      <w:r>
        <w:t xml:space="preserve">we will start installing beams to form the roof of the </w:t>
      </w:r>
      <w:r w:rsidR="00DC15EC">
        <w:t>tunnel</w:t>
      </w:r>
      <w:r w:rsidR="00471881">
        <w:t>’</w:t>
      </w:r>
      <w:r w:rsidR="00DC15EC">
        <w:t xml:space="preserve">s </w:t>
      </w:r>
      <w:r>
        <w:t xml:space="preserve">entrance. </w:t>
      </w:r>
      <w:r w:rsidR="00704B5A">
        <w:br/>
      </w:r>
      <w:r w:rsidR="00704B5A">
        <w:rPr>
          <w:rFonts w:eastAsia="Arial"/>
          <w:color w:val="231F20"/>
          <w:szCs w:val="19"/>
          <w:lang w:val="en-US" w:bidi="en-US"/>
        </w:rPr>
        <w:br/>
      </w:r>
      <w:r w:rsidRPr="004D12B3">
        <w:rPr>
          <w:rFonts w:eastAsia="Arial"/>
          <w:color w:val="231F20"/>
          <w:szCs w:val="19"/>
          <w:lang w:val="en-US" w:bidi="en-US"/>
        </w:rPr>
        <w:t xml:space="preserve">Installation works will be carried out </w:t>
      </w:r>
      <w:r w:rsidR="0004024E">
        <w:rPr>
          <w:rFonts w:eastAsia="Arial"/>
          <w:color w:val="231F20"/>
          <w:szCs w:val="19"/>
          <w:lang w:val="en-US" w:bidi="en-US"/>
        </w:rPr>
        <w:t xml:space="preserve">during the day, </w:t>
      </w:r>
      <w:r w:rsidRPr="004D12B3">
        <w:rPr>
          <w:rFonts w:eastAsia="Arial"/>
          <w:color w:val="231F20"/>
          <w:szCs w:val="19"/>
          <w:lang w:val="en-US" w:bidi="en-US"/>
        </w:rPr>
        <w:t xml:space="preserve">however, the large oversized deliveries for the beams will arrive to site at night to </w:t>
      </w:r>
      <w:proofErr w:type="spellStart"/>
      <w:r w:rsidRPr="004D12B3">
        <w:rPr>
          <w:rFonts w:eastAsia="Arial"/>
          <w:color w:val="231F20"/>
          <w:szCs w:val="19"/>
          <w:lang w:val="en-US" w:bidi="en-US"/>
        </w:rPr>
        <w:t>minimise</w:t>
      </w:r>
      <w:proofErr w:type="spellEnd"/>
      <w:r w:rsidRPr="004D12B3">
        <w:rPr>
          <w:rFonts w:eastAsia="Arial"/>
          <w:color w:val="231F20"/>
          <w:szCs w:val="19"/>
          <w:lang w:val="en-US" w:bidi="en-US"/>
        </w:rPr>
        <w:t xml:space="preserve"> traffic disruption. Works at night are not expected to be noisy. </w:t>
      </w:r>
    </w:p>
    <w:p w14:paraId="2B479D59" w14:textId="15A52464" w:rsidR="001302A8" w:rsidRDefault="001302A8" w:rsidP="004D12B3">
      <w:pPr>
        <w:pStyle w:val="Bullets"/>
        <w:numPr>
          <w:ilvl w:val="0"/>
          <w:numId w:val="0"/>
        </w:numPr>
      </w:pPr>
    </w:p>
    <w:p w14:paraId="0BC96CA8" w14:textId="072EDD55" w:rsidR="001859EE" w:rsidRPr="00DF4D23" w:rsidRDefault="001859EE" w:rsidP="001859EE">
      <w:pPr>
        <w:pStyle w:val="Default"/>
        <w:rPr>
          <w:rFonts w:ascii="Arial" w:eastAsia="Arial" w:hAnsi="Arial" w:cs="Arial"/>
          <w:color w:val="231F20"/>
          <w:sz w:val="19"/>
          <w:szCs w:val="19"/>
          <w:lang w:val="en-US" w:bidi="en-US"/>
        </w:rPr>
      </w:pPr>
    </w:p>
    <w:bookmarkEnd w:id="2"/>
    <w:p w14:paraId="34E10F43" w14:textId="788A4B9A" w:rsidR="00C65485" w:rsidRPr="006E18AA" w:rsidRDefault="006E18AA" w:rsidP="006E18AA">
      <w:pPr>
        <w:pStyle w:val="Bullets"/>
        <w:numPr>
          <w:ilvl w:val="0"/>
          <w:numId w:val="0"/>
        </w:numPr>
        <w:ind w:left="360" w:hanging="360"/>
        <w:rPr>
          <w:b/>
        </w:rPr>
      </w:pPr>
      <w:r w:rsidRPr="006E18AA">
        <w:rPr>
          <w:b/>
        </w:rPr>
        <w:lastRenderedPageBreak/>
        <w:t xml:space="preserve">See map for </w:t>
      </w:r>
      <w:r w:rsidR="0004024E">
        <w:rPr>
          <w:b/>
        </w:rPr>
        <w:t>location of works</w:t>
      </w:r>
    </w:p>
    <w:p w14:paraId="33BFAB82" w14:textId="3C07A1DC" w:rsidR="00C65485" w:rsidRDefault="001302A8" w:rsidP="00C65485">
      <w:pPr>
        <w:rPr>
          <w:rFonts w:cs="Arial"/>
        </w:rPr>
      </w:pPr>
      <w:r>
        <w:rPr>
          <w:rFonts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43D8A60" wp14:editId="53D58A06">
            <wp:simplePos x="0" y="0"/>
            <wp:positionH relativeFrom="margin">
              <wp:posOffset>17780</wp:posOffset>
            </wp:positionH>
            <wp:positionV relativeFrom="paragraph">
              <wp:posOffset>169545</wp:posOffset>
            </wp:positionV>
            <wp:extent cx="5296535" cy="39662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ft map - Williamstsown Rd 24 7 work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AA">
        <w:rPr>
          <w:rFonts w:cs="Arial"/>
          <w:noProof/>
          <w:lang w:eastAsia="en-AU"/>
        </w:rPr>
        <w:br/>
      </w:r>
    </w:p>
    <w:p w14:paraId="17419FC5" w14:textId="39E31466" w:rsidR="00B25208" w:rsidRDefault="00B25208" w:rsidP="00C65485">
      <w:pPr>
        <w:rPr>
          <w:rFonts w:cs="Arial"/>
        </w:rPr>
      </w:pPr>
    </w:p>
    <w:p w14:paraId="57926C37" w14:textId="274E5EB0" w:rsidR="00673B45" w:rsidRPr="00673B45" w:rsidRDefault="00673B45" w:rsidP="00673B45">
      <w:pPr>
        <w:rPr>
          <w:rFonts w:cs="Arial"/>
        </w:rPr>
      </w:pPr>
    </w:p>
    <w:p w14:paraId="04933E36" w14:textId="1FC660E8" w:rsidR="00673B45" w:rsidRPr="00673B45" w:rsidRDefault="00673B45" w:rsidP="00673B45">
      <w:pPr>
        <w:rPr>
          <w:rFonts w:cs="Arial"/>
        </w:rPr>
      </w:pPr>
    </w:p>
    <w:p w14:paraId="18805C1B" w14:textId="0F5A37A7" w:rsidR="00673B45" w:rsidRPr="00673B45" w:rsidRDefault="00673B45" w:rsidP="00673B45">
      <w:pPr>
        <w:rPr>
          <w:rFonts w:cs="Arial"/>
        </w:rPr>
      </w:pPr>
    </w:p>
    <w:p w14:paraId="1315ABDB" w14:textId="416EAE26" w:rsidR="00673B45" w:rsidRPr="00673B45" w:rsidRDefault="00673B45" w:rsidP="00673B45">
      <w:pPr>
        <w:rPr>
          <w:rFonts w:cs="Arial"/>
        </w:rPr>
      </w:pPr>
    </w:p>
    <w:p w14:paraId="4E1BCD7B" w14:textId="1BA6D42F" w:rsidR="00673B45" w:rsidRPr="00673B45" w:rsidRDefault="00673B45" w:rsidP="00673B45">
      <w:pPr>
        <w:rPr>
          <w:rFonts w:cs="Arial"/>
        </w:rPr>
      </w:pPr>
    </w:p>
    <w:p w14:paraId="6A26C326" w14:textId="6C196BDC" w:rsidR="00673B45" w:rsidRPr="00673B45" w:rsidRDefault="00673B45" w:rsidP="00673B45">
      <w:pPr>
        <w:rPr>
          <w:rFonts w:cs="Arial"/>
        </w:rPr>
      </w:pPr>
    </w:p>
    <w:p w14:paraId="264BB5B5" w14:textId="4186B20D" w:rsidR="00673B45" w:rsidRPr="00673B45" w:rsidRDefault="00673B45" w:rsidP="00673B45">
      <w:pPr>
        <w:rPr>
          <w:rFonts w:cs="Arial"/>
        </w:rPr>
      </w:pPr>
    </w:p>
    <w:p w14:paraId="676979A2" w14:textId="546C1EAE" w:rsidR="00673B45" w:rsidRPr="00673B45" w:rsidRDefault="00673B45" w:rsidP="00673B45">
      <w:pPr>
        <w:rPr>
          <w:rFonts w:cs="Arial"/>
        </w:rPr>
      </w:pPr>
    </w:p>
    <w:p w14:paraId="52E1E974" w14:textId="3FC5E4BA" w:rsidR="00673B45" w:rsidRPr="00673B45" w:rsidRDefault="00673B45" w:rsidP="00673B45">
      <w:pPr>
        <w:rPr>
          <w:rFonts w:cs="Arial"/>
        </w:rPr>
      </w:pPr>
    </w:p>
    <w:p w14:paraId="25E48864" w14:textId="4B512F7B" w:rsidR="00673B45" w:rsidRPr="00673B45" w:rsidRDefault="00673B45" w:rsidP="00673B45">
      <w:pPr>
        <w:rPr>
          <w:rFonts w:cs="Arial"/>
        </w:rPr>
      </w:pPr>
    </w:p>
    <w:p w14:paraId="049762A5" w14:textId="3EB00911" w:rsidR="00673B45" w:rsidRPr="00673B45" w:rsidRDefault="00673B45" w:rsidP="00673B45">
      <w:pPr>
        <w:rPr>
          <w:rFonts w:cs="Arial"/>
        </w:rPr>
      </w:pPr>
    </w:p>
    <w:p w14:paraId="0258A2B4" w14:textId="1D66787C" w:rsidR="00673B45" w:rsidRDefault="00673B45" w:rsidP="00673B45">
      <w:pPr>
        <w:rPr>
          <w:rFonts w:cs="Arial"/>
        </w:rPr>
      </w:pPr>
    </w:p>
    <w:p w14:paraId="56D6B6C3" w14:textId="421CE491" w:rsidR="00673B45" w:rsidRPr="00451529" w:rsidRDefault="00673B45" w:rsidP="00673B45">
      <w:pPr>
        <w:pStyle w:val="Pa3"/>
        <w:spacing w:before="220" w:after="40"/>
        <w:rPr>
          <w:rFonts w:ascii="Arial" w:eastAsia="Arial" w:hAnsi="Arial" w:cs="Arial"/>
          <w:b/>
          <w:bCs/>
          <w:color w:val="424250"/>
          <w:sz w:val="22"/>
          <w:szCs w:val="22"/>
          <w:lang w:val="en-US" w:bidi="en-US"/>
        </w:rPr>
      </w:pPr>
      <w:r>
        <w:rPr>
          <w:rFonts w:cs="Arial"/>
        </w:rPr>
        <w:br/>
      </w:r>
      <w:r w:rsidR="006B66A3">
        <w:rPr>
          <w:rFonts w:ascii="Arial" w:eastAsia="Arial" w:hAnsi="Arial" w:cs="Arial"/>
          <w:b/>
          <w:bCs/>
          <w:color w:val="424250"/>
          <w:sz w:val="22"/>
          <w:szCs w:val="22"/>
          <w:lang w:val="en-US" w:bidi="en-US"/>
        </w:rPr>
        <w:br/>
      </w:r>
      <w:r w:rsidRPr="00451529">
        <w:rPr>
          <w:rFonts w:ascii="Arial" w:eastAsia="Arial" w:hAnsi="Arial" w:cs="Arial"/>
          <w:b/>
          <w:bCs/>
          <w:color w:val="424250"/>
          <w:sz w:val="22"/>
          <w:szCs w:val="22"/>
          <w:lang w:val="en-US" w:bidi="en-US"/>
        </w:rPr>
        <w:t xml:space="preserve">What to expect during these </w:t>
      </w:r>
      <w:proofErr w:type="gramStart"/>
      <w:r w:rsidRPr="00451529">
        <w:rPr>
          <w:rFonts w:ascii="Arial" w:eastAsia="Arial" w:hAnsi="Arial" w:cs="Arial"/>
          <w:b/>
          <w:bCs/>
          <w:color w:val="424250"/>
          <w:sz w:val="22"/>
          <w:szCs w:val="22"/>
          <w:lang w:val="en-US" w:bidi="en-US"/>
        </w:rPr>
        <w:t>works:</w:t>
      </w:r>
      <w:proofErr w:type="gramEnd"/>
      <w:r w:rsidRPr="00451529">
        <w:rPr>
          <w:rFonts w:ascii="Arial" w:eastAsia="Arial" w:hAnsi="Arial" w:cs="Arial"/>
          <w:b/>
          <w:bCs/>
          <w:color w:val="424250"/>
          <w:sz w:val="22"/>
          <w:szCs w:val="22"/>
          <w:lang w:val="en-US" w:bidi="en-US"/>
        </w:rPr>
        <w:t xml:space="preserve"> </w:t>
      </w:r>
    </w:p>
    <w:p w14:paraId="062E4C55" w14:textId="590826A2" w:rsidR="00673B45" w:rsidRDefault="00673B45" w:rsidP="007F10B7">
      <w:pPr>
        <w:pStyle w:val="Bullets"/>
      </w:pPr>
      <w:r w:rsidRPr="007F10B7">
        <w:t xml:space="preserve">work will be completed behind safety barriers </w:t>
      </w:r>
    </w:p>
    <w:p w14:paraId="3933052A" w14:textId="7473DC9F" w:rsidR="00673B45" w:rsidRPr="007F10B7" w:rsidRDefault="00673B45" w:rsidP="007F10B7">
      <w:pPr>
        <w:pStyle w:val="Bullets"/>
      </w:pPr>
      <w:r w:rsidRPr="007F10B7">
        <w:t xml:space="preserve">construction vehicles including excavators, water trucks and concrete trucks will be moving in and out of the work areas via our access routes </w:t>
      </w:r>
    </w:p>
    <w:p w14:paraId="1385B9D3" w14:textId="44C5D471" w:rsidR="00673B45" w:rsidRPr="007F10B7" w:rsidRDefault="00673B45" w:rsidP="00DC15EC">
      <w:pPr>
        <w:pStyle w:val="Bullets"/>
      </w:pPr>
      <w:r w:rsidRPr="007F10B7">
        <w:t>construction noise from work activities including machinery and trucks which will increase at times while we dig the trenches</w:t>
      </w:r>
      <w:r w:rsidR="0004024E">
        <w:t xml:space="preserve"> and work at night</w:t>
      </w:r>
    </w:p>
    <w:p w14:paraId="0C367DFE" w14:textId="6C835C23" w:rsidR="00673B45" w:rsidRPr="007F10B7" w:rsidRDefault="00673B45" w:rsidP="007F10B7">
      <w:pPr>
        <w:pStyle w:val="Bullets"/>
      </w:pPr>
      <w:r w:rsidRPr="007F10B7">
        <w:t xml:space="preserve">water spray trucks and road sweepers will be used to manage dust and dirt during works, and trucks removing dirt and rock from the site will be covered </w:t>
      </w:r>
    </w:p>
    <w:p w14:paraId="17788C20" w14:textId="1EFC012D" w:rsidR="00673B45" w:rsidRPr="007F10B7" w:rsidRDefault="00673B45" w:rsidP="007F10B7">
      <w:pPr>
        <w:pStyle w:val="Bullets"/>
      </w:pPr>
      <w:r w:rsidRPr="007F10B7">
        <w:t>traffic changes including ramp, lane and road closures will be required</w:t>
      </w:r>
      <w:r w:rsidR="0004024E">
        <w:t>. S</w:t>
      </w:r>
      <w:r w:rsidRPr="007F10B7">
        <w:t xml:space="preserve">igned detours will be in place. </w:t>
      </w:r>
    </w:p>
    <w:p w14:paraId="06A46E83" w14:textId="77777777" w:rsidR="00673B45" w:rsidRPr="00451529" w:rsidRDefault="00673B45" w:rsidP="00673B45">
      <w:pPr>
        <w:pStyle w:val="Default"/>
        <w:rPr>
          <w:rFonts w:ascii="Arial" w:eastAsia="Arial" w:hAnsi="Arial" w:cs="Arial"/>
          <w:color w:val="231F20"/>
          <w:sz w:val="19"/>
          <w:szCs w:val="19"/>
          <w:lang w:val="en-US" w:bidi="en-US"/>
        </w:rPr>
      </w:pPr>
    </w:p>
    <w:p w14:paraId="587357FB" w14:textId="28BEFC54" w:rsidR="0004024E" w:rsidRPr="006B66A3" w:rsidRDefault="00673B45" w:rsidP="006B66A3">
      <w:pPr>
        <w:pStyle w:val="Pa0"/>
        <w:spacing w:before="40" w:after="100"/>
        <w:rPr>
          <w:rFonts w:ascii="Arial" w:eastAsia="Arial" w:hAnsi="Arial" w:cs="Arial"/>
          <w:color w:val="231F20"/>
          <w:sz w:val="19"/>
          <w:szCs w:val="19"/>
          <w:lang w:val="en-US" w:bidi="en-US"/>
        </w:rPr>
      </w:pPr>
      <w:r w:rsidRPr="00451529">
        <w:rPr>
          <w:rFonts w:ascii="Arial" w:eastAsia="Arial" w:hAnsi="Arial" w:cs="Arial"/>
          <w:color w:val="231F20"/>
          <w:sz w:val="19"/>
          <w:szCs w:val="19"/>
          <w:lang w:val="en-US" w:bidi="en-US"/>
        </w:rPr>
        <w:t>For the latest updates visit westgatetunnelproject.vic.gov.au/</w:t>
      </w:r>
      <w:proofErr w:type="spellStart"/>
      <w:r w:rsidRPr="00451529">
        <w:rPr>
          <w:rFonts w:ascii="Arial" w:eastAsia="Arial" w:hAnsi="Arial" w:cs="Arial"/>
          <w:color w:val="231F20"/>
          <w:sz w:val="19"/>
          <w:szCs w:val="19"/>
          <w:lang w:val="en-US" w:bidi="en-US"/>
        </w:rPr>
        <w:t>traveldisruptions</w:t>
      </w:r>
      <w:proofErr w:type="spellEnd"/>
      <w:r w:rsidRPr="00451529">
        <w:rPr>
          <w:rFonts w:ascii="Arial" w:eastAsia="Arial" w:hAnsi="Arial" w:cs="Arial"/>
          <w:color w:val="231F20"/>
          <w:sz w:val="19"/>
          <w:szCs w:val="19"/>
          <w:lang w:val="en-US" w:bidi="en-US"/>
        </w:rPr>
        <w:t xml:space="preserve">. </w:t>
      </w:r>
    </w:p>
    <w:p w14:paraId="736A7BD6" w14:textId="77777777" w:rsidR="006B66A3" w:rsidRDefault="006B66A3" w:rsidP="00673B45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</w:p>
    <w:p w14:paraId="4945FA9F" w14:textId="3337815C" w:rsidR="0004024E" w:rsidRDefault="00673B45" w:rsidP="00673B45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  <w:r w:rsidRPr="00B81AD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Please note that works may be rescheduled in the event of bad weather or other unavoidable circumstances. </w:t>
      </w:r>
    </w:p>
    <w:p w14:paraId="033277A1" w14:textId="3BABFB3E" w:rsidR="00673B45" w:rsidRPr="00B81AD9" w:rsidRDefault="006B66A3" w:rsidP="00673B45">
      <w:pPr>
        <w:pStyle w:val="Heading1"/>
        <w:spacing w:before="1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  <w:r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br/>
      </w:r>
      <w:r w:rsidR="00673B45" w:rsidRPr="00B81AD9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>For updates and more information about our works please visit westgatetunnel.vic.gov.au</w:t>
      </w:r>
      <w:r w:rsidR="005573E7"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  <w:t xml:space="preserve"> or call 1800 105 105</w:t>
      </w:r>
    </w:p>
    <w:p w14:paraId="7F28DD26" w14:textId="5DB9032C" w:rsidR="00673B45" w:rsidRPr="00673B45" w:rsidRDefault="00673B45" w:rsidP="00673B45">
      <w:pPr>
        <w:rPr>
          <w:rFonts w:cs="Arial"/>
        </w:rPr>
      </w:pPr>
    </w:p>
    <w:sectPr w:rsidR="00673B45" w:rsidRPr="00673B45" w:rsidSect="00B25208">
      <w:headerReference w:type="default" r:id="rId16"/>
      <w:type w:val="continuous"/>
      <w:pgSz w:w="11906" w:h="16838"/>
      <w:pgMar w:top="993" w:right="1558" w:bottom="1440" w:left="1276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FB4C" w14:textId="77777777" w:rsidR="0067286E" w:rsidRDefault="0067286E" w:rsidP="00DC10B3">
      <w:pPr>
        <w:spacing w:after="0"/>
      </w:pPr>
      <w:r>
        <w:separator/>
      </w:r>
    </w:p>
    <w:p w14:paraId="6C1678F6" w14:textId="77777777" w:rsidR="0067286E" w:rsidRDefault="0067286E"/>
  </w:endnote>
  <w:endnote w:type="continuationSeparator" w:id="0">
    <w:p w14:paraId="5A3CADFB" w14:textId="77777777" w:rsidR="0067286E" w:rsidRDefault="0067286E" w:rsidP="00DC10B3">
      <w:pPr>
        <w:spacing w:after="0"/>
      </w:pPr>
      <w:r>
        <w:continuationSeparator/>
      </w:r>
    </w:p>
    <w:p w14:paraId="64EB6394" w14:textId="77777777" w:rsidR="0067286E" w:rsidRDefault="00672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C65485" w:rsidRPr="00AA2236" w14:paraId="7B266145" w14:textId="77777777" w:rsidTr="001D62C5">
      <w:trPr>
        <w:trHeight w:val="294"/>
      </w:trPr>
      <w:tc>
        <w:tcPr>
          <w:tcW w:w="3224" w:type="dxa"/>
        </w:tcPr>
        <w:p w14:paraId="48924A1B" w14:textId="6D03FCF1" w:rsidR="00C65485" w:rsidRPr="00386F73" w:rsidRDefault="00C65485" w:rsidP="00C65485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2F31D343" w14:textId="77777777" w:rsidR="00C65485" w:rsidRPr="000616B4" w:rsidRDefault="00C65485" w:rsidP="00C65485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258288EF" w14:textId="77777777" w:rsidR="00C65485" w:rsidRPr="00AA2236" w:rsidRDefault="00C65485" w:rsidP="00C65485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1BCBF944" w14:textId="77777777" w:rsidR="00C65485" w:rsidRPr="00AA2236" w:rsidRDefault="00C65485" w:rsidP="00C65485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C65485" w:rsidRPr="00AA2236" w14:paraId="4DAC4EE3" w14:textId="77777777" w:rsidTr="001D62C5">
      <w:trPr>
        <w:trHeight w:val="475"/>
      </w:trPr>
      <w:tc>
        <w:tcPr>
          <w:tcW w:w="3224" w:type="dxa"/>
          <w:vMerge w:val="restart"/>
        </w:tcPr>
        <w:p w14:paraId="0A6E7D6B" w14:textId="41593E9C" w:rsidR="00C65485" w:rsidRPr="00B25208" w:rsidRDefault="00C65485" w:rsidP="00B25208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="00AA3153"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 w:rsidR="00AA3153"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br/>
          </w:r>
          <w:r w:rsidR="00AA3153"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4BCE3455" w14:textId="77777777" w:rsidR="00C65485" w:rsidRPr="006B3970" w:rsidRDefault="00C65485" w:rsidP="00C65485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313DFE2A" wp14:editId="671DCAC9">
                <wp:extent cx="965045" cy="115906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40BA7F24" w14:textId="77777777" w:rsidR="00C65485" w:rsidRPr="006B3970" w:rsidRDefault="00C65485" w:rsidP="00C65485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C65485" w:rsidRPr="00AA2236" w14:paraId="411ECD67" w14:textId="77777777" w:rsidTr="001D62C5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665B26E4" w14:textId="77777777" w:rsidR="00C65485" w:rsidRPr="006B3970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51EFDD28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35401796" wp14:editId="76D5B22D">
                <wp:extent cx="222604" cy="222604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7A0429AF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CC01CD5" w14:textId="77777777" w:rsidR="00C65485" w:rsidRDefault="00C65485" w:rsidP="00C65485">
          <w:pPr>
            <w:jc w:val="right"/>
            <w:rPr>
              <w:sz w:val="14"/>
              <w:szCs w:val="14"/>
            </w:rPr>
          </w:pPr>
        </w:p>
      </w:tc>
    </w:tr>
    <w:tr w:rsidR="00C65485" w:rsidRPr="00AA2236" w14:paraId="29BC20AB" w14:textId="77777777" w:rsidTr="001D62C5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55BAC0D5" w14:textId="77777777" w:rsidR="00C65485" w:rsidRPr="00AA2236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7884921A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10E5F0C6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6052A32F" w14:textId="77777777" w:rsidR="00C65485" w:rsidRPr="006B3970" w:rsidRDefault="00C65485" w:rsidP="00C65485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5D4B384F" w14:textId="77777777" w:rsidR="00C65485" w:rsidRPr="00AA2236" w:rsidRDefault="00C65485" w:rsidP="00C65485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38B9FBEA" w14:textId="0C477F90" w:rsidR="00BF2778" w:rsidRDefault="00C24C84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5680" behindDoc="1" locked="0" layoutInCell="0" allowOverlap="1" wp14:anchorId="37464EAA" wp14:editId="6A502F5E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B2520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C01D" w14:textId="6E7B3E77" w:rsidR="00214763" w:rsidRPr="001A6B42" w:rsidRDefault="00B33342" w:rsidP="005B154D">
    <w:pPr>
      <w:pStyle w:val="Footer"/>
      <w:ind w:left="-1440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7BA1508" wp14:editId="3B2B1C0F">
          <wp:simplePos x="0" y="0"/>
          <wp:positionH relativeFrom="column">
            <wp:posOffset>-810260</wp:posOffset>
          </wp:positionH>
          <wp:positionV relativeFrom="page">
            <wp:posOffset>8460740</wp:posOffset>
          </wp:positionV>
          <wp:extent cx="7810122" cy="22323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CG1295 Letter to Residents A4_2PP foot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30" cy="223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5059" w14:textId="77777777" w:rsidR="0067286E" w:rsidRDefault="0067286E" w:rsidP="00DC10B3">
      <w:pPr>
        <w:spacing w:after="0"/>
      </w:pPr>
      <w:bookmarkStart w:id="0" w:name="_Hlk485156543"/>
      <w:bookmarkEnd w:id="0"/>
      <w:r>
        <w:separator/>
      </w:r>
    </w:p>
    <w:p w14:paraId="7D102EEF" w14:textId="77777777" w:rsidR="0067286E" w:rsidRDefault="0067286E"/>
  </w:footnote>
  <w:footnote w:type="continuationSeparator" w:id="0">
    <w:p w14:paraId="30884892" w14:textId="77777777" w:rsidR="0067286E" w:rsidRDefault="0067286E" w:rsidP="00DC10B3">
      <w:pPr>
        <w:spacing w:after="0"/>
      </w:pPr>
      <w:r>
        <w:continuationSeparator/>
      </w:r>
    </w:p>
    <w:p w14:paraId="7754CDE5" w14:textId="77777777" w:rsidR="0067286E" w:rsidRDefault="006728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6230" w14:textId="273FAA1B" w:rsidR="00424372" w:rsidRDefault="00470692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6D85A1" wp14:editId="46C8E898">
          <wp:simplePos x="0" y="0"/>
          <wp:positionH relativeFrom="page">
            <wp:posOffset>5010121</wp:posOffset>
          </wp:positionH>
          <wp:positionV relativeFrom="page">
            <wp:posOffset>0</wp:posOffset>
          </wp:positionV>
          <wp:extent cx="2545075" cy="1428358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15176" w14:textId="3F0AA1F3" w:rsidR="00214763" w:rsidRDefault="00214763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3742" w14:textId="77777777" w:rsidR="00B25208" w:rsidRDefault="00B25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E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80F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4F3927"/>
    <w:multiLevelType w:val="multilevel"/>
    <w:tmpl w:val="5262EEF0"/>
    <w:numStyleLink w:val="LXRANumberedList"/>
  </w:abstractNum>
  <w:abstractNum w:abstractNumId="13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29" w15:restartNumberingAfterBreak="0">
    <w:nsid w:val="44B35985"/>
    <w:multiLevelType w:val="multilevel"/>
    <w:tmpl w:val="B176A4CE"/>
    <w:numStyleLink w:val="LXRABullets"/>
  </w:abstractNum>
  <w:abstractNum w:abstractNumId="30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820AEB"/>
    <w:multiLevelType w:val="multilevel"/>
    <w:tmpl w:val="B176A4CE"/>
    <w:numStyleLink w:val="LXRABullets"/>
  </w:abstractNum>
  <w:abstractNum w:abstractNumId="34" w15:restartNumberingAfterBreak="0">
    <w:nsid w:val="605B3B5F"/>
    <w:multiLevelType w:val="hybridMultilevel"/>
    <w:tmpl w:val="F52E6AE0"/>
    <w:lvl w:ilvl="0" w:tplc="8C3C72C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6" w15:restartNumberingAfterBreak="0">
    <w:nsid w:val="6FF56293"/>
    <w:multiLevelType w:val="hybridMultilevel"/>
    <w:tmpl w:val="81889D5E"/>
    <w:lvl w:ilvl="0" w:tplc="B9E89A1A">
      <w:start w:val="27"/>
      <w:numFmt w:val="bullet"/>
      <w:lvlText w:val="-"/>
      <w:lvlJc w:val="left"/>
      <w:pPr>
        <w:ind w:left="720" w:hanging="360"/>
      </w:pPr>
      <w:rPr>
        <w:rFonts w:ascii="Europa-Light" w:eastAsiaTheme="minorHAnsi" w:hAnsi="Europa-Light" w:cs="Europa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72BA7"/>
    <w:multiLevelType w:val="hybridMultilevel"/>
    <w:tmpl w:val="D430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0"/>
  </w:num>
  <w:num w:numId="13">
    <w:abstractNumId w:val="19"/>
  </w:num>
  <w:num w:numId="14">
    <w:abstractNumId w:val="17"/>
  </w:num>
  <w:num w:numId="15">
    <w:abstractNumId w:val="14"/>
  </w:num>
  <w:num w:numId="16">
    <w:abstractNumId w:val="30"/>
  </w:num>
  <w:num w:numId="17">
    <w:abstractNumId w:val="13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1"/>
  </w:num>
  <w:num w:numId="22">
    <w:abstractNumId w:val="35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2"/>
  </w:num>
  <w:num w:numId="30">
    <w:abstractNumId w:val="33"/>
  </w:num>
  <w:num w:numId="31">
    <w:abstractNumId w:val="0"/>
  </w:num>
  <w:num w:numId="32">
    <w:abstractNumId w:val="38"/>
  </w:num>
  <w:num w:numId="33">
    <w:abstractNumId w:val="22"/>
  </w:num>
  <w:num w:numId="34">
    <w:abstractNumId w:val="18"/>
  </w:num>
  <w:num w:numId="35">
    <w:abstractNumId w:val="25"/>
  </w:num>
  <w:num w:numId="36">
    <w:abstractNumId w:val="16"/>
  </w:num>
  <w:num w:numId="37">
    <w:abstractNumId w:val="15"/>
  </w:num>
  <w:num w:numId="38">
    <w:abstractNumId w:val="32"/>
  </w:num>
  <w:num w:numId="39">
    <w:abstractNumId w:val="23"/>
  </w:num>
  <w:num w:numId="40">
    <w:abstractNumId w:val="34"/>
  </w:num>
  <w:num w:numId="41">
    <w:abstractNumId w:val="36"/>
  </w:num>
  <w:num w:numId="42">
    <w:abstractNumId w:val="34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0591D"/>
    <w:rsid w:val="00014147"/>
    <w:rsid w:val="0002237F"/>
    <w:rsid w:val="00035231"/>
    <w:rsid w:val="0004024E"/>
    <w:rsid w:val="00043402"/>
    <w:rsid w:val="00047205"/>
    <w:rsid w:val="00047CFA"/>
    <w:rsid w:val="00050902"/>
    <w:rsid w:val="00053DB8"/>
    <w:rsid w:val="00054F6A"/>
    <w:rsid w:val="000616B4"/>
    <w:rsid w:val="0006628E"/>
    <w:rsid w:val="00073528"/>
    <w:rsid w:val="00074A7D"/>
    <w:rsid w:val="000751CD"/>
    <w:rsid w:val="000766BE"/>
    <w:rsid w:val="00090AC5"/>
    <w:rsid w:val="0009234B"/>
    <w:rsid w:val="000A3786"/>
    <w:rsid w:val="000A72A4"/>
    <w:rsid w:val="000A7D48"/>
    <w:rsid w:val="000B3599"/>
    <w:rsid w:val="000B6346"/>
    <w:rsid w:val="000C5973"/>
    <w:rsid w:val="000C66AD"/>
    <w:rsid w:val="000D74C6"/>
    <w:rsid w:val="000D7729"/>
    <w:rsid w:val="000D7AAD"/>
    <w:rsid w:val="000E1FAE"/>
    <w:rsid w:val="000E29BE"/>
    <w:rsid w:val="000E3ECA"/>
    <w:rsid w:val="000E54C9"/>
    <w:rsid w:val="000F6116"/>
    <w:rsid w:val="000F7996"/>
    <w:rsid w:val="001029CF"/>
    <w:rsid w:val="00106518"/>
    <w:rsid w:val="00110432"/>
    <w:rsid w:val="001134D2"/>
    <w:rsid w:val="00116CB6"/>
    <w:rsid w:val="0012483F"/>
    <w:rsid w:val="001302A8"/>
    <w:rsid w:val="00131D77"/>
    <w:rsid w:val="00134D13"/>
    <w:rsid w:val="00151B93"/>
    <w:rsid w:val="00154761"/>
    <w:rsid w:val="001575D4"/>
    <w:rsid w:val="00160D03"/>
    <w:rsid w:val="00173082"/>
    <w:rsid w:val="0017694B"/>
    <w:rsid w:val="001859EE"/>
    <w:rsid w:val="00185F14"/>
    <w:rsid w:val="00192499"/>
    <w:rsid w:val="00196C75"/>
    <w:rsid w:val="001A06E5"/>
    <w:rsid w:val="001A0B71"/>
    <w:rsid w:val="001A579F"/>
    <w:rsid w:val="001A6B42"/>
    <w:rsid w:val="001B2001"/>
    <w:rsid w:val="001B2A7D"/>
    <w:rsid w:val="001B4E88"/>
    <w:rsid w:val="001B7C86"/>
    <w:rsid w:val="001C2B38"/>
    <w:rsid w:val="001C2BF7"/>
    <w:rsid w:val="001C4E34"/>
    <w:rsid w:val="001D2AFC"/>
    <w:rsid w:val="001D3600"/>
    <w:rsid w:val="001E1CB0"/>
    <w:rsid w:val="001E2E84"/>
    <w:rsid w:val="001E5900"/>
    <w:rsid w:val="001E5B82"/>
    <w:rsid w:val="001E71B3"/>
    <w:rsid w:val="001F23BA"/>
    <w:rsid w:val="001F3F7A"/>
    <w:rsid w:val="00214763"/>
    <w:rsid w:val="0022096F"/>
    <w:rsid w:val="00223B9D"/>
    <w:rsid w:val="00233AEF"/>
    <w:rsid w:val="00234412"/>
    <w:rsid w:val="00236364"/>
    <w:rsid w:val="00236983"/>
    <w:rsid w:val="002436AE"/>
    <w:rsid w:val="00251D3B"/>
    <w:rsid w:val="00251DC3"/>
    <w:rsid w:val="00254677"/>
    <w:rsid w:val="00257986"/>
    <w:rsid w:val="00260E7F"/>
    <w:rsid w:val="002747F4"/>
    <w:rsid w:val="002800D7"/>
    <w:rsid w:val="00287495"/>
    <w:rsid w:val="00287BCD"/>
    <w:rsid w:val="00293318"/>
    <w:rsid w:val="00297133"/>
    <w:rsid w:val="00297F0E"/>
    <w:rsid w:val="002C6670"/>
    <w:rsid w:val="002E031A"/>
    <w:rsid w:val="002E44C4"/>
    <w:rsid w:val="002E58C1"/>
    <w:rsid w:val="002F2DC9"/>
    <w:rsid w:val="002F7BB1"/>
    <w:rsid w:val="003055A8"/>
    <w:rsid w:val="00307CF1"/>
    <w:rsid w:val="00310DC2"/>
    <w:rsid w:val="0031110C"/>
    <w:rsid w:val="003176AE"/>
    <w:rsid w:val="00334011"/>
    <w:rsid w:val="003353D7"/>
    <w:rsid w:val="00340899"/>
    <w:rsid w:val="00340C7C"/>
    <w:rsid w:val="0034724F"/>
    <w:rsid w:val="00351C71"/>
    <w:rsid w:val="0036247D"/>
    <w:rsid w:val="003635F6"/>
    <w:rsid w:val="003638A3"/>
    <w:rsid w:val="00363D9B"/>
    <w:rsid w:val="00363E3A"/>
    <w:rsid w:val="003644BF"/>
    <w:rsid w:val="00365402"/>
    <w:rsid w:val="0037110C"/>
    <w:rsid w:val="0038375D"/>
    <w:rsid w:val="0038521A"/>
    <w:rsid w:val="0038601C"/>
    <w:rsid w:val="00386F73"/>
    <w:rsid w:val="003A1172"/>
    <w:rsid w:val="003A7CE2"/>
    <w:rsid w:val="003B148D"/>
    <w:rsid w:val="003B5F22"/>
    <w:rsid w:val="003C02F6"/>
    <w:rsid w:val="003C1035"/>
    <w:rsid w:val="003C118A"/>
    <w:rsid w:val="003C2ED5"/>
    <w:rsid w:val="003C2EF1"/>
    <w:rsid w:val="003C7BFA"/>
    <w:rsid w:val="003D3976"/>
    <w:rsid w:val="003E2C6E"/>
    <w:rsid w:val="003E4443"/>
    <w:rsid w:val="003F2F68"/>
    <w:rsid w:val="003F6974"/>
    <w:rsid w:val="00400EA1"/>
    <w:rsid w:val="0041245A"/>
    <w:rsid w:val="00415FDA"/>
    <w:rsid w:val="004163B4"/>
    <w:rsid w:val="00417545"/>
    <w:rsid w:val="00424372"/>
    <w:rsid w:val="00431D41"/>
    <w:rsid w:val="00437790"/>
    <w:rsid w:val="004408F8"/>
    <w:rsid w:val="00441EA2"/>
    <w:rsid w:val="00443834"/>
    <w:rsid w:val="00457976"/>
    <w:rsid w:val="00470692"/>
    <w:rsid w:val="00471881"/>
    <w:rsid w:val="004718D5"/>
    <w:rsid w:val="00476DDF"/>
    <w:rsid w:val="00480336"/>
    <w:rsid w:val="004813E6"/>
    <w:rsid w:val="0048656F"/>
    <w:rsid w:val="004867BB"/>
    <w:rsid w:val="00495500"/>
    <w:rsid w:val="0049729A"/>
    <w:rsid w:val="004A1846"/>
    <w:rsid w:val="004A2AEC"/>
    <w:rsid w:val="004A45D6"/>
    <w:rsid w:val="004A6F0A"/>
    <w:rsid w:val="004B0674"/>
    <w:rsid w:val="004B23D9"/>
    <w:rsid w:val="004B45C0"/>
    <w:rsid w:val="004B4F12"/>
    <w:rsid w:val="004C7D60"/>
    <w:rsid w:val="004D0E24"/>
    <w:rsid w:val="004D10B7"/>
    <w:rsid w:val="004D12B3"/>
    <w:rsid w:val="004F6997"/>
    <w:rsid w:val="00516520"/>
    <w:rsid w:val="00525440"/>
    <w:rsid w:val="00525E2A"/>
    <w:rsid w:val="00534E9E"/>
    <w:rsid w:val="00536758"/>
    <w:rsid w:val="0053742F"/>
    <w:rsid w:val="00537D4C"/>
    <w:rsid w:val="00545523"/>
    <w:rsid w:val="005505DD"/>
    <w:rsid w:val="0055374E"/>
    <w:rsid w:val="00554646"/>
    <w:rsid w:val="0055631C"/>
    <w:rsid w:val="005573E7"/>
    <w:rsid w:val="00562E39"/>
    <w:rsid w:val="0057051E"/>
    <w:rsid w:val="0057173D"/>
    <w:rsid w:val="0057227E"/>
    <w:rsid w:val="0057409C"/>
    <w:rsid w:val="005750A5"/>
    <w:rsid w:val="005754EA"/>
    <w:rsid w:val="005775CE"/>
    <w:rsid w:val="005851F1"/>
    <w:rsid w:val="005A770E"/>
    <w:rsid w:val="005B154D"/>
    <w:rsid w:val="005B4EE1"/>
    <w:rsid w:val="005C4B71"/>
    <w:rsid w:val="005C5295"/>
    <w:rsid w:val="005C68F1"/>
    <w:rsid w:val="005E28F9"/>
    <w:rsid w:val="005F1273"/>
    <w:rsid w:val="00607EC2"/>
    <w:rsid w:val="00607F50"/>
    <w:rsid w:val="00610B90"/>
    <w:rsid w:val="00614E98"/>
    <w:rsid w:val="00627F58"/>
    <w:rsid w:val="00632010"/>
    <w:rsid w:val="006403BD"/>
    <w:rsid w:val="00647B85"/>
    <w:rsid w:val="00647C9C"/>
    <w:rsid w:val="00651066"/>
    <w:rsid w:val="00664BE0"/>
    <w:rsid w:val="006653F7"/>
    <w:rsid w:val="006666CE"/>
    <w:rsid w:val="0067286E"/>
    <w:rsid w:val="00673B45"/>
    <w:rsid w:val="0068224A"/>
    <w:rsid w:val="00683761"/>
    <w:rsid w:val="00685888"/>
    <w:rsid w:val="00686D62"/>
    <w:rsid w:val="006A369E"/>
    <w:rsid w:val="006A3728"/>
    <w:rsid w:val="006A37D1"/>
    <w:rsid w:val="006A5EE1"/>
    <w:rsid w:val="006A6312"/>
    <w:rsid w:val="006A6BFF"/>
    <w:rsid w:val="006B3970"/>
    <w:rsid w:val="006B483A"/>
    <w:rsid w:val="006B66A3"/>
    <w:rsid w:val="006C100C"/>
    <w:rsid w:val="006C3328"/>
    <w:rsid w:val="006C7357"/>
    <w:rsid w:val="006D761B"/>
    <w:rsid w:val="006E188C"/>
    <w:rsid w:val="006E18AA"/>
    <w:rsid w:val="006E5348"/>
    <w:rsid w:val="006E6155"/>
    <w:rsid w:val="006E62E1"/>
    <w:rsid w:val="00701977"/>
    <w:rsid w:val="0070329C"/>
    <w:rsid w:val="00704B5A"/>
    <w:rsid w:val="007128F5"/>
    <w:rsid w:val="00715F05"/>
    <w:rsid w:val="00720744"/>
    <w:rsid w:val="00722701"/>
    <w:rsid w:val="00731F9A"/>
    <w:rsid w:val="007342E6"/>
    <w:rsid w:val="00734512"/>
    <w:rsid w:val="007404F1"/>
    <w:rsid w:val="0074656C"/>
    <w:rsid w:val="0076323B"/>
    <w:rsid w:val="00763B63"/>
    <w:rsid w:val="00771CD0"/>
    <w:rsid w:val="00775068"/>
    <w:rsid w:val="00776AB0"/>
    <w:rsid w:val="007808A7"/>
    <w:rsid w:val="00785ADA"/>
    <w:rsid w:val="00786FF5"/>
    <w:rsid w:val="007907CC"/>
    <w:rsid w:val="00796BEE"/>
    <w:rsid w:val="007A360D"/>
    <w:rsid w:val="007B5CF1"/>
    <w:rsid w:val="007C20BA"/>
    <w:rsid w:val="007C22C6"/>
    <w:rsid w:val="007C7738"/>
    <w:rsid w:val="007D0091"/>
    <w:rsid w:val="007D1F2B"/>
    <w:rsid w:val="007E01DA"/>
    <w:rsid w:val="007E66A6"/>
    <w:rsid w:val="007E7CC5"/>
    <w:rsid w:val="007F10B7"/>
    <w:rsid w:val="007F3425"/>
    <w:rsid w:val="008031B4"/>
    <w:rsid w:val="00821979"/>
    <w:rsid w:val="00821B7B"/>
    <w:rsid w:val="00821F4C"/>
    <w:rsid w:val="00821FA1"/>
    <w:rsid w:val="008225B6"/>
    <w:rsid w:val="008249DD"/>
    <w:rsid w:val="008428BF"/>
    <w:rsid w:val="00842FEA"/>
    <w:rsid w:val="008530DB"/>
    <w:rsid w:val="00855258"/>
    <w:rsid w:val="008604BB"/>
    <w:rsid w:val="008636E9"/>
    <w:rsid w:val="008657A0"/>
    <w:rsid w:val="00865FD2"/>
    <w:rsid w:val="008741EF"/>
    <w:rsid w:val="00874616"/>
    <w:rsid w:val="00876F26"/>
    <w:rsid w:val="00881655"/>
    <w:rsid w:val="00882EB4"/>
    <w:rsid w:val="00884258"/>
    <w:rsid w:val="00886319"/>
    <w:rsid w:val="00887288"/>
    <w:rsid w:val="00892079"/>
    <w:rsid w:val="008A10A9"/>
    <w:rsid w:val="008A27EB"/>
    <w:rsid w:val="008A2BDA"/>
    <w:rsid w:val="008A6E25"/>
    <w:rsid w:val="008B5FAF"/>
    <w:rsid w:val="008B7E8D"/>
    <w:rsid w:val="008C1C8E"/>
    <w:rsid w:val="008D1DE0"/>
    <w:rsid w:val="008D283C"/>
    <w:rsid w:val="008D2F0D"/>
    <w:rsid w:val="008E44A3"/>
    <w:rsid w:val="008E4A63"/>
    <w:rsid w:val="008F7422"/>
    <w:rsid w:val="008F79BC"/>
    <w:rsid w:val="00904140"/>
    <w:rsid w:val="009044B1"/>
    <w:rsid w:val="00905C25"/>
    <w:rsid w:val="00921FF6"/>
    <w:rsid w:val="00922DE5"/>
    <w:rsid w:val="009255C9"/>
    <w:rsid w:val="0092773E"/>
    <w:rsid w:val="00930457"/>
    <w:rsid w:val="00932DF9"/>
    <w:rsid w:val="00937380"/>
    <w:rsid w:val="00937F35"/>
    <w:rsid w:val="00940939"/>
    <w:rsid w:val="00943AF6"/>
    <w:rsid w:val="00944C05"/>
    <w:rsid w:val="009552B3"/>
    <w:rsid w:val="00957BD2"/>
    <w:rsid w:val="009620D7"/>
    <w:rsid w:val="00966999"/>
    <w:rsid w:val="00967531"/>
    <w:rsid w:val="00971695"/>
    <w:rsid w:val="00976D85"/>
    <w:rsid w:val="00987B15"/>
    <w:rsid w:val="009912AF"/>
    <w:rsid w:val="009943CA"/>
    <w:rsid w:val="00994EE1"/>
    <w:rsid w:val="009A01C8"/>
    <w:rsid w:val="009A7D2A"/>
    <w:rsid w:val="009B012F"/>
    <w:rsid w:val="009B7D26"/>
    <w:rsid w:val="009C03FF"/>
    <w:rsid w:val="009C2F8E"/>
    <w:rsid w:val="009D10E5"/>
    <w:rsid w:val="009D20EC"/>
    <w:rsid w:val="009D7D7F"/>
    <w:rsid w:val="009E745E"/>
    <w:rsid w:val="009E7EF5"/>
    <w:rsid w:val="009F15C5"/>
    <w:rsid w:val="00A01B05"/>
    <w:rsid w:val="00A04327"/>
    <w:rsid w:val="00A1017F"/>
    <w:rsid w:val="00A11370"/>
    <w:rsid w:val="00A11B54"/>
    <w:rsid w:val="00A1217C"/>
    <w:rsid w:val="00A210AE"/>
    <w:rsid w:val="00A2708D"/>
    <w:rsid w:val="00A34E1D"/>
    <w:rsid w:val="00A34FF1"/>
    <w:rsid w:val="00A3636D"/>
    <w:rsid w:val="00A375AB"/>
    <w:rsid w:val="00A43502"/>
    <w:rsid w:val="00A45B0A"/>
    <w:rsid w:val="00A510B3"/>
    <w:rsid w:val="00A523B7"/>
    <w:rsid w:val="00A53858"/>
    <w:rsid w:val="00A61BF2"/>
    <w:rsid w:val="00A70C6D"/>
    <w:rsid w:val="00A81250"/>
    <w:rsid w:val="00A86A6F"/>
    <w:rsid w:val="00A913D5"/>
    <w:rsid w:val="00A91F56"/>
    <w:rsid w:val="00AA187A"/>
    <w:rsid w:val="00AA3153"/>
    <w:rsid w:val="00AA77A0"/>
    <w:rsid w:val="00AA7D3E"/>
    <w:rsid w:val="00AB27E2"/>
    <w:rsid w:val="00AB29C5"/>
    <w:rsid w:val="00AB4EF5"/>
    <w:rsid w:val="00AB634E"/>
    <w:rsid w:val="00AB6FC7"/>
    <w:rsid w:val="00AD2E41"/>
    <w:rsid w:val="00AD6677"/>
    <w:rsid w:val="00AD7795"/>
    <w:rsid w:val="00AD7C6B"/>
    <w:rsid w:val="00AF063C"/>
    <w:rsid w:val="00AF7392"/>
    <w:rsid w:val="00B137C9"/>
    <w:rsid w:val="00B25208"/>
    <w:rsid w:val="00B26F42"/>
    <w:rsid w:val="00B33342"/>
    <w:rsid w:val="00B35F67"/>
    <w:rsid w:val="00B414BB"/>
    <w:rsid w:val="00B41DBB"/>
    <w:rsid w:val="00B46CDD"/>
    <w:rsid w:val="00B5251C"/>
    <w:rsid w:val="00B565FD"/>
    <w:rsid w:val="00B62492"/>
    <w:rsid w:val="00B76287"/>
    <w:rsid w:val="00B76D6B"/>
    <w:rsid w:val="00B7758C"/>
    <w:rsid w:val="00B817F3"/>
    <w:rsid w:val="00B81AD9"/>
    <w:rsid w:val="00B91DE3"/>
    <w:rsid w:val="00BA4CB5"/>
    <w:rsid w:val="00BB0720"/>
    <w:rsid w:val="00BB34CA"/>
    <w:rsid w:val="00BB36C1"/>
    <w:rsid w:val="00BB69B5"/>
    <w:rsid w:val="00BC00A4"/>
    <w:rsid w:val="00BC0ECC"/>
    <w:rsid w:val="00BC3F98"/>
    <w:rsid w:val="00BC5732"/>
    <w:rsid w:val="00BD4965"/>
    <w:rsid w:val="00BD5462"/>
    <w:rsid w:val="00BF03C3"/>
    <w:rsid w:val="00BF1A38"/>
    <w:rsid w:val="00BF2778"/>
    <w:rsid w:val="00C1053B"/>
    <w:rsid w:val="00C10E0B"/>
    <w:rsid w:val="00C1195E"/>
    <w:rsid w:val="00C12846"/>
    <w:rsid w:val="00C16B1F"/>
    <w:rsid w:val="00C2472F"/>
    <w:rsid w:val="00C24C84"/>
    <w:rsid w:val="00C27477"/>
    <w:rsid w:val="00C27670"/>
    <w:rsid w:val="00C30B71"/>
    <w:rsid w:val="00C32F84"/>
    <w:rsid w:val="00C344C5"/>
    <w:rsid w:val="00C361A3"/>
    <w:rsid w:val="00C447D6"/>
    <w:rsid w:val="00C512E2"/>
    <w:rsid w:val="00C53365"/>
    <w:rsid w:val="00C61D87"/>
    <w:rsid w:val="00C65485"/>
    <w:rsid w:val="00C76337"/>
    <w:rsid w:val="00C76D7B"/>
    <w:rsid w:val="00C87288"/>
    <w:rsid w:val="00C873AB"/>
    <w:rsid w:val="00C96342"/>
    <w:rsid w:val="00CA0E15"/>
    <w:rsid w:val="00CB0071"/>
    <w:rsid w:val="00CB10D2"/>
    <w:rsid w:val="00CB2C41"/>
    <w:rsid w:val="00CC1E38"/>
    <w:rsid w:val="00CC2337"/>
    <w:rsid w:val="00CC2980"/>
    <w:rsid w:val="00CC34F0"/>
    <w:rsid w:val="00CD007C"/>
    <w:rsid w:val="00CD00D7"/>
    <w:rsid w:val="00CE37B0"/>
    <w:rsid w:val="00CE6F73"/>
    <w:rsid w:val="00D04226"/>
    <w:rsid w:val="00D05101"/>
    <w:rsid w:val="00D14B99"/>
    <w:rsid w:val="00D16972"/>
    <w:rsid w:val="00D21F8E"/>
    <w:rsid w:val="00D2644E"/>
    <w:rsid w:val="00D33DD2"/>
    <w:rsid w:val="00D37E0C"/>
    <w:rsid w:val="00D40C33"/>
    <w:rsid w:val="00D43B59"/>
    <w:rsid w:val="00D45E3B"/>
    <w:rsid w:val="00D72C6D"/>
    <w:rsid w:val="00D77B1F"/>
    <w:rsid w:val="00D84054"/>
    <w:rsid w:val="00D86DF0"/>
    <w:rsid w:val="00D9329B"/>
    <w:rsid w:val="00D97622"/>
    <w:rsid w:val="00DA5E95"/>
    <w:rsid w:val="00DB14F9"/>
    <w:rsid w:val="00DB4FED"/>
    <w:rsid w:val="00DB7E9B"/>
    <w:rsid w:val="00DC10B3"/>
    <w:rsid w:val="00DC15EC"/>
    <w:rsid w:val="00DC53A8"/>
    <w:rsid w:val="00DE0A98"/>
    <w:rsid w:val="00DE2653"/>
    <w:rsid w:val="00DF283C"/>
    <w:rsid w:val="00DF339C"/>
    <w:rsid w:val="00E015CB"/>
    <w:rsid w:val="00E03F69"/>
    <w:rsid w:val="00E173E7"/>
    <w:rsid w:val="00E25E31"/>
    <w:rsid w:val="00E2618D"/>
    <w:rsid w:val="00E2705B"/>
    <w:rsid w:val="00E3217D"/>
    <w:rsid w:val="00E34B14"/>
    <w:rsid w:val="00E42EAD"/>
    <w:rsid w:val="00E43706"/>
    <w:rsid w:val="00E44BA8"/>
    <w:rsid w:val="00E620EB"/>
    <w:rsid w:val="00E622BA"/>
    <w:rsid w:val="00E64111"/>
    <w:rsid w:val="00E646C7"/>
    <w:rsid w:val="00E6635E"/>
    <w:rsid w:val="00E7007A"/>
    <w:rsid w:val="00E7539B"/>
    <w:rsid w:val="00E81A4D"/>
    <w:rsid w:val="00E8391A"/>
    <w:rsid w:val="00E85CA6"/>
    <w:rsid w:val="00E90AC7"/>
    <w:rsid w:val="00E94E4D"/>
    <w:rsid w:val="00ED1108"/>
    <w:rsid w:val="00ED2858"/>
    <w:rsid w:val="00ED54EF"/>
    <w:rsid w:val="00ED7716"/>
    <w:rsid w:val="00EE1EFE"/>
    <w:rsid w:val="00EE6455"/>
    <w:rsid w:val="00EE70FC"/>
    <w:rsid w:val="00EF0FDF"/>
    <w:rsid w:val="00EF3CE1"/>
    <w:rsid w:val="00EF5545"/>
    <w:rsid w:val="00F01225"/>
    <w:rsid w:val="00F032B0"/>
    <w:rsid w:val="00F12341"/>
    <w:rsid w:val="00F12AE9"/>
    <w:rsid w:val="00F1395F"/>
    <w:rsid w:val="00F26369"/>
    <w:rsid w:val="00F266D0"/>
    <w:rsid w:val="00F267E7"/>
    <w:rsid w:val="00F321BE"/>
    <w:rsid w:val="00F40133"/>
    <w:rsid w:val="00F40BB3"/>
    <w:rsid w:val="00F46189"/>
    <w:rsid w:val="00F47335"/>
    <w:rsid w:val="00F5091C"/>
    <w:rsid w:val="00F5389E"/>
    <w:rsid w:val="00F647B3"/>
    <w:rsid w:val="00F70165"/>
    <w:rsid w:val="00F71EA4"/>
    <w:rsid w:val="00F81B0E"/>
    <w:rsid w:val="00F83FAA"/>
    <w:rsid w:val="00F86587"/>
    <w:rsid w:val="00F90872"/>
    <w:rsid w:val="00FA2835"/>
    <w:rsid w:val="00FA4665"/>
    <w:rsid w:val="00FC1F4A"/>
    <w:rsid w:val="00FC3E1B"/>
    <w:rsid w:val="00FC557C"/>
    <w:rsid w:val="00FD54A2"/>
    <w:rsid w:val="00FD58F2"/>
    <w:rsid w:val="00FD6345"/>
    <w:rsid w:val="00FD69BD"/>
    <w:rsid w:val="00FD73DC"/>
    <w:rsid w:val="00FD749E"/>
    <w:rsid w:val="00FE520D"/>
    <w:rsid w:val="00FE754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227808"/>
  <w15:docId w15:val="{581523DA-D67C-4E6F-A6DF-57196D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695"/>
    <w:pPr>
      <w:spacing w:after="200" w:line="240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Theme="majorEastAsia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Theme="majorEastAsia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71695"/>
    <w:rPr>
      <w:rFonts w:ascii="Arial" w:eastAsiaTheme="majorEastAsia" w:hAnsi="Arial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3F6974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3F6974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971695"/>
    <w:rPr>
      <w:rFonts w:ascii="Arial" w:eastAsiaTheme="majorEastAsia" w:hAnsi="Arial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34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numPr>
        <w:numId w:val="30"/>
      </w:numPr>
      <w:spacing w:before="220"/>
      <w:ind w:left="357" w:hanging="357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3F6974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5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Theme="majorEastAsia" w:cs="Arial"/>
      <w:color w:val="343645" w:themeColor="text2"/>
      <w:kern w:val="28"/>
      <w:sz w:val="25"/>
      <w:szCs w:val="25"/>
    </w:rPr>
  </w:style>
  <w:style w:type="character" w:customStyle="1" w:styleId="Title1Char">
    <w:name w:val="Title 1 Char"/>
    <w:basedOn w:val="DefaultParagraphFont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Theme="minorHAnsi" w:cs="Arial"/>
      <w:b w:val="0"/>
      <w:color w:val="auto"/>
      <w:sz w:val="19"/>
    </w:rPr>
  </w:style>
  <w:style w:type="character" w:customStyle="1" w:styleId="IntroChar">
    <w:name w:val="Intro Char"/>
    <w:basedOn w:val="DefaultParagraphFont"/>
    <w:link w:val="Intro"/>
    <w:rsid w:val="00971695"/>
    <w:rPr>
      <w:rFonts w:ascii="Arial" w:eastAsiaTheme="majorEastAsia" w:hAnsi="Arial" w:cs="Arial"/>
      <w:color w:val="343645" w:themeColor="text2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pPr>
      <w:numPr>
        <w:numId w:val="40"/>
      </w:numPr>
    </w:pPr>
    <w:rPr>
      <w:rFonts w:eastAsiaTheme="minorHAnsi" w:cs="Arial"/>
      <w:b w:val="0"/>
      <w:color w:val="auto"/>
      <w:sz w:val="19"/>
    </w:rPr>
  </w:style>
  <w:style w:type="character" w:customStyle="1" w:styleId="BodyChar">
    <w:name w:val="Body Char"/>
    <w:basedOn w:val="Heading3Char"/>
    <w:link w:val="Body"/>
    <w:rsid w:val="00971695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ulletsChar">
    <w:name w:val="Bullets Char"/>
    <w:basedOn w:val="Heading3Char"/>
    <w:link w:val="Bullets"/>
    <w:rsid w:val="007C22C6"/>
    <w:rPr>
      <w:rFonts w:ascii="Arial" w:eastAsiaTheme="majorEastAsia" w:hAnsi="Arial" w:cs="Arial"/>
      <w:b w:val="0"/>
      <w:color w:val="343645" w:themeColor="text2"/>
      <w:sz w:val="19"/>
    </w:rPr>
  </w:style>
  <w:style w:type="paragraph" w:customStyle="1" w:styleId="Default">
    <w:name w:val="Default"/>
    <w:rsid w:val="001859EE"/>
    <w:pPr>
      <w:autoSpaceDE w:val="0"/>
      <w:autoSpaceDN w:val="0"/>
      <w:adjustRightInd w:val="0"/>
      <w:spacing w:after="0" w:line="240" w:lineRule="auto"/>
    </w:pPr>
    <w:rPr>
      <w:rFonts w:ascii="Europa-Light" w:hAnsi="Europa-Light" w:cs="Europa-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859EE"/>
    <w:pPr>
      <w:spacing w:line="19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73B45"/>
    <w:pPr>
      <w:spacing w:line="261" w:lineRule="atLeast"/>
    </w:pPr>
    <w:rPr>
      <w:rFonts w:ascii="VIC Medium" w:hAnsi="VIC Mediu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73B45"/>
    <w:pPr>
      <w:spacing w:line="181" w:lineRule="atLeast"/>
    </w:pPr>
    <w:rPr>
      <w:rFonts w:ascii="VIC Medium" w:hAnsi="VIC Medium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7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B45"/>
    <w:pPr>
      <w:widowControl w:val="0"/>
      <w:autoSpaceDE w:val="0"/>
      <w:autoSpaceDN w:val="0"/>
      <w:spacing w:after="0"/>
    </w:pPr>
    <w:rPr>
      <w:rFonts w:eastAsia="Arial" w:cs="Arial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B45"/>
    <w:rPr>
      <w:rFonts w:ascii="Arial" w:eastAsia="Arial" w:hAnsi="Arial" w:cs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9B"/>
    <w:pPr>
      <w:widowControl/>
      <w:autoSpaceDE/>
      <w:autoSpaceDN/>
      <w:spacing w:after="200"/>
    </w:pPr>
    <w:rPr>
      <w:rFonts w:eastAsiaTheme="minorHAnsi" w:cstheme="minorBidi"/>
      <w:b/>
      <w:bCs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9B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bullets0">
    <w:name w:val="bullets"/>
    <w:basedOn w:val="Normal"/>
    <w:rsid w:val="004D12B3"/>
    <w:pPr>
      <w:keepNext/>
      <w:spacing w:before="220" w:after="70"/>
    </w:pPr>
    <w:rPr>
      <w:rFonts w:cs="Arial"/>
      <w:color w:val="1F3763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3UE6NPRFMZNX-254032258-8979</_dlc_DocId>
    <_dlc_DocIdUrl xmlns="5f3dec1c-4caf-44d7-995f-e4c50bdfc3e1">
      <Url>https://transurbangroup.sharepoint.com/sites/wgtp/_layouts/15/DocIdRedir.aspx?ID=3UE6NPRFMZNX-254032258-8979</Url>
      <Description>3UE6NPRFMZNX-254032258-8979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68BA-E8A6-4BE7-B451-F560D7BC9125}">
  <ds:schemaRefs>
    <ds:schemaRef ds:uri="5f3dec1c-4caf-44d7-995f-e4c50bdfc3e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d1a842e8-7505-41e5-873c-1979602d247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2003F-C545-499D-AE67-90B79AB87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3B508-1748-48B9-85ED-296B24AE6F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828CD3-A17B-4DCB-8AAF-165621C677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8CFC80-12DE-42FA-BD6C-48515724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Kargin</dc:creator>
  <cp:lastModifiedBy>Rebecca A Fairley (MTIA)</cp:lastModifiedBy>
  <cp:revision>2</cp:revision>
  <cp:lastPrinted>2019-08-09T07:12:00Z</cp:lastPrinted>
  <dcterms:created xsi:type="dcterms:W3CDTF">2020-03-30T07:31:00Z</dcterms:created>
  <dcterms:modified xsi:type="dcterms:W3CDTF">2020-03-30T07:31:00Z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c07ed24e-8ac6-4e5b-b69c-a7075a542d73</vt:lpwstr>
  </property>
</Properties>
</file>