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73D54" w14:textId="6CB18406" w:rsidR="00C46BED" w:rsidRPr="00C46BED" w:rsidRDefault="008C27F7" w:rsidP="00C46BED">
      <w:pPr>
        <w:pStyle w:val="CoverTitle"/>
      </w:pPr>
      <w:r>
        <w:rPr>
          <w:noProof/>
        </w:rPr>
        <w:t>Contents</w:t>
      </w:r>
    </w:p>
    <w:p w14:paraId="4398844D" w14:textId="77777777" w:rsidR="001503D3" w:rsidRPr="00E054C4" w:rsidRDefault="001503D3" w:rsidP="00C46BED">
      <w:pPr>
        <w:pStyle w:val="CoverTitle"/>
        <w:sectPr w:rsidR="001503D3" w:rsidRPr="00E054C4" w:rsidSect="006A7B8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1134" w:bottom="1134" w:left="1134" w:header="567" w:footer="567" w:gutter="567"/>
          <w:pgNumType w:chapStyle="1" w:chapSep="enDash"/>
          <w:cols w:space="567"/>
          <w:titlePg/>
          <w:docGrid w:linePitch="360"/>
        </w:sectPr>
      </w:pPr>
      <w:bookmarkStart w:id="0" w:name="_GoBack"/>
      <w:bookmarkEnd w:id="0"/>
    </w:p>
    <w:p w14:paraId="6FF57ADC" w14:textId="77777777" w:rsidR="00E06653" w:rsidRDefault="00E06653" w:rsidP="00E06653">
      <w:pPr>
        <w:pStyle w:val="BodyTextSingleSpacing"/>
        <w:rPr>
          <w:rStyle w:val="Hyperlink"/>
          <w:color w:val="9BAE00" w:themeColor="accent3" w:themeShade="BF"/>
        </w:rPr>
      </w:pPr>
      <w:r>
        <w:rPr>
          <w:noProof/>
          <w:lang w:eastAsia="en-AU"/>
        </w:rPr>
        <w:lastRenderedPageBreak/>
        <w:drawing>
          <wp:inline distT="0" distB="0" distL="0" distR="0" wp14:anchorId="64A4DB38" wp14:editId="61E69D62">
            <wp:extent cx="5292000" cy="7854280"/>
            <wp:effectExtent l="0" t="0" r="4445" b="0"/>
            <wp:docPr id="4" name="Picture 4" descr="This figure shows the structure of the EES. The titles of all of the EES main report chapters, the technical reports and the attachments are listed out in the fig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-3 FIN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785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EC5F" w14:textId="56E5A95B" w:rsidR="00965114" w:rsidRDefault="00965114" w:rsidP="00965114">
      <w:pPr>
        <w:pStyle w:val="TOCHeading"/>
      </w:pPr>
      <w:r>
        <w:lastRenderedPageBreak/>
        <w:t>EES Chapters</w:t>
      </w:r>
    </w:p>
    <w:p w14:paraId="690FDBD3" w14:textId="1C9C6A95" w:rsidR="00B55784" w:rsidRPr="00B05AE6" w:rsidRDefault="00B55784" w:rsidP="00B972FE">
      <w:pPr>
        <w:pStyle w:val="TOC1"/>
        <w:tabs>
          <w:tab w:val="clear" w:pos="1418"/>
          <w:tab w:val="left" w:pos="709"/>
        </w:tabs>
      </w:pPr>
      <w:r w:rsidRPr="00B05AE6">
        <w:t>A</w:t>
      </w:r>
      <w:r w:rsidR="00B972FE">
        <w:t>&amp;G</w:t>
      </w:r>
      <w:r w:rsidRPr="00B05AE6">
        <w:tab/>
        <w:t>Abbreviations and glossary</w:t>
      </w:r>
      <w:r w:rsidRPr="00B05AE6">
        <w:rPr>
          <w:webHidden/>
        </w:rPr>
        <w:tab/>
        <w:t>A&amp;G–1</w:t>
      </w:r>
    </w:p>
    <w:p w14:paraId="20711581" w14:textId="5D0ED198" w:rsidR="00B55784" w:rsidRPr="00B05AE6" w:rsidRDefault="00B55784" w:rsidP="00B55784">
      <w:pPr>
        <w:pStyle w:val="TOC2"/>
      </w:pPr>
      <w:r w:rsidRPr="00B05AE6">
        <w:t>EES abbreviations</w:t>
      </w:r>
      <w:r w:rsidRPr="00B05AE6">
        <w:rPr>
          <w:webHidden/>
        </w:rPr>
        <w:tab/>
        <w:t>A&amp;G–1</w:t>
      </w:r>
    </w:p>
    <w:p w14:paraId="2D52C643" w14:textId="77777777" w:rsidR="00B55784" w:rsidRPr="00B05AE6" w:rsidRDefault="00B55784" w:rsidP="00B55784">
      <w:pPr>
        <w:pStyle w:val="TOC2"/>
      </w:pPr>
      <w:r w:rsidRPr="00B05AE6">
        <w:t>EES glossary of key terms</w:t>
      </w:r>
      <w:r w:rsidRPr="00B05AE6">
        <w:rPr>
          <w:webHidden/>
        </w:rPr>
        <w:tab/>
        <w:t>A&amp;G–6</w:t>
      </w:r>
    </w:p>
    <w:p w14:paraId="48D2BA5A" w14:textId="77777777" w:rsidR="00212E10" w:rsidRPr="00B05AE6" w:rsidRDefault="00212E10" w:rsidP="00212E10">
      <w:pPr>
        <w:pStyle w:val="TOC1"/>
        <w:tabs>
          <w:tab w:val="clear" w:pos="1418"/>
          <w:tab w:val="left" w:pos="709"/>
        </w:tabs>
        <w:spacing w:before="1200"/>
      </w:pPr>
      <w:r>
        <w:t>Summary report</w:t>
      </w:r>
      <w:r w:rsidRPr="00B05AE6">
        <w:rPr>
          <w:webHidden/>
        </w:rPr>
        <w:tab/>
        <w:t>1</w:t>
      </w:r>
    </w:p>
    <w:p w14:paraId="5743EA42" w14:textId="77777777" w:rsidR="00212E10" w:rsidRDefault="00212E10" w:rsidP="00212E10">
      <w:pPr>
        <w:pStyle w:val="TOC2"/>
        <w:rPr>
          <w:rFonts w:eastAsiaTheme="minorEastAsia"/>
          <w:sz w:val="22"/>
          <w:lang w:eastAsia="en-AU"/>
        </w:rPr>
      </w:pPr>
      <w:r w:rsidRPr="003E149E">
        <w:t>North East Link</w:t>
      </w:r>
      <w:r>
        <w:rPr>
          <w:webHidden/>
        </w:rPr>
        <w:tab/>
        <w:t>1</w:t>
      </w:r>
    </w:p>
    <w:p w14:paraId="637EBE77" w14:textId="77777777" w:rsidR="00212E10" w:rsidRDefault="00212E10" w:rsidP="00212E10">
      <w:pPr>
        <w:pStyle w:val="TOC2"/>
        <w:rPr>
          <w:rFonts w:eastAsiaTheme="minorEastAsia"/>
          <w:sz w:val="22"/>
          <w:lang w:eastAsia="en-AU"/>
        </w:rPr>
      </w:pPr>
      <w:r w:rsidRPr="003E149E">
        <w:t>The need for North East Link</w:t>
      </w:r>
      <w:r>
        <w:rPr>
          <w:webHidden/>
        </w:rPr>
        <w:tab/>
        <w:t>4</w:t>
      </w:r>
    </w:p>
    <w:p w14:paraId="105DC8EE" w14:textId="77777777" w:rsidR="00212E10" w:rsidRDefault="00212E10" w:rsidP="00212E10">
      <w:pPr>
        <w:pStyle w:val="TOC2"/>
        <w:rPr>
          <w:rFonts w:eastAsiaTheme="minorEastAsia"/>
          <w:sz w:val="22"/>
          <w:lang w:eastAsia="en-AU"/>
        </w:rPr>
      </w:pPr>
      <w:r w:rsidRPr="003E149E">
        <w:t>Benefits of North East Link</w:t>
      </w:r>
      <w:r>
        <w:rPr>
          <w:webHidden/>
        </w:rPr>
        <w:tab/>
        <w:t>8</w:t>
      </w:r>
    </w:p>
    <w:p w14:paraId="78F202F0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Traffic and transport improvements</w:t>
      </w:r>
      <w:r>
        <w:rPr>
          <w:webHidden/>
        </w:rPr>
        <w:tab/>
        <w:t>8</w:t>
      </w:r>
    </w:p>
    <w:p w14:paraId="77679F08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More productive businesses</w:t>
      </w:r>
      <w:r>
        <w:rPr>
          <w:webHidden/>
        </w:rPr>
        <w:tab/>
        <w:t>9</w:t>
      </w:r>
    </w:p>
    <w:p w14:paraId="5D4CDAD5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More competitive and efficient supply chains</w:t>
      </w:r>
      <w:r>
        <w:rPr>
          <w:webHidden/>
        </w:rPr>
        <w:tab/>
        <w:t>10</w:t>
      </w:r>
    </w:p>
    <w:p w14:paraId="687410FE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Greater accessibility for households</w:t>
      </w:r>
      <w:r>
        <w:rPr>
          <w:webHidden/>
        </w:rPr>
        <w:tab/>
        <w:t>11</w:t>
      </w:r>
    </w:p>
    <w:p w14:paraId="47BCC487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Liveable communities and neighbourhoods</w:t>
      </w:r>
      <w:r>
        <w:rPr>
          <w:webHidden/>
        </w:rPr>
        <w:tab/>
        <w:t>12</w:t>
      </w:r>
    </w:p>
    <w:p w14:paraId="2FCC4A3B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New ‘green’ land bridges</w:t>
      </w:r>
      <w:r>
        <w:rPr>
          <w:webHidden/>
        </w:rPr>
        <w:tab/>
        <w:t>12</w:t>
      </w:r>
    </w:p>
    <w:p w14:paraId="4B489572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New and upgraded walking and cycling links</w:t>
      </w:r>
      <w:r>
        <w:rPr>
          <w:webHidden/>
        </w:rPr>
        <w:tab/>
        <w:t>13</w:t>
      </w:r>
    </w:p>
    <w:p w14:paraId="3A9A125A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New dedicated busway</w:t>
      </w:r>
      <w:r>
        <w:rPr>
          <w:webHidden/>
        </w:rPr>
        <w:tab/>
        <w:t>14</w:t>
      </w:r>
    </w:p>
    <w:p w14:paraId="43BEDBAA" w14:textId="77777777" w:rsidR="00212E10" w:rsidRDefault="00212E10" w:rsidP="00212E10">
      <w:pPr>
        <w:pStyle w:val="TOC2"/>
        <w:rPr>
          <w:rFonts w:eastAsiaTheme="minorEastAsia"/>
          <w:sz w:val="22"/>
          <w:lang w:eastAsia="en-AU"/>
        </w:rPr>
      </w:pPr>
      <w:r w:rsidRPr="003E149E">
        <w:t>Developing North East Link</w:t>
      </w:r>
      <w:r>
        <w:rPr>
          <w:webHidden/>
        </w:rPr>
        <w:tab/>
        <w:t>16</w:t>
      </w:r>
    </w:p>
    <w:p w14:paraId="0BFDE1DA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Project background</w:t>
      </w:r>
      <w:r>
        <w:rPr>
          <w:webHidden/>
        </w:rPr>
        <w:tab/>
        <w:t>16</w:t>
      </w:r>
    </w:p>
    <w:p w14:paraId="25CE1A8D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North East Link reference project</w:t>
      </w:r>
      <w:r>
        <w:rPr>
          <w:webHidden/>
        </w:rPr>
        <w:tab/>
        <w:t>16</w:t>
      </w:r>
    </w:p>
    <w:p w14:paraId="6EDD4918" w14:textId="77777777" w:rsidR="00212E10" w:rsidRDefault="00212E10" w:rsidP="00212E10">
      <w:pPr>
        <w:pStyle w:val="TOC2"/>
        <w:rPr>
          <w:rFonts w:eastAsiaTheme="minorEastAsia"/>
          <w:sz w:val="22"/>
          <w:lang w:eastAsia="en-AU"/>
        </w:rPr>
      </w:pPr>
      <w:r w:rsidRPr="003E149E">
        <w:t>Planning for North East Link</w:t>
      </w:r>
      <w:r>
        <w:rPr>
          <w:webHidden/>
        </w:rPr>
        <w:tab/>
        <w:t>18</w:t>
      </w:r>
    </w:p>
    <w:p w14:paraId="3A4A0E90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Requirement for an EES</w:t>
      </w:r>
      <w:r>
        <w:rPr>
          <w:webHidden/>
        </w:rPr>
        <w:tab/>
        <w:t>18</w:t>
      </w:r>
    </w:p>
    <w:p w14:paraId="461D7311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The EES process</w:t>
      </w:r>
      <w:r>
        <w:rPr>
          <w:webHidden/>
        </w:rPr>
        <w:tab/>
        <w:t>19</w:t>
      </w:r>
    </w:p>
    <w:p w14:paraId="72D43B53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Environmental Performance Requirements (EPRs)</w:t>
      </w:r>
      <w:r>
        <w:rPr>
          <w:webHidden/>
        </w:rPr>
        <w:tab/>
        <w:t>21</w:t>
      </w:r>
    </w:p>
    <w:p w14:paraId="52F4CB6C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Assessing and managing the project’s risks and impacts</w:t>
      </w:r>
      <w:r>
        <w:rPr>
          <w:webHidden/>
        </w:rPr>
        <w:tab/>
        <w:t>22</w:t>
      </w:r>
    </w:p>
    <w:p w14:paraId="142CDA36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Community input</w:t>
      </w:r>
      <w:r>
        <w:rPr>
          <w:webHidden/>
        </w:rPr>
        <w:tab/>
        <w:t>23</w:t>
      </w:r>
    </w:p>
    <w:p w14:paraId="17BBF348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Project approvals</w:t>
      </w:r>
      <w:r>
        <w:rPr>
          <w:webHidden/>
        </w:rPr>
        <w:tab/>
        <w:t>23</w:t>
      </w:r>
    </w:p>
    <w:p w14:paraId="2070C456" w14:textId="77777777" w:rsidR="00212E10" w:rsidRDefault="00212E10" w:rsidP="00212E10">
      <w:pPr>
        <w:pStyle w:val="TOC2"/>
        <w:rPr>
          <w:rFonts w:eastAsiaTheme="minorEastAsia"/>
          <w:sz w:val="22"/>
          <w:lang w:eastAsia="en-AU"/>
        </w:rPr>
      </w:pPr>
      <w:r w:rsidRPr="003E149E">
        <w:t>North East Link elements, features and activities</w:t>
      </w:r>
      <w:r>
        <w:rPr>
          <w:webHidden/>
        </w:rPr>
        <w:tab/>
        <w:t>25</w:t>
      </w:r>
    </w:p>
    <w:p w14:paraId="2128CD0B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M80 Ring Road to northern portal</w:t>
      </w:r>
      <w:r>
        <w:rPr>
          <w:webHidden/>
        </w:rPr>
        <w:tab/>
        <w:t>25</w:t>
      </w:r>
    </w:p>
    <w:p w14:paraId="354EE282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Northern portal to southern portal</w:t>
      </w:r>
      <w:r>
        <w:rPr>
          <w:webHidden/>
        </w:rPr>
        <w:tab/>
        <w:t>27</w:t>
      </w:r>
    </w:p>
    <w:p w14:paraId="2E5461F4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Eastern Freeway</w:t>
      </w:r>
      <w:r>
        <w:rPr>
          <w:webHidden/>
        </w:rPr>
        <w:tab/>
        <w:t>31</w:t>
      </w:r>
    </w:p>
    <w:p w14:paraId="763EA77A" w14:textId="77777777" w:rsidR="00212E10" w:rsidRDefault="00212E10" w:rsidP="00212E10">
      <w:pPr>
        <w:pStyle w:val="TOC2"/>
        <w:rPr>
          <w:rFonts w:eastAsiaTheme="minorEastAsia"/>
          <w:sz w:val="22"/>
          <w:lang w:eastAsia="en-AU"/>
        </w:rPr>
      </w:pPr>
      <w:r w:rsidRPr="003E149E">
        <w:t>A sustainable approach</w:t>
      </w:r>
      <w:r>
        <w:rPr>
          <w:webHidden/>
        </w:rPr>
        <w:tab/>
        <w:t>33</w:t>
      </w:r>
    </w:p>
    <w:p w14:paraId="5CABEB5B" w14:textId="77777777" w:rsidR="00212E10" w:rsidRDefault="00212E10" w:rsidP="00212E10">
      <w:pPr>
        <w:pStyle w:val="TOC2"/>
        <w:rPr>
          <w:rFonts w:eastAsiaTheme="minorEastAsia"/>
          <w:sz w:val="22"/>
          <w:lang w:eastAsia="en-AU"/>
        </w:rPr>
      </w:pPr>
      <w:r w:rsidRPr="003E149E">
        <w:lastRenderedPageBreak/>
        <w:t>Assessing North East Link’s impacts</w:t>
      </w:r>
      <w:r>
        <w:rPr>
          <w:webHidden/>
        </w:rPr>
        <w:tab/>
        <w:t>34</w:t>
      </w:r>
    </w:p>
    <w:p w14:paraId="4A70DB99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Transport</w:t>
      </w:r>
      <w:r>
        <w:rPr>
          <w:webHidden/>
        </w:rPr>
        <w:tab/>
      </w:r>
      <w:r>
        <w:rPr>
          <w:webHidden/>
        </w:rPr>
        <w:tab/>
        <w:t>35</w:t>
      </w:r>
    </w:p>
    <w:p w14:paraId="66A558BE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Amenity and wellbeing</w:t>
      </w:r>
      <w:r>
        <w:rPr>
          <w:webHidden/>
        </w:rPr>
        <w:tab/>
        <w:t>37</w:t>
      </w:r>
    </w:p>
    <w:p w14:paraId="704A5AE5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Business</w:t>
      </w:r>
      <w:r>
        <w:rPr>
          <w:webHidden/>
        </w:rPr>
        <w:tab/>
      </w:r>
      <w:r>
        <w:rPr>
          <w:webHidden/>
        </w:rPr>
        <w:tab/>
        <w:t>41</w:t>
      </w:r>
    </w:p>
    <w:p w14:paraId="6F8DF647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Social and community</w:t>
      </w:r>
      <w:r>
        <w:rPr>
          <w:webHidden/>
        </w:rPr>
        <w:tab/>
        <w:t>43</w:t>
      </w:r>
    </w:p>
    <w:p w14:paraId="342E01FF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Land use planning</w:t>
      </w:r>
      <w:r>
        <w:rPr>
          <w:webHidden/>
        </w:rPr>
        <w:tab/>
        <w:t>45</w:t>
      </w:r>
    </w:p>
    <w:p w14:paraId="640F6562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Landscape and visual</w:t>
      </w:r>
      <w:r>
        <w:rPr>
          <w:webHidden/>
        </w:rPr>
        <w:tab/>
        <w:t>46</w:t>
      </w:r>
    </w:p>
    <w:p w14:paraId="3DB140F6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Heritage</w:t>
      </w:r>
      <w:r>
        <w:rPr>
          <w:webHidden/>
        </w:rPr>
        <w:tab/>
      </w:r>
      <w:r>
        <w:rPr>
          <w:webHidden/>
        </w:rPr>
        <w:tab/>
        <w:t>47</w:t>
      </w:r>
    </w:p>
    <w:p w14:paraId="5415E778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Ground movement</w:t>
      </w:r>
      <w:r>
        <w:rPr>
          <w:webHidden/>
        </w:rPr>
        <w:tab/>
        <w:t>49</w:t>
      </w:r>
    </w:p>
    <w:p w14:paraId="675DD915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Groundwater</w:t>
      </w:r>
      <w:r>
        <w:rPr>
          <w:webHidden/>
        </w:rPr>
        <w:tab/>
      </w:r>
      <w:r>
        <w:rPr>
          <w:webHidden/>
        </w:rPr>
        <w:tab/>
        <w:t>49</w:t>
      </w:r>
    </w:p>
    <w:p w14:paraId="165DE973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Contamination and soil</w:t>
      </w:r>
      <w:r>
        <w:rPr>
          <w:webHidden/>
        </w:rPr>
        <w:tab/>
        <w:t>51</w:t>
      </w:r>
    </w:p>
    <w:p w14:paraId="2BD1AD0E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Surface water</w:t>
      </w:r>
      <w:r>
        <w:rPr>
          <w:webHidden/>
        </w:rPr>
        <w:tab/>
      </w:r>
      <w:r>
        <w:rPr>
          <w:webHidden/>
        </w:rPr>
        <w:tab/>
        <w:t>52</w:t>
      </w:r>
    </w:p>
    <w:p w14:paraId="25E8C87B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Ecology</w:t>
      </w:r>
      <w:r>
        <w:rPr>
          <w:webHidden/>
        </w:rPr>
        <w:tab/>
      </w:r>
      <w:r>
        <w:rPr>
          <w:webHidden/>
        </w:rPr>
        <w:tab/>
        <w:t>54</w:t>
      </w:r>
    </w:p>
    <w:p w14:paraId="6E5FDAB7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Planted trees</w:t>
      </w:r>
      <w:r>
        <w:rPr>
          <w:webHidden/>
        </w:rPr>
        <w:tab/>
      </w:r>
      <w:r>
        <w:rPr>
          <w:webHidden/>
        </w:rPr>
        <w:tab/>
        <w:t>56</w:t>
      </w:r>
    </w:p>
    <w:p w14:paraId="6E569BFC" w14:textId="77777777" w:rsidR="00212E10" w:rsidRDefault="00212E10" w:rsidP="00212E10">
      <w:pPr>
        <w:pStyle w:val="TOC2"/>
        <w:rPr>
          <w:rFonts w:eastAsiaTheme="minorEastAsia"/>
          <w:sz w:val="22"/>
          <w:lang w:eastAsia="en-AU"/>
        </w:rPr>
      </w:pPr>
      <w:r w:rsidRPr="003E149E">
        <w:t>Managing the project’s impacts</w:t>
      </w:r>
      <w:r>
        <w:rPr>
          <w:webHidden/>
        </w:rPr>
        <w:tab/>
        <w:t>58</w:t>
      </w:r>
    </w:p>
    <w:p w14:paraId="0BAAF5FB" w14:textId="77777777" w:rsidR="00212E10" w:rsidRDefault="00212E10" w:rsidP="00212E10">
      <w:pPr>
        <w:pStyle w:val="TOC2"/>
        <w:rPr>
          <w:rFonts w:eastAsiaTheme="minorEastAsia"/>
          <w:sz w:val="22"/>
          <w:lang w:eastAsia="en-AU"/>
        </w:rPr>
      </w:pPr>
      <w:r w:rsidRPr="003E149E">
        <w:t>Consulting with the community</w:t>
      </w:r>
      <w:r>
        <w:rPr>
          <w:webHidden/>
        </w:rPr>
        <w:tab/>
        <w:t>60</w:t>
      </w:r>
    </w:p>
    <w:p w14:paraId="38AB5329" w14:textId="77777777" w:rsidR="00212E10" w:rsidRDefault="00212E10" w:rsidP="00212E10">
      <w:pPr>
        <w:pStyle w:val="TOC2"/>
        <w:rPr>
          <w:rFonts w:eastAsiaTheme="minorEastAsia"/>
          <w:sz w:val="22"/>
          <w:lang w:eastAsia="en-AU"/>
        </w:rPr>
      </w:pPr>
      <w:r w:rsidRPr="003E149E">
        <w:t>Next steps in the EES process</w:t>
      </w:r>
      <w:r>
        <w:rPr>
          <w:webHidden/>
        </w:rPr>
        <w:tab/>
        <w:t>62</w:t>
      </w:r>
    </w:p>
    <w:p w14:paraId="1FA20F7B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Viewing the EES</w:t>
      </w:r>
      <w:r>
        <w:rPr>
          <w:webHidden/>
        </w:rPr>
        <w:tab/>
        <w:t>62</w:t>
      </w:r>
    </w:p>
    <w:p w14:paraId="2738B561" w14:textId="77777777" w:rsidR="00212E10" w:rsidRDefault="00212E10" w:rsidP="00212E10">
      <w:pPr>
        <w:pStyle w:val="TOC3"/>
        <w:rPr>
          <w:rFonts w:eastAsiaTheme="minorEastAsia"/>
          <w:sz w:val="22"/>
          <w:lang w:eastAsia="en-AU"/>
        </w:rPr>
      </w:pPr>
      <w:r w:rsidRPr="003E149E">
        <w:t>Making a submission</w:t>
      </w:r>
      <w:r>
        <w:rPr>
          <w:webHidden/>
        </w:rPr>
        <w:tab/>
        <w:t>63</w:t>
      </w:r>
    </w:p>
    <w:p w14:paraId="45931FF5" w14:textId="77777777" w:rsidR="00212E10" w:rsidRDefault="00212E10" w:rsidP="00212E10">
      <w:pPr>
        <w:pStyle w:val="TOC3"/>
        <w:rPr>
          <w:webHidden/>
        </w:rPr>
      </w:pPr>
      <w:r w:rsidRPr="003E149E">
        <w:t>Concluding the EES process</w:t>
      </w:r>
      <w:r>
        <w:rPr>
          <w:webHidden/>
        </w:rPr>
        <w:tab/>
        <w:t>63</w:t>
      </w:r>
    </w:p>
    <w:p w14:paraId="60944459" w14:textId="6D26C141" w:rsidR="00B972FE" w:rsidRPr="00B05AE6" w:rsidRDefault="00B972FE" w:rsidP="00B972FE">
      <w:pPr>
        <w:pStyle w:val="TOC1"/>
        <w:pageBreakBefore/>
        <w:tabs>
          <w:tab w:val="clear" w:pos="1418"/>
          <w:tab w:val="left" w:pos="709"/>
        </w:tabs>
      </w:pPr>
      <w:r>
        <w:lastRenderedPageBreak/>
        <w:t>Executive summary</w:t>
      </w:r>
      <w:r w:rsidRPr="00B05AE6">
        <w:rPr>
          <w:webHidden/>
        </w:rPr>
        <w:tab/>
        <w:t>1</w:t>
      </w:r>
    </w:p>
    <w:p w14:paraId="1932AF26" w14:textId="6123DEC5" w:rsidR="00B972FE" w:rsidRPr="00D832D0" w:rsidRDefault="00B972FE" w:rsidP="00B972FE">
      <w:pPr>
        <w:pStyle w:val="TOC2"/>
      </w:pPr>
      <w:r w:rsidRPr="00D832D0">
        <w:t>North East Link</w:t>
      </w:r>
      <w:r w:rsidRPr="00D832D0">
        <w:rPr>
          <w:webHidden/>
        </w:rPr>
        <w:tab/>
        <w:t>1</w:t>
      </w:r>
    </w:p>
    <w:p w14:paraId="48760A43" w14:textId="77777777" w:rsidR="00B972FE" w:rsidRPr="00D832D0" w:rsidRDefault="00B972FE" w:rsidP="00B972FE">
      <w:pPr>
        <w:pStyle w:val="TOC2"/>
      </w:pPr>
      <w:r w:rsidRPr="00D832D0">
        <w:t>Benefits of North East Link</w:t>
      </w:r>
      <w:r w:rsidRPr="00D832D0">
        <w:rPr>
          <w:webHidden/>
        </w:rPr>
        <w:tab/>
        <w:t>3</w:t>
      </w:r>
    </w:p>
    <w:p w14:paraId="737494C9" w14:textId="77777777" w:rsidR="00B972FE" w:rsidRPr="00D832D0" w:rsidRDefault="00B972FE" w:rsidP="00B972FE">
      <w:pPr>
        <w:pStyle w:val="TOC3"/>
      </w:pPr>
      <w:r w:rsidRPr="00D832D0">
        <w:t>Traffic and transport improvements</w:t>
      </w:r>
      <w:r w:rsidRPr="00D832D0">
        <w:rPr>
          <w:webHidden/>
        </w:rPr>
        <w:tab/>
        <w:t>3</w:t>
      </w:r>
    </w:p>
    <w:p w14:paraId="5A7CEB2A" w14:textId="77777777" w:rsidR="00B972FE" w:rsidRPr="00D832D0" w:rsidRDefault="00B972FE" w:rsidP="00B972FE">
      <w:pPr>
        <w:pStyle w:val="TOC3"/>
      </w:pPr>
      <w:r w:rsidRPr="00D832D0">
        <w:t>More productive businesses</w:t>
      </w:r>
      <w:r w:rsidRPr="00D832D0">
        <w:rPr>
          <w:webHidden/>
        </w:rPr>
        <w:tab/>
        <w:t>4</w:t>
      </w:r>
    </w:p>
    <w:p w14:paraId="055685C0" w14:textId="77777777" w:rsidR="00B972FE" w:rsidRPr="00D832D0" w:rsidRDefault="00B972FE" w:rsidP="00B972FE">
      <w:pPr>
        <w:pStyle w:val="TOC3"/>
      </w:pPr>
      <w:r w:rsidRPr="00D832D0">
        <w:t>More competitive and efficient supply chains</w:t>
      </w:r>
      <w:r w:rsidRPr="00D832D0">
        <w:rPr>
          <w:webHidden/>
        </w:rPr>
        <w:tab/>
        <w:t>4</w:t>
      </w:r>
    </w:p>
    <w:p w14:paraId="6355C1E8" w14:textId="77777777" w:rsidR="00B972FE" w:rsidRPr="00D832D0" w:rsidRDefault="00B972FE" w:rsidP="00B972FE">
      <w:pPr>
        <w:pStyle w:val="TOC3"/>
      </w:pPr>
      <w:r w:rsidRPr="00D832D0">
        <w:t>Greater accessibility for households</w:t>
      </w:r>
      <w:r w:rsidRPr="00D832D0">
        <w:rPr>
          <w:webHidden/>
        </w:rPr>
        <w:tab/>
        <w:t>5</w:t>
      </w:r>
    </w:p>
    <w:p w14:paraId="6BFCD318" w14:textId="77777777" w:rsidR="00B972FE" w:rsidRPr="00D832D0" w:rsidRDefault="00B972FE" w:rsidP="00B972FE">
      <w:pPr>
        <w:pStyle w:val="TOC3"/>
      </w:pPr>
      <w:r w:rsidRPr="00D832D0">
        <w:t>Liveable communities and neighbourhoods</w:t>
      </w:r>
      <w:r w:rsidRPr="00D832D0">
        <w:rPr>
          <w:webHidden/>
        </w:rPr>
        <w:tab/>
        <w:t>5</w:t>
      </w:r>
    </w:p>
    <w:p w14:paraId="5D3B3C8C" w14:textId="77777777" w:rsidR="00B972FE" w:rsidRPr="00D832D0" w:rsidRDefault="00B972FE" w:rsidP="00B972FE">
      <w:pPr>
        <w:pStyle w:val="TOC3"/>
      </w:pPr>
      <w:r w:rsidRPr="00D832D0">
        <w:t>New ‘green’ land bridges</w:t>
      </w:r>
      <w:r w:rsidRPr="00D832D0">
        <w:rPr>
          <w:webHidden/>
        </w:rPr>
        <w:tab/>
        <w:t>5</w:t>
      </w:r>
    </w:p>
    <w:p w14:paraId="448EB860" w14:textId="77777777" w:rsidR="00B972FE" w:rsidRPr="00D832D0" w:rsidRDefault="00B972FE" w:rsidP="00B972FE">
      <w:pPr>
        <w:pStyle w:val="TOC3"/>
      </w:pPr>
      <w:r w:rsidRPr="00D832D0">
        <w:t>New and upgraded walking and cycling links</w:t>
      </w:r>
      <w:r w:rsidRPr="00D832D0">
        <w:rPr>
          <w:webHidden/>
        </w:rPr>
        <w:tab/>
        <w:t>6</w:t>
      </w:r>
    </w:p>
    <w:p w14:paraId="32441BD5" w14:textId="77777777" w:rsidR="00B972FE" w:rsidRPr="00D832D0" w:rsidRDefault="00B972FE" w:rsidP="00B972FE">
      <w:pPr>
        <w:pStyle w:val="TOC3"/>
      </w:pPr>
      <w:r w:rsidRPr="00D832D0">
        <w:t>New dedicated busway</w:t>
      </w:r>
      <w:r w:rsidRPr="00D832D0">
        <w:rPr>
          <w:webHidden/>
        </w:rPr>
        <w:tab/>
        <w:t>6</w:t>
      </w:r>
    </w:p>
    <w:p w14:paraId="79EC95DD" w14:textId="77777777" w:rsidR="00B972FE" w:rsidRPr="00D832D0" w:rsidRDefault="00B972FE" w:rsidP="00B972FE">
      <w:pPr>
        <w:pStyle w:val="TOC2"/>
      </w:pPr>
      <w:r w:rsidRPr="00D832D0">
        <w:t>Planning for North East Link</w:t>
      </w:r>
      <w:r w:rsidRPr="00D832D0">
        <w:rPr>
          <w:webHidden/>
        </w:rPr>
        <w:tab/>
        <w:t>7</w:t>
      </w:r>
    </w:p>
    <w:p w14:paraId="043E372D" w14:textId="77777777" w:rsidR="00B972FE" w:rsidRPr="00D832D0" w:rsidRDefault="00B972FE" w:rsidP="00B972FE">
      <w:pPr>
        <w:pStyle w:val="TOC3"/>
      </w:pPr>
      <w:r w:rsidRPr="00D832D0">
        <w:t>Requirement for an EES</w:t>
      </w:r>
      <w:r w:rsidRPr="00D832D0">
        <w:rPr>
          <w:webHidden/>
        </w:rPr>
        <w:tab/>
        <w:t>7</w:t>
      </w:r>
    </w:p>
    <w:p w14:paraId="61D75E6F" w14:textId="77777777" w:rsidR="00B972FE" w:rsidRPr="00D832D0" w:rsidRDefault="00B972FE" w:rsidP="00B972FE">
      <w:pPr>
        <w:pStyle w:val="TOC3"/>
      </w:pPr>
      <w:r w:rsidRPr="00D832D0">
        <w:t>The EES process</w:t>
      </w:r>
      <w:r w:rsidRPr="00D832D0">
        <w:rPr>
          <w:webHidden/>
        </w:rPr>
        <w:tab/>
        <w:t>7</w:t>
      </w:r>
    </w:p>
    <w:p w14:paraId="1E4EC528" w14:textId="77777777" w:rsidR="00B972FE" w:rsidRPr="00D832D0" w:rsidRDefault="00B972FE" w:rsidP="00B972FE">
      <w:pPr>
        <w:pStyle w:val="TOC3"/>
      </w:pPr>
      <w:r w:rsidRPr="00D832D0">
        <w:t>Approach to EES assessment</w:t>
      </w:r>
      <w:r w:rsidRPr="00D832D0">
        <w:rPr>
          <w:webHidden/>
        </w:rPr>
        <w:tab/>
        <w:t>9</w:t>
      </w:r>
    </w:p>
    <w:p w14:paraId="4EEE5A89" w14:textId="77777777" w:rsidR="00B972FE" w:rsidRPr="00D832D0" w:rsidRDefault="00B972FE" w:rsidP="00B972FE">
      <w:pPr>
        <w:pStyle w:val="TOC3"/>
      </w:pPr>
      <w:r w:rsidRPr="00D832D0">
        <w:t>Project approvals</w:t>
      </w:r>
      <w:r w:rsidRPr="00D832D0">
        <w:rPr>
          <w:webHidden/>
        </w:rPr>
        <w:tab/>
        <w:t>9</w:t>
      </w:r>
    </w:p>
    <w:p w14:paraId="29140CCB" w14:textId="77777777" w:rsidR="00B972FE" w:rsidRPr="00D832D0" w:rsidRDefault="00B972FE" w:rsidP="00B972FE">
      <w:pPr>
        <w:pStyle w:val="TOC2"/>
      </w:pPr>
      <w:r w:rsidRPr="00D832D0">
        <w:t>North East Link elements, features and activities</w:t>
      </w:r>
      <w:r w:rsidRPr="00D832D0">
        <w:rPr>
          <w:webHidden/>
        </w:rPr>
        <w:tab/>
        <w:t>10</w:t>
      </w:r>
    </w:p>
    <w:p w14:paraId="013B851E" w14:textId="77777777" w:rsidR="00B972FE" w:rsidRPr="00D832D0" w:rsidRDefault="00B972FE" w:rsidP="00B972FE">
      <w:pPr>
        <w:pStyle w:val="TOC3"/>
      </w:pPr>
      <w:r w:rsidRPr="00D832D0">
        <w:t>M80 Ring Road to northern portal</w:t>
      </w:r>
      <w:r w:rsidRPr="00D832D0">
        <w:rPr>
          <w:webHidden/>
        </w:rPr>
        <w:tab/>
        <w:t>10</w:t>
      </w:r>
    </w:p>
    <w:p w14:paraId="636E7A4E" w14:textId="77777777" w:rsidR="00B972FE" w:rsidRPr="00D832D0" w:rsidRDefault="00B972FE" w:rsidP="00B972FE">
      <w:pPr>
        <w:pStyle w:val="TOC3"/>
      </w:pPr>
      <w:r w:rsidRPr="00D832D0">
        <w:t>Northern portal to southern portal</w:t>
      </w:r>
      <w:r w:rsidRPr="00D832D0">
        <w:rPr>
          <w:webHidden/>
        </w:rPr>
        <w:tab/>
        <w:t>12</w:t>
      </w:r>
    </w:p>
    <w:p w14:paraId="2056FB33" w14:textId="77777777" w:rsidR="00B972FE" w:rsidRPr="00D832D0" w:rsidRDefault="00B972FE" w:rsidP="00B972FE">
      <w:pPr>
        <w:pStyle w:val="TOC3"/>
      </w:pPr>
      <w:r w:rsidRPr="00D832D0">
        <w:t>Eastern Freeway</w:t>
      </w:r>
      <w:r w:rsidRPr="00D832D0">
        <w:rPr>
          <w:webHidden/>
        </w:rPr>
        <w:tab/>
        <w:t>14</w:t>
      </w:r>
    </w:p>
    <w:p w14:paraId="43EF91F1" w14:textId="77777777" w:rsidR="00B972FE" w:rsidRPr="00D832D0" w:rsidRDefault="00B972FE" w:rsidP="00B972FE">
      <w:pPr>
        <w:pStyle w:val="TOC2"/>
      </w:pPr>
      <w:r w:rsidRPr="00D832D0">
        <w:t>Assessing North East Link’s impacts</w:t>
      </w:r>
      <w:r w:rsidRPr="00D832D0">
        <w:rPr>
          <w:webHidden/>
        </w:rPr>
        <w:tab/>
        <w:t>16</w:t>
      </w:r>
    </w:p>
    <w:p w14:paraId="58BEB027" w14:textId="6FE63761" w:rsidR="00B972FE" w:rsidRPr="00D832D0" w:rsidRDefault="00B972FE" w:rsidP="002D31F6">
      <w:pPr>
        <w:pStyle w:val="TOC3"/>
        <w:tabs>
          <w:tab w:val="clear" w:pos="1985"/>
        </w:tabs>
      </w:pPr>
      <w:r w:rsidRPr="00D832D0">
        <w:t>Transport</w:t>
      </w:r>
      <w:r w:rsidRPr="00D832D0">
        <w:rPr>
          <w:webHidden/>
        </w:rPr>
        <w:tab/>
      </w:r>
      <w:r w:rsidR="002D31F6">
        <w:rPr>
          <w:webHidden/>
        </w:rPr>
        <w:tab/>
      </w:r>
      <w:r w:rsidRPr="00D832D0">
        <w:rPr>
          <w:webHidden/>
        </w:rPr>
        <w:t>16</w:t>
      </w:r>
    </w:p>
    <w:p w14:paraId="2678ADB3" w14:textId="77777777" w:rsidR="00B972FE" w:rsidRPr="00D832D0" w:rsidRDefault="00B972FE" w:rsidP="00B972FE">
      <w:pPr>
        <w:pStyle w:val="TOC3"/>
      </w:pPr>
      <w:r w:rsidRPr="00D832D0">
        <w:t>Amenity and wellbeing</w:t>
      </w:r>
      <w:r w:rsidRPr="00D832D0">
        <w:rPr>
          <w:webHidden/>
        </w:rPr>
        <w:tab/>
        <w:t>18</w:t>
      </w:r>
    </w:p>
    <w:p w14:paraId="7EAC6438" w14:textId="6DE77680" w:rsidR="00B972FE" w:rsidRPr="00D832D0" w:rsidRDefault="00B972FE" w:rsidP="00B972FE">
      <w:pPr>
        <w:pStyle w:val="TOC3"/>
      </w:pPr>
      <w:r w:rsidRPr="00D832D0">
        <w:t>Business</w:t>
      </w:r>
      <w:r w:rsidRPr="00D832D0">
        <w:rPr>
          <w:webHidden/>
        </w:rPr>
        <w:tab/>
      </w:r>
      <w:r w:rsidR="002D31F6">
        <w:rPr>
          <w:webHidden/>
        </w:rPr>
        <w:tab/>
      </w:r>
      <w:r w:rsidRPr="00D832D0">
        <w:rPr>
          <w:webHidden/>
        </w:rPr>
        <w:t>23</w:t>
      </w:r>
    </w:p>
    <w:p w14:paraId="368DC163" w14:textId="77777777" w:rsidR="00B972FE" w:rsidRPr="00D832D0" w:rsidRDefault="00B972FE" w:rsidP="00B972FE">
      <w:pPr>
        <w:pStyle w:val="TOC3"/>
      </w:pPr>
      <w:r w:rsidRPr="00D832D0">
        <w:t>Social and community</w:t>
      </w:r>
      <w:r w:rsidRPr="00D832D0">
        <w:rPr>
          <w:webHidden/>
        </w:rPr>
        <w:tab/>
        <w:t>25</w:t>
      </w:r>
    </w:p>
    <w:p w14:paraId="7740D558" w14:textId="77777777" w:rsidR="00B972FE" w:rsidRPr="00D832D0" w:rsidRDefault="00B972FE" w:rsidP="00B972FE">
      <w:pPr>
        <w:pStyle w:val="TOC3"/>
      </w:pPr>
      <w:r w:rsidRPr="00D832D0">
        <w:t>Land use planning</w:t>
      </w:r>
      <w:r w:rsidRPr="00D832D0">
        <w:rPr>
          <w:webHidden/>
        </w:rPr>
        <w:tab/>
        <w:t>26</w:t>
      </w:r>
    </w:p>
    <w:p w14:paraId="0D457DC5" w14:textId="77777777" w:rsidR="00B972FE" w:rsidRPr="00D832D0" w:rsidRDefault="00B972FE" w:rsidP="00B972FE">
      <w:pPr>
        <w:pStyle w:val="TOC3"/>
      </w:pPr>
      <w:r w:rsidRPr="00D832D0">
        <w:t>Landscape and visual</w:t>
      </w:r>
      <w:r w:rsidRPr="00D832D0">
        <w:rPr>
          <w:webHidden/>
        </w:rPr>
        <w:tab/>
        <w:t>27</w:t>
      </w:r>
    </w:p>
    <w:p w14:paraId="3DF69827" w14:textId="63BA0CDA" w:rsidR="00B972FE" w:rsidRPr="00D832D0" w:rsidRDefault="00B972FE" w:rsidP="00B972FE">
      <w:pPr>
        <w:pStyle w:val="TOC3"/>
      </w:pPr>
      <w:r w:rsidRPr="00D832D0">
        <w:t>Heritage</w:t>
      </w:r>
      <w:r w:rsidRPr="00D832D0">
        <w:rPr>
          <w:webHidden/>
        </w:rPr>
        <w:tab/>
      </w:r>
      <w:r w:rsidR="002D31F6">
        <w:rPr>
          <w:webHidden/>
        </w:rPr>
        <w:tab/>
      </w:r>
      <w:r w:rsidRPr="00D832D0">
        <w:rPr>
          <w:webHidden/>
        </w:rPr>
        <w:t>28</w:t>
      </w:r>
    </w:p>
    <w:p w14:paraId="3837E2BD" w14:textId="77777777" w:rsidR="00B972FE" w:rsidRPr="00D832D0" w:rsidRDefault="00B972FE" w:rsidP="00B972FE">
      <w:pPr>
        <w:pStyle w:val="TOC3"/>
      </w:pPr>
      <w:r w:rsidRPr="00D832D0">
        <w:t>Ground movement</w:t>
      </w:r>
      <w:r w:rsidRPr="00D832D0">
        <w:rPr>
          <w:webHidden/>
        </w:rPr>
        <w:tab/>
        <w:t>30</w:t>
      </w:r>
    </w:p>
    <w:p w14:paraId="53024CF1" w14:textId="738BE6E0" w:rsidR="00B972FE" w:rsidRPr="00D832D0" w:rsidRDefault="00B972FE" w:rsidP="00B972FE">
      <w:pPr>
        <w:pStyle w:val="TOC3"/>
      </w:pPr>
      <w:r w:rsidRPr="00D832D0">
        <w:t>Groundwater</w:t>
      </w:r>
      <w:r w:rsidRPr="00D832D0">
        <w:rPr>
          <w:webHidden/>
        </w:rPr>
        <w:tab/>
      </w:r>
      <w:r w:rsidR="002D31F6">
        <w:rPr>
          <w:webHidden/>
        </w:rPr>
        <w:tab/>
      </w:r>
      <w:r w:rsidRPr="00D832D0">
        <w:rPr>
          <w:webHidden/>
        </w:rPr>
        <w:t>31</w:t>
      </w:r>
    </w:p>
    <w:p w14:paraId="1A4EA30D" w14:textId="77777777" w:rsidR="00B972FE" w:rsidRPr="00D832D0" w:rsidRDefault="00B972FE" w:rsidP="00B972FE">
      <w:pPr>
        <w:pStyle w:val="TOC3"/>
      </w:pPr>
      <w:r w:rsidRPr="00D832D0">
        <w:t>Contamination and soil</w:t>
      </w:r>
      <w:r w:rsidRPr="00D832D0">
        <w:rPr>
          <w:webHidden/>
        </w:rPr>
        <w:tab/>
        <w:t>32</w:t>
      </w:r>
    </w:p>
    <w:p w14:paraId="55D1F9F8" w14:textId="59251DDA" w:rsidR="00B972FE" w:rsidRPr="00D832D0" w:rsidRDefault="00B972FE" w:rsidP="00B972FE">
      <w:pPr>
        <w:pStyle w:val="TOC3"/>
      </w:pPr>
      <w:r w:rsidRPr="00D832D0">
        <w:t>Surface water</w:t>
      </w:r>
      <w:r w:rsidRPr="00D832D0">
        <w:rPr>
          <w:webHidden/>
        </w:rPr>
        <w:tab/>
      </w:r>
      <w:r w:rsidR="002D31F6">
        <w:rPr>
          <w:webHidden/>
        </w:rPr>
        <w:tab/>
      </w:r>
      <w:r w:rsidRPr="00D832D0">
        <w:rPr>
          <w:webHidden/>
        </w:rPr>
        <w:t>33</w:t>
      </w:r>
    </w:p>
    <w:p w14:paraId="736F8D89" w14:textId="7FF72569" w:rsidR="00B972FE" w:rsidRPr="00D832D0" w:rsidRDefault="00B972FE" w:rsidP="00B972FE">
      <w:pPr>
        <w:pStyle w:val="TOC3"/>
      </w:pPr>
      <w:r w:rsidRPr="00D832D0">
        <w:t>Ecology</w:t>
      </w:r>
      <w:r w:rsidRPr="00D832D0">
        <w:rPr>
          <w:webHidden/>
        </w:rPr>
        <w:tab/>
      </w:r>
      <w:r w:rsidR="002D31F6">
        <w:rPr>
          <w:webHidden/>
        </w:rPr>
        <w:tab/>
      </w:r>
      <w:r w:rsidRPr="00D832D0">
        <w:rPr>
          <w:webHidden/>
        </w:rPr>
        <w:t>34</w:t>
      </w:r>
    </w:p>
    <w:p w14:paraId="1995B6EF" w14:textId="47631897" w:rsidR="00B972FE" w:rsidRPr="00D832D0" w:rsidRDefault="00B972FE" w:rsidP="00B972FE">
      <w:pPr>
        <w:pStyle w:val="TOC3"/>
      </w:pPr>
      <w:r w:rsidRPr="00D832D0">
        <w:t>Planted trees</w:t>
      </w:r>
      <w:r w:rsidRPr="00D832D0">
        <w:rPr>
          <w:webHidden/>
        </w:rPr>
        <w:tab/>
      </w:r>
      <w:r w:rsidR="002D31F6">
        <w:rPr>
          <w:webHidden/>
        </w:rPr>
        <w:tab/>
      </w:r>
      <w:r w:rsidRPr="00D832D0">
        <w:rPr>
          <w:webHidden/>
        </w:rPr>
        <w:t>36</w:t>
      </w:r>
    </w:p>
    <w:p w14:paraId="1F97B389" w14:textId="77777777" w:rsidR="00B972FE" w:rsidRPr="00D832D0" w:rsidRDefault="00B972FE" w:rsidP="00B972FE">
      <w:pPr>
        <w:pStyle w:val="TOC2"/>
      </w:pPr>
      <w:r w:rsidRPr="00D832D0">
        <w:t>Managing the project’s impacts</w:t>
      </w:r>
      <w:r w:rsidRPr="00D832D0">
        <w:rPr>
          <w:webHidden/>
        </w:rPr>
        <w:tab/>
        <w:t>38</w:t>
      </w:r>
    </w:p>
    <w:p w14:paraId="19CF57E7" w14:textId="77777777" w:rsidR="00B972FE" w:rsidRPr="00D832D0" w:rsidRDefault="00B972FE" w:rsidP="00B972FE">
      <w:pPr>
        <w:pStyle w:val="TOC2"/>
      </w:pPr>
      <w:r w:rsidRPr="00D832D0">
        <w:t>Consulting with the community</w:t>
      </w:r>
      <w:r w:rsidRPr="00D832D0">
        <w:rPr>
          <w:webHidden/>
        </w:rPr>
        <w:tab/>
        <w:t>39</w:t>
      </w:r>
    </w:p>
    <w:p w14:paraId="426BF72F" w14:textId="77777777" w:rsidR="00B972FE" w:rsidRPr="00D832D0" w:rsidRDefault="00B972FE" w:rsidP="00B972FE">
      <w:pPr>
        <w:pStyle w:val="TOC2"/>
      </w:pPr>
      <w:r w:rsidRPr="00D832D0">
        <w:t>Concluding the EES process</w:t>
      </w:r>
      <w:r w:rsidRPr="00D832D0">
        <w:rPr>
          <w:webHidden/>
        </w:rPr>
        <w:tab/>
        <w:t>40</w:t>
      </w:r>
    </w:p>
    <w:p w14:paraId="12B6117D" w14:textId="77777777" w:rsidR="00B972FE" w:rsidRDefault="00B972FE" w:rsidP="002D31F6">
      <w:pPr>
        <w:pStyle w:val="TOC1"/>
        <w:pageBreakBefore/>
        <w:rPr>
          <w:rFonts w:eastAsiaTheme="minorEastAsia"/>
          <w:color w:val="auto"/>
          <w:lang w:eastAsia="en-AU"/>
        </w:rPr>
      </w:pPr>
      <w:r w:rsidRPr="0043222D">
        <w:lastRenderedPageBreak/>
        <w:t>Chapter 1</w:t>
      </w:r>
      <w:r>
        <w:rPr>
          <w:rFonts w:eastAsiaTheme="minorEastAsia"/>
          <w:color w:val="auto"/>
          <w:lang w:eastAsia="en-AU"/>
        </w:rPr>
        <w:tab/>
      </w:r>
      <w:r w:rsidRPr="0043222D">
        <w:t>Introduction</w:t>
      </w:r>
      <w:r>
        <w:rPr>
          <w:webHidden/>
        </w:rPr>
        <w:tab/>
        <w:t>1–1</w:t>
      </w:r>
    </w:p>
    <w:p w14:paraId="6DC9A660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43222D">
        <w:t>1.1</w:t>
      </w:r>
      <w:r>
        <w:rPr>
          <w:rFonts w:eastAsiaTheme="minorEastAsia"/>
          <w:sz w:val="22"/>
          <w:lang w:eastAsia="en-AU"/>
        </w:rPr>
        <w:tab/>
      </w:r>
      <w:r w:rsidRPr="0043222D">
        <w:t>Purpose of this document</w:t>
      </w:r>
      <w:r>
        <w:rPr>
          <w:webHidden/>
        </w:rPr>
        <w:tab/>
        <w:t>1–1</w:t>
      </w:r>
    </w:p>
    <w:p w14:paraId="6C009307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43222D">
        <w:t>1.2</w:t>
      </w:r>
      <w:r>
        <w:rPr>
          <w:rFonts w:eastAsiaTheme="minorEastAsia"/>
          <w:sz w:val="22"/>
          <w:lang w:eastAsia="en-AU"/>
        </w:rPr>
        <w:tab/>
      </w:r>
      <w:r w:rsidRPr="0043222D">
        <w:t>Project overview</w:t>
      </w:r>
      <w:r>
        <w:rPr>
          <w:webHidden/>
        </w:rPr>
        <w:tab/>
        <w:t>1–2</w:t>
      </w:r>
    </w:p>
    <w:p w14:paraId="6D1571F2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43222D">
        <w:t>1.2.1</w:t>
      </w:r>
      <w:r>
        <w:rPr>
          <w:rFonts w:eastAsiaTheme="minorEastAsia"/>
          <w:sz w:val="22"/>
          <w:lang w:eastAsia="en-AU"/>
        </w:rPr>
        <w:tab/>
      </w:r>
      <w:r w:rsidRPr="0043222D">
        <w:t>Location and design overview</w:t>
      </w:r>
      <w:r>
        <w:rPr>
          <w:webHidden/>
        </w:rPr>
        <w:tab/>
        <w:t>1–2</w:t>
      </w:r>
    </w:p>
    <w:p w14:paraId="6AC13B3C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43222D">
        <w:t>1.2.2</w:t>
      </w:r>
      <w:r>
        <w:rPr>
          <w:rFonts w:eastAsiaTheme="minorEastAsia"/>
          <w:sz w:val="22"/>
          <w:lang w:eastAsia="en-AU"/>
        </w:rPr>
        <w:tab/>
      </w:r>
      <w:r w:rsidRPr="0043222D">
        <w:t>Project objectives and guiding principles</w:t>
      </w:r>
      <w:r>
        <w:rPr>
          <w:webHidden/>
        </w:rPr>
        <w:tab/>
        <w:t>1–3</w:t>
      </w:r>
    </w:p>
    <w:p w14:paraId="120A6369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43222D">
        <w:t>1.2.3</w:t>
      </w:r>
      <w:r>
        <w:rPr>
          <w:rFonts w:eastAsiaTheme="minorEastAsia"/>
          <w:sz w:val="22"/>
          <w:lang w:eastAsia="en-AU"/>
        </w:rPr>
        <w:tab/>
      </w:r>
      <w:r w:rsidRPr="0043222D">
        <w:t>Project benefits</w:t>
      </w:r>
      <w:r>
        <w:rPr>
          <w:webHidden/>
        </w:rPr>
        <w:tab/>
        <w:t>1–4</w:t>
      </w:r>
    </w:p>
    <w:p w14:paraId="33947B3A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43222D">
        <w:t>1.2.4</w:t>
      </w:r>
      <w:r>
        <w:rPr>
          <w:rFonts w:eastAsiaTheme="minorEastAsia"/>
          <w:sz w:val="22"/>
          <w:lang w:eastAsia="en-AU"/>
        </w:rPr>
        <w:tab/>
      </w:r>
      <w:r w:rsidRPr="0043222D">
        <w:t>Project timeline</w:t>
      </w:r>
      <w:r>
        <w:rPr>
          <w:webHidden/>
        </w:rPr>
        <w:tab/>
        <w:t>1–5</w:t>
      </w:r>
    </w:p>
    <w:p w14:paraId="62482FDE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43222D">
        <w:t>1.2.5</w:t>
      </w:r>
      <w:r>
        <w:rPr>
          <w:rFonts w:eastAsiaTheme="minorEastAsia"/>
          <w:sz w:val="22"/>
          <w:lang w:eastAsia="en-AU"/>
        </w:rPr>
        <w:tab/>
      </w:r>
      <w:r w:rsidRPr="0043222D">
        <w:t>Project proponent</w:t>
      </w:r>
      <w:r>
        <w:rPr>
          <w:webHidden/>
        </w:rPr>
        <w:tab/>
        <w:t>1–5</w:t>
      </w:r>
    </w:p>
    <w:p w14:paraId="066142A6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43222D">
        <w:t>1.3</w:t>
      </w:r>
      <w:r>
        <w:rPr>
          <w:rFonts w:eastAsiaTheme="minorEastAsia"/>
          <w:sz w:val="22"/>
          <w:lang w:eastAsia="en-AU"/>
        </w:rPr>
        <w:tab/>
      </w:r>
      <w:r w:rsidRPr="0043222D">
        <w:t>Environment Effects Statement</w:t>
      </w:r>
      <w:r>
        <w:rPr>
          <w:webHidden/>
        </w:rPr>
        <w:tab/>
        <w:t>1–5</w:t>
      </w:r>
    </w:p>
    <w:p w14:paraId="5C469C77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43222D">
        <w:t>1.3.1</w:t>
      </w:r>
      <w:r>
        <w:rPr>
          <w:rFonts w:eastAsiaTheme="minorEastAsia"/>
          <w:sz w:val="22"/>
          <w:lang w:eastAsia="en-AU"/>
        </w:rPr>
        <w:tab/>
      </w:r>
      <w:r w:rsidRPr="0043222D">
        <w:t>Requirement for an EES</w:t>
      </w:r>
      <w:r>
        <w:rPr>
          <w:webHidden/>
        </w:rPr>
        <w:tab/>
        <w:t>1–6</w:t>
      </w:r>
    </w:p>
    <w:p w14:paraId="1BED69FC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43222D">
        <w:t>1.3.2</w:t>
      </w:r>
      <w:r>
        <w:rPr>
          <w:rFonts w:eastAsiaTheme="minorEastAsia"/>
          <w:sz w:val="22"/>
          <w:lang w:eastAsia="en-AU"/>
        </w:rPr>
        <w:tab/>
      </w:r>
      <w:r w:rsidRPr="0043222D">
        <w:t>Scoping requirements</w:t>
      </w:r>
      <w:r>
        <w:rPr>
          <w:webHidden/>
        </w:rPr>
        <w:tab/>
        <w:t>1–6</w:t>
      </w:r>
    </w:p>
    <w:p w14:paraId="7E079979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43222D">
        <w:t>1.3.3</w:t>
      </w:r>
      <w:r>
        <w:rPr>
          <w:rFonts w:eastAsiaTheme="minorEastAsia"/>
          <w:sz w:val="22"/>
          <w:lang w:eastAsia="en-AU"/>
        </w:rPr>
        <w:tab/>
      </w:r>
      <w:r w:rsidRPr="0043222D">
        <w:t>EES process</w:t>
      </w:r>
      <w:r>
        <w:rPr>
          <w:webHidden/>
        </w:rPr>
        <w:tab/>
        <w:t>1–7</w:t>
      </w:r>
    </w:p>
    <w:p w14:paraId="0497A841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43222D">
        <w:t>1.4</w:t>
      </w:r>
      <w:r>
        <w:rPr>
          <w:rFonts w:eastAsiaTheme="minorEastAsia"/>
          <w:sz w:val="22"/>
          <w:lang w:eastAsia="en-AU"/>
        </w:rPr>
        <w:tab/>
      </w:r>
      <w:r w:rsidRPr="0043222D">
        <w:t>Project approvals</w:t>
      </w:r>
      <w:r>
        <w:rPr>
          <w:webHidden/>
        </w:rPr>
        <w:tab/>
        <w:t>1–9</w:t>
      </w:r>
    </w:p>
    <w:p w14:paraId="491E6B4D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43222D">
        <w:t>1.4.1</w:t>
      </w:r>
      <w:r>
        <w:rPr>
          <w:rFonts w:eastAsiaTheme="minorEastAsia"/>
          <w:sz w:val="22"/>
          <w:lang w:eastAsia="en-AU"/>
        </w:rPr>
        <w:tab/>
      </w:r>
      <w:r w:rsidRPr="0043222D">
        <w:t>Australian Government approvals</w:t>
      </w:r>
      <w:r>
        <w:rPr>
          <w:webHidden/>
        </w:rPr>
        <w:tab/>
        <w:t>1–9</w:t>
      </w:r>
    </w:p>
    <w:p w14:paraId="2F0750D3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43222D">
        <w:t>1.4.2</w:t>
      </w:r>
      <w:r>
        <w:rPr>
          <w:rFonts w:eastAsiaTheme="minorEastAsia"/>
          <w:sz w:val="22"/>
          <w:lang w:eastAsia="en-AU"/>
        </w:rPr>
        <w:tab/>
      </w:r>
      <w:r w:rsidRPr="0043222D">
        <w:t>Victorian Government approvals</w:t>
      </w:r>
      <w:r>
        <w:rPr>
          <w:webHidden/>
        </w:rPr>
        <w:tab/>
        <w:t>1–9</w:t>
      </w:r>
    </w:p>
    <w:p w14:paraId="46B47F0D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43222D">
        <w:t>1.5</w:t>
      </w:r>
      <w:r>
        <w:rPr>
          <w:rFonts w:eastAsiaTheme="minorEastAsia"/>
          <w:sz w:val="22"/>
          <w:lang w:eastAsia="en-AU"/>
        </w:rPr>
        <w:tab/>
      </w:r>
      <w:r w:rsidRPr="0043222D">
        <w:t>Approach to EES assessment</w:t>
      </w:r>
      <w:r>
        <w:rPr>
          <w:webHidden/>
        </w:rPr>
        <w:tab/>
        <w:t>1–10</w:t>
      </w:r>
    </w:p>
    <w:p w14:paraId="157AEBBE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43222D">
        <w:t>1.6</w:t>
      </w:r>
      <w:r>
        <w:rPr>
          <w:rFonts w:eastAsiaTheme="minorEastAsia"/>
          <w:sz w:val="22"/>
          <w:lang w:eastAsia="en-AU"/>
        </w:rPr>
        <w:tab/>
      </w:r>
      <w:r w:rsidRPr="0043222D">
        <w:t>Structure of the EES</w:t>
      </w:r>
      <w:r>
        <w:rPr>
          <w:webHidden/>
        </w:rPr>
        <w:tab/>
        <w:t>1–10</w:t>
      </w:r>
    </w:p>
    <w:p w14:paraId="0ADAAD71" w14:textId="77777777" w:rsidR="00B972FE" w:rsidRDefault="00B972FE" w:rsidP="002D31F6">
      <w:pPr>
        <w:pStyle w:val="TOC1"/>
        <w:rPr>
          <w:rFonts w:eastAsiaTheme="minorEastAsia"/>
          <w:color w:val="auto"/>
          <w:lang w:eastAsia="en-AU"/>
        </w:rPr>
      </w:pPr>
      <w:r w:rsidRPr="00DE5133">
        <w:t>Chapter 2</w:t>
      </w:r>
      <w:r>
        <w:rPr>
          <w:rFonts w:eastAsiaTheme="minorEastAsia"/>
          <w:color w:val="auto"/>
          <w:lang w:eastAsia="en-AU"/>
        </w:rPr>
        <w:tab/>
      </w:r>
      <w:r w:rsidRPr="00DE5133">
        <w:t>Project Rationale</w:t>
      </w:r>
      <w:r>
        <w:rPr>
          <w:webHidden/>
        </w:rPr>
        <w:tab/>
        <w:t>2–1</w:t>
      </w:r>
    </w:p>
    <w:p w14:paraId="023C772F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DE5133">
        <w:t>2.1</w:t>
      </w:r>
      <w:r>
        <w:rPr>
          <w:rFonts w:eastAsiaTheme="minorEastAsia"/>
          <w:sz w:val="22"/>
          <w:lang w:eastAsia="en-AU"/>
        </w:rPr>
        <w:tab/>
      </w:r>
      <w:r w:rsidRPr="00DE5133">
        <w:t>Introduction</w:t>
      </w:r>
      <w:r>
        <w:rPr>
          <w:webHidden/>
        </w:rPr>
        <w:tab/>
        <w:t>2–1</w:t>
      </w:r>
    </w:p>
    <w:p w14:paraId="64B50337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DE5133">
        <w:t>2.2</w:t>
      </w:r>
      <w:r>
        <w:rPr>
          <w:rFonts w:eastAsiaTheme="minorEastAsia"/>
          <w:sz w:val="22"/>
          <w:lang w:eastAsia="en-AU"/>
        </w:rPr>
        <w:tab/>
      </w:r>
      <w:r w:rsidRPr="00DE5133">
        <w:t>Critical drivers of change</w:t>
      </w:r>
      <w:r>
        <w:rPr>
          <w:webHidden/>
        </w:rPr>
        <w:tab/>
        <w:t>2–2</w:t>
      </w:r>
    </w:p>
    <w:p w14:paraId="0F493738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E5133">
        <w:t>2.2.1</w:t>
      </w:r>
      <w:r>
        <w:rPr>
          <w:rFonts w:eastAsiaTheme="minorEastAsia"/>
          <w:sz w:val="22"/>
          <w:lang w:eastAsia="en-AU"/>
        </w:rPr>
        <w:tab/>
      </w:r>
      <w:r w:rsidRPr="00DE5133">
        <w:t>Population size and distribution</w:t>
      </w:r>
      <w:r>
        <w:rPr>
          <w:webHidden/>
        </w:rPr>
        <w:tab/>
        <w:t>2–2</w:t>
      </w:r>
    </w:p>
    <w:p w14:paraId="06D8087C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E5133">
        <w:t>2.2.2</w:t>
      </w:r>
      <w:r>
        <w:rPr>
          <w:rFonts w:eastAsiaTheme="minorEastAsia"/>
          <w:sz w:val="22"/>
          <w:lang w:eastAsia="en-AU"/>
        </w:rPr>
        <w:tab/>
      </w:r>
      <w:r w:rsidRPr="00DE5133">
        <w:t>Economic structure</w:t>
      </w:r>
      <w:r>
        <w:rPr>
          <w:webHidden/>
        </w:rPr>
        <w:tab/>
        <w:t>2–3</w:t>
      </w:r>
    </w:p>
    <w:p w14:paraId="28CA25CF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E5133">
        <w:t>2.2.3</w:t>
      </w:r>
      <w:r>
        <w:rPr>
          <w:rFonts w:eastAsiaTheme="minorEastAsia"/>
          <w:sz w:val="22"/>
          <w:lang w:eastAsia="en-AU"/>
        </w:rPr>
        <w:tab/>
      </w:r>
      <w:r w:rsidRPr="00DE5133">
        <w:t>Spatial organisation</w:t>
      </w:r>
      <w:r>
        <w:rPr>
          <w:webHidden/>
        </w:rPr>
        <w:tab/>
        <w:t>2–3</w:t>
      </w:r>
    </w:p>
    <w:p w14:paraId="6E1948D8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DE5133">
        <w:t>2.3</w:t>
      </w:r>
      <w:r>
        <w:rPr>
          <w:rFonts w:eastAsiaTheme="minorEastAsia"/>
          <w:sz w:val="22"/>
          <w:lang w:eastAsia="en-AU"/>
        </w:rPr>
        <w:tab/>
      </w:r>
      <w:r w:rsidRPr="00DE5133">
        <w:t>Strategic context</w:t>
      </w:r>
      <w:r>
        <w:rPr>
          <w:webHidden/>
        </w:rPr>
        <w:tab/>
        <w:t>2–5</w:t>
      </w:r>
    </w:p>
    <w:p w14:paraId="5B0C6DB8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E5133">
        <w:t>2.3.1</w:t>
      </w:r>
      <w:r>
        <w:rPr>
          <w:rFonts w:eastAsiaTheme="minorEastAsia"/>
          <w:sz w:val="22"/>
          <w:lang w:eastAsia="en-AU"/>
        </w:rPr>
        <w:tab/>
      </w:r>
      <w:r w:rsidRPr="00DE5133">
        <w:t>Poor cross-city movements</w:t>
      </w:r>
      <w:r>
        <w:rPr>
          <w:webHidden/>
        </w:rPr>
        <w:tab/>
        <w:t>2–5</w:t>
      </w:r>
    </w:p>
    <w:p w14:paraId="06DA1160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E5133">
        <w:t>2.3.2</w:t>
      </w:r>
      <w:r>
        <w:rPr>
          <w:rFonts w:eastAsiaTheme="minorEastAsia"/>
          <w:sz w:val="22"/>
          <w:lang w:eastAsia="en-AU"/>
        </w:rPr>
        <w:tab/>
      </w:r>
      <w:r w:rsidRPr="00DE5133">
        <w:t>Inefficient freight movement between Melbourne’s north and south-east</w:t>
      </w:r>
      <w:r>
        <w:rPr>
          <w:webHidden/>
        </w:rPr>
        <w:tab/>
        <w:t>2–7</w:t>
      </w:r>
    </w:p>
    <w:p w14:paraId="76D94811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E5133">
        <w:t>2.3.3</w:t>
      </w:r>
      <w:r>
        <w:rPr>
          <w:rFonts w:eastAsiaTheme="minorEastAsia"/>
          <w:sz w:val="22"/>
          <w:lang w:eastAsia="en-AU"/>
        </w:rPr>
        <w:tab/>
      </w:r>
      <w:r w:rsidRPr="00DE5133">
        <w:t>Congestion and heavy vehicles on local and arterial roads</w:t>
      </w:r>
      <w:r>
        <w:rPr>
          <w:webHidden/>
        </w:rPr>
        <w:tab/>
        <w:t>2–8</w:t>
      </w:r>
    </w:p>
    <w:p w14:paraId="08AEBD39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DE5133">
        <w:t>2.4</w:t>
      </w:r>
      <w:r>
        <w:rPr>
          <w:rFonts w:eastAsiaTheme="minorEastAsia"/>
          <w:sz w:val="22"/>
          <w:lang w:eastAsia="en-AU"/>
        </w:rPr>
        <w:tab/>
      </w:r>
      <w:r w:rsidRPr="00DE5133">
        <w:t>Policy context</w:t>
      </w:r>
      <w:r>
        <w:rPr>
          <w:webHidden/>
        </w:rPr>
        <w:tab/>
        <w:t>2–9</w:t>
      </w:r>
    </w:p>
    <w:p w14:paraId="329DEFBA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E5133">
        <w:t>2.4.1</w:t>
      </w:r>
      <w:r>
        <w:rPr>
          <w:rFonts w:eastAsiaTheme="minorEastAsia"/>
          <w:sz w:val="22"/>
          <w:lang w:eastAsia="en-AU"/>
        </w:rPr>
        <w:tab/>
      </w:r>
      <w:r w:rsidRPr="00DE5133">
        <w:t>National context</w:t>
      </w:r>
      <w:r>
        <w:rPr>
          <w:webHidden/>
        </w:rPr>
        <w:tab/>
        <w:t>2–9</w:t>
      </w:r>
    </w:p>
    <w:p w14:paraId="70027900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E5133">
        <w:t>2.4.2</w:t>
      </w:r>
      <w:r>
        <w:rPr>
          <w:rFonts w:eastAsiaTheme="minorEastAsia"/>
          <w:sz w:val="22"/>
          <w:lang w:eastAsia="en-AU"/>
        </w:rPr>
        <w:tab/>
      </w:r>
      <w:r w:rsidRPr="00DE5133">
        <w:t>Victorian context</w:t>
      </w:r>
      <w:r>
        <w:rPr>
          <w:webHidden/>
        </w:rPr>
        <w:tab/>
        <w:t>2–11</w:t>
      </w:r>
    </w:p>
    <w:p w14:paraId="29E8EB50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DE5133">
        <w:t>2.5</w:t>
      </w:r>
      <w:r>
        <w:rPr>
          <w:rFonts w:eastAsiaTheme="minorEastAsia"/>
          <w:sz w:val="22"/>
          <w:lang w:eastAsia="en-AU"/>
        </w:rPr>
        <w:tab/>
      </w:r>
      <w:r w:rsidRPr="00DE5133">
        <w:t>Satisfying the project objectives</w:t>
      </w:r>
      <w:r>
        <w:rPr>
          <w:webHidden/>
        </w:rPr>
        <w:tab/>
        <w:t>2–20</w:t>
      </w:r>
    </w:p>
    <w:p w14:paraId="67982EB5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DE5133">
        <w:t>2.6</w:t>
      </w:r>
      <w:r>
        <w:rPr>
          <w:rFonts w:eastAsiaTheme="minorEastAsia"/>
          <w:sz w:val="22"/>
          <w:lang w:eastAsia="en-AU"/>
        </w:rPr>
        <w:tab/>
      </w:r>
      <w:r w:rsidRPr="00DE5133">
        <w:t>Project benefits</w:t>
      </w:r>
      <w:r>
        <w:rPr>
          <w:webHidden/>
        </w:rPr>
        <w:tab/>
        <w:t>2–21</w:t>
      </w:r>
    </w:p>
    <w:p w14:paraId="5444BD01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E5133">
        <w:t>2.6.1</w:t>
      </w:r>
      <w:r>
        <w:rPr>
          <w:rFonts w:eastAsiaTheme="minorEastAsia"/>
          <w:sz w:val="22"/>
          <w:lang w:eastAsia="en-AU"/>
        </w:rPr>
        <w:tab/>
      </w:r>
      <w:r w:rsidRPr="00DE5133">
        <w:t>Productive businesses</w:t>
      </w:r>
      <w:r>
        <w:rPr>
          <w:webHidden/>
        </w:rPr>
        <w:tab/>
        <w:t>2–22</w:t>
      </w:r>
    </w:p>
    <w:p w14:paraId="6C13B4BD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E5133">
        <w:t>2.6.2</w:t>
      </w:r>
      <w:r>
        <w:rPr>
          <w:rFonts w:eastAsiaTheme="minorEastAsia"/>
          <w:sz w:val="22"/>
          <w:lang w:eastAsia="en-AU"/>
        </w:rPr>
        <w:tab/>
      </w:r>
      <w:r w:rsidRPr="00DE5133">
        <w:t>Competitive supply chains</w:t>
      </w:r>
      <w:r>
        <w:rPr>
          <w:webHidden/>
        </w:rPr>
        <w:tab/>
        <w:t>2–22</w:t>
      </w:r>
    </w:p>
    <w:p w14:paraId="4B09ADA5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E5133">
        <w:t>2.6.3</w:t>
      </w:r>
      <w:r>
        <w:rPr>
          <w:rFonts w:eastAsiaTheme="minorEastAsia"/>
          <w:sz w:val="22"/>
          <w:lang w:eastAsia="en-AU"/>
        </w:rPr>
        <w:tab/>
      </w:r>
      <w:r w:rsidRPr="00DE5133">
        <w:t>Prosperous households</w:t>
      </w:r>
      <w:r>
        <w:rPr>
          <w:webHidden/>
        </w:rPr>
        <w:tab/>
        <w:t>2–23</w:t>
      </w:r>
    </w:p>
    <w:p w14:paraId="4D577DDD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E5133">
        <w:t>2.6.4</w:t>
      </w:r>
      <w:r>
        <w:rPr>
          <w:rFonts w:eastAsiaTheme="minorEastAsia"/>
          <w:sz w:val="22"/>
          <w:lang w:eastAsia="en-AU"/>
        </w:rPr>
        <w:tab/>
      </w:r>
      <w:r w:rsidRPr="00DE5133">
        <w:t>Liveable neighbourhoods</w:t>
      </w:r>
      <w:r>
        <w:rPr>
          <w:webHidden/>
        </w:rPr>
        <w:tab/>
        <w:t>2–25</w:t>
      </w:r>
    </w:p>
    <w:p w14:paraId="36C452D1" w14:textId="77777777" w:rsidR="00B972FE" w:rsidRDefault="00B972FE" w:rsidP="002D31F6">
      <w:pPr>
        <w:pStyle w:val="TOC1"/>
        <w:rPr>
          <w:rFonts w:eastAsiaTheme="minorEastAsia"/>
          <w:color w:val="auto"/>
          <w:lang w:eastAsia="en-AU"/>
        </w:rPr>
      </w:pPr>
      <w:r w:rsidRPr="009E1D2F">
        <w:lastRenderedPageBreak/>
        <w:t>Chapter 3</w:t>
      </w:r>
      <w:r>
        <w:rPr>
          <w:rFonts w:eastAsiaTheme="minorEastAsia"/>
          <w:color w:val="auto"/>
          <w:lang w:eastAsia="en-AU"/>
        </w:rPr>
        <w:tab/>
      </w:r>
      <w:r w:rsidRPr="009E1D2F">
        <w:t>Legislative Framework</w:t>
      </w:r>
      <w:r>
        <w:rPr>
          <w:webHidden/>
        </w:rPr>
        <w:tab/>
        <w:t>3–1</w:t>
      </w:r>
    </w:p>
    <w:p w14:paraId="24A9E55C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9E1D2F">
        <w:t>3.1</w:t>
      </w:r>
      <w:r>
        <w:rPr>
          <w:rFonts w:eastAsiaTheme="minorEastAsia"/>
          <w:sz w:val="22"/>
          <w:lang w:eastAsia="en-AU"/>
        </w:rPr>
        <w:tab/>
      </w:r>
      <w:r w:rsidRPr="009E1D2F">
        <w:t>Introduction</w:t>
      </w:r>
      <w:r>
        <w:rPr>
          <w:webHidden/>
        </w:rPr>
        <w:tab/>
        <w:t>3–1</w:t>
      </w:r>
    </w:p>
    <w:p w14:paraId="24D0AE33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9E1D2F">
        <w:t>3.2</w:t>
      </w:r>
      <w:r>
        <w:rPr>
          <w:rFonts w:eastAsiaTheme="minorEastAsia"/>
          <w:sz w:val="22"/>
          <w:lang w:eastAsia="en-AU"/>
        </w:rPr>
        <w:tab/>
      </w:r>
      <w:r w:rsidRPr="009E1D2F">
        <w:rPr>
          <w:i/>
        </w:rPr>
        <w:t>Environment Effects Act 1978</w:t>
      </w:r>
      <w:r w:rsidRPr="009E1D2F">
        <w:t xml:space="preserve"> (Vic)</w:t>
      </w:r>
      <w:r>
        <w:rPr>
          <w:webHidden/>
        </w:rPr>
        <w:tab/>
        <w:t>3–4</w:t>
      </w:r>
    </w:p>
    <w:p w14:paraId="74B7A1B5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9E1D2F">
        <w:t>3.2.1</w:t>
      </w:r>
      <w:r>
        <w:rPr>
          <w:rFonts w:eastAsiaTheme="minorEastAsia"/>
          <w:sz w:val="22"/>
          <w:lang w:eastAsia="en-AU"/>
        </w:rPr>
        <w:tab/>
      </w:r>
      <w:r w:rsidRPr="009E1D2F">
        <w:t>EES purpose</w:t>
      </w:r>
      <w:r>
        <w:rPr>
          <w:webHidden/>
        </w:rPr>
        <w:tab/>
        <w:t>3–4</w:t>
      </w:r>
    </w:p>
    <w:p w14:paraId="43C38C06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9E1D2F">
        <w:t>3.2.2</w:t>
      </w:r>
      <w:r>
        <w:rPr>
          <w:rFonts w:eastAsiaTheme="minorEastAsia"/>
          <w:sz w:val="22"/>
          <w:lang w:eastAsia="en-AU"/>
        </w:rPr>
        <w:tab/>
      </w:r>
      <w:r w:rsidRPr="009E1D2F">
        <w:t>EES process</w:t>
      </w:r>
      <w:r>
        <w:rPr>
          <w:webHidden/>
        </w:rPr>
        <w:tab/>
        <w:t>3–4</w:t>
      </w:r>
    </w:p>
    <w:p w14:paraId="3FDF91FB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9E1D2F">
        <w:t>3.3</w:t>
      </w:r>
      <w:r>
        <w:rPr>
          <w:rFonts w:eastAsiaTheme="minorEastAsia"/>
          <w:sz w:val="22"/>
          <w:lang w:eastAsia="en-AU"/>
        </w:rPr>
        <w:tab/>
      </w:r>
      <w:r w:rsidRPr="009E1D2F">
        <w:t>Principal approvals</w:t>
      </w:r>
      <w:r>
        <w:rPr>
          <w:webHidden/>
        </w:rPr>
        <w:tab/>
        <w:t>3–6</w:t>
      </w:r>
    </w:p>
    <w:p w14:paraId="7EF00ED0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9E1D2F">
        <w:t>3.3.1</w:t>
      </w:r>
      <w:r>
        <w:rPr>
          <w:rFonts w:eastAsiaTheme="minorEastAsia"/>
          <w:sz w:val="22"/>
          <w:lang w:eastAsia="en-AU"/>
        </w:rPr>
        <w:tab/>
      </w:r>
      <w:r w:rsidRPr="009E1D2F">
        <w:rPr>
          <w:i/>
        </w:rPr>
        <w:t>Planning and Environment Act 1987</w:t>
      </w:r>
      <w:r w:rsidRPr="009E1D2F">
        <w:t xml:space="preserve"> (Vic)</w:t>
      </w:r>
      <w:r>
        <w:rPr>
          <w:webHidden/>
        </w:rPr>
        <w:tab/>
        <w:t>3–7</w:t>
      </w:r>
    </w:p>
    <w:p w14:paraId="5A755073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9E1D2F">
        <w:t>3.3.2</w:t>
      </w:r>
      <w:r>
        <w:rPr>
          <w:rFonts w:eastAsiaTheme="minorEastAsia"/>
          <w:sz w:val="22"/>
          <w:lang w:eastAsia="en-AU"/>
        </w:rPr>
        <w:tab/>
      </w:r>
      <w:r w:rsidRPr="009E1D2F">
        <w:rPr>
          <w:i/>
        </w:rPr>
        <w:t>Environment Protection Act 1970</w:t>
      </w:r>
      <w:r w:rsidRPr="009E1D2F">
        <w:t xml:space="preserve"> (Vic)</w:t>
      </w:r>
      <w:r>
        <w:rPr>
          <w:webHidden/>
        </w:rPr>
        <w:tab/>
        <w:t>3–8</w:t>
      </w:r>
    </w:p>
    <w:p w14:paraId="619C349A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9E1D2F">
        <w:t>3.3.3</w:t>
      </w:r>
      <w:r>
        <w:rPr>
          <w:rFonts w:eastAsiaTheme="minorEastAsia"/>
          <w:sz w:val="22"/>
          <w:lang w:eastAsia="en-AU"/>
        </w:rPr>
        <w:tab/>
      </w:r>
      <w:r w:rsidRPr="009E1D2F">
        <w:rPr>
          <w:i/>
        </w:rPr>
        <w:t>Aboriginal Heritage Act 2006</w:t>
      </w:r>
      <w:r w:rsidRPr="009E1D2F">
        <w:t xml:space="preserve"> (Vic)</w:t>
      </w:r>
      <w:r>
        <w:rPr>
          <w:webHidden/>
        </w:rPr>
        <w:tab/>
        <w:t>3–9</w:t>
      </w:r>
    </w:p>
    <w:p w14:paraId="409AD635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9E1D2F">
        <w:t>3.4</w:t>
      </w:r>
      <w:r>
        <w:rPr>
          <w:rFonts w:eastAsiaTheme="minorEastAsia"/>
          <w:sz w:val="22"/>
          <w:lang w:eastAsia="en-AU"/>
        </w:rPr>
        <w:tab/>
      </w:r>
      <w:r w:rsidRPr="009E1D2F">
        <w:rPr>
          <w:i/>
        </w:rPr>
        <w:t>Environment Protection and Biodiversity Conservation Act 1999</w:t>
      </w:r>
      <w:r w:rsidRPr="009E1D2F">
        <w:t xml:space="preserve"> (Cwlth)</w:t>
      </w:r>
      <w:r>
        <w:rPr>
          <w:webHidden/>
        </w:rPr>
        <w:tab/>
        <w:t>3–9</w:t>
      </w:r>
    </w:p>
    <w:p w14:paraId="0F187611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9E1D2F">
        <w:t>3.5</w:t>
      </w:r>
      <w:r>
        <w:rPr>
          <w:rFonts w:eastAsiaTheme="minorEastAsia"/>
          <w:sz w:val="22"/>
          <w:lang w:eastAsia="en-AU"/>
        </w:rPr>
        <w:tab/>
      </w:r>
      <w:r w:rsidRPr="009E1D2F">
        <w:rPr>
          <w:i/>
        </w:rPr>
        <w:t>Major Transport Projects Facilitation Act 2009</w:t>
      </w:r>
      <w:r w:rsidRPr="009E1D2F">
        <w:t xml:space="preserve"> (Vic)</w:t>
      </w:r>
      <w:r>
        <w:rPr>
          <w:webHidden/>
        </w:rPr>
        <w:tab/>
        <w:t>3–11</w:t>
      </w:r>
    </w:p>
    <w:p w14:paraId="3876103D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9E1D2F">
        <w:t>3.6</w:t>
      </w:r>
      <w:r>
        <w:rPr>
          <w:rFonts w:eastAsiaTheme="minorEastAsia"/>
          <w:sz w:val="22"/>
          <w:lang w:eastAsia="en-AU"/>
        </w:rPr>
        <w:tab/>
      </w:r>
      <w:r w:rsidRPr="009E1D2F">
        <w:t>Other approvals</w:t>
      </w:r>
      <w:r>
        <w:rPr>
          <w:webHidden/>
        </w:rPr>
        <w:tab/>
        <w:t>3–12</w:t>
      </w:r>
    </w:p>
    <w:p w14:paraId="2459D87E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9E1D2F">
        <w:t>3.6.1</w:t>
      </w:r>
      <w:r>
        <w:rPr>
          <w:rFonts w:eastAsiaTheme="minorEastAsia"/>
          <w:sz w:val="22"/>
          <w:lang w:eastAsia="en-AU"/>
        </w:rPr>
        <w:tab/>
      </w:r>
      <w:r w:rsidRPr="009E1D2F">
        <w:rPr>
          <w:i/>
        </w:rPr>
        <w:t>Heritage Act 2017</w:t>
      </w:r>
      <w:r w:rsidRPr="009E1D2F">
        <w:t xml:space="preserve"> (Vic)</w:t>
      </w:r>
      <w:r>
        <w:rPr>
          <w:webHidden/>
        </w:rPr>
        <w:tab/>
        <w:t>3–12</w:t>
      </w:r>
    </w:p>
    <w:p w14:paraId="25D31591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9E1D2F">
        <w:t>3.6.2</w:t>
      </w:r>
      <w:r>
        <w:rPr>
          <w:rFonts w:eastAsiaTheme="minorEastAsia"/>
          <w:sz w:val="22"/>
          <w:lang w:eastAsia="en-AU"/>
        </w:rPr>
        <w:tab/>
      </w:r>
      <w:r w:rsidRPr="009E1D2F">
        <w:rPr>
          <w:i/>
        </w:rPr>
        <w:t>Crown Land (Reserves) Act 1978</w:t>
      </w:r>
      <w:r w:rsidRPr="009E1D2F">
        <w:t xml:space="preserve"> (Vic)</w:t>
      </w:r>
      <w:r>
        <w:rPr>
          <w:webHidden/>
        </w:rPr>
        <w:tab/>
        <w:t>3–12</w:t>
      </w:r>
    </w:p>
    <w:p w14:paraId="2DEF3391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9E1D2F">
        <w:t>3.6.3</w:t>
      </w:r>
      <w:r>
        <w:rPr>
          <w:rFonts w:eastAsiaTheme="minorEastAsia"/>
          <w:sz w:val="22"/>
          <w:lang w:eastAsia="en-AU"/>
        </w:rPr>
        <w:tab/>
      </w:r>
      <w:r w:rsidRPr="009E1D2F">
        <w:rPr>
          <w:i/>
        </w:rPr>
        <w:t>Land Act 1958</w:t>
      </w:r>
      <w:r w:rsidRPr="009E1D2F">
        <w:t xml:space="preserve"> (Vic)</w:t>
      </w:r>
      <w:r>
        <w:rPr>
          <w:webHidden/>
        </w:rPr>
        <w:tab/>
        <w:t>3–12</w:t>
      </w:r>
    </w:p>
    <w:p w14:paraId="4C9A1DFD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9E1D2F">
        <w:t>3.6.4</w:t>
      </w:r>
      <w:r>
        <w:rPr>
          <w:rFonts w:eastAsiaTheme="minorEastAsia"/>
          <w:sz w:val="22"/>
          <w:lang w:eastAsia="en-AU"/>
        </w:rPr>
        <w:tab/>
      </w:r>
      <w:r w:rsidRPr="009E1D2F">
        <w:rPr>
          <w:i/>
        </w:rPr>
        <w:t>Road Management Act 2004</w:t>
      </w:r>
      <w:r w:rsidRPr="009E1D2F">
        <w:t xml:space="preserve"> (Vic)</w:t>
      </w:r>
      <w:r>
        <w:rPr>
          <w:webHidden/>
        </w:rPr>
        <w:tab/>
        <w:t>3–13</w:t>
      </w:r>
    </w:p>
    <w:p w14:paraId="4F7D445B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9E1D2F">
        <w:t>3.6.5</w:t>
      </w:r>
      <w:r>
        <w:rPr>
          <w:rFonts w:eastAsiaTheme="minorEastAsia"/>
          <w:sz w:val="22"/>
          <w:lang w:eastAsia="en-AU"/>
        </w:rPr>
        <w:tab/>
      </w:r>
      <w:r w:rsidRPr="009E1D2F">
        <w:rPr>
          <w:i/>
        </w:rPr>
        <w:t>Flora and Fauna Guarantee Act 1988</w:t>
      </w:r>
      <w:r w:rsidRPr="009E1D2F">
        <w:t xml:space="preserve"> (Vic)</w:t>
      </w:r>
      <w:r>
        <w:rPr>
          <w:webHidden/>
        </w:rPr>
        <w:tab/>
        <w:t>3–13</w:t>
      </w:r>
    </w:p>
    <w:p w14:paraId="13B441E9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9E1D2F">
        <w:t>3.6.6</w:t>
      </w:r>
      <w:r>
        <w:rPr>
          <w:rFonts w:eastAsiaTheme="minorEastAsia"/>
          <w:sz w:val="22"/>
          <w:lang w:eastAsia="en-AU"/>
        </w:rPr>
        <w:tab/>
      </w:r>
      <w:r w:rsidRPr="009E1D2F">
        <w:rPr>
          <w:i/>
        </w:rPr>
        <w:t>Wildlife Act 1975</w:t>
      </w:r>
      <w:r w:rsidRPr="009E1D2F">
        <w:t xml:space="preserve"> (Vic)</w:t>
      </w:r>
      <w:r>
        <w:rPr>
          <w:webHidden/>
        </w:rPr>
        <w:tab/>
        <w:t>3–13</w:t>
      </w:r>
    </w:p>
    <w:p w14:paraId="05513BE0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9E1D2F">
        <w:t>3.6.7</w:t>
      </w:r>
      <w:r>
        <w:rPr>
          <w:rFonts w:eastAsiaTheme="minorEastAsia"/>
          <w:sz w:val="22"/>
          <w:lang w:eastAsia="en-AU"/>
        </w:rPr>
        <w:tab/>
      </w:r>
      <w:r w:rsidRPr="009E1D2F">
        <w:rPr>
          <w:i/>
        </w:rPr>
        <w:t>Water Act 1989</w:t>
      </w:r>
      <w:r w:rsidRPr="009E1D2F">
        <w:t xml:space="preserve"> (Vic)</w:t>
      </w:r>
      <w:r>
        <w:rPr>
          <w:webHidden/>
        </w:rPr>
        <w:tab/>
        <w:t>3–14</w:t>
      </w:r>
    </w:p>
    <w:p w14:paraId="63F070C1" w14:textId="77777777" w:rsidR="00B972FE" w:rsidRDefault="00B972FE" w:rsidP="002D31F6">
      <w:pPr>
        <w:pStyle w:val="TOC1"/>
        <w:rPr>
          <w:rFonts w:eastAsiaTheme="minorEastAsia"/>
          <w:color w:val="auto"/>
          <w:lang w:eastAsia="en-AU"/>
        </w:rPr>
      </w:pPr>
      <w:r w:rsidRPr="00DB29E6">
        <w:t>Chapter 4</w:t>
      </w:r>
      <w:r>
        <w:rPr>
          <w:rFonts w:eastAsiaTheme="minorEastAsia"/>
          <w:color w:val="auto"/>
          <w:lang w:eastAsia="en-AU"/>
        </w:rPr>
        <w:tab/>
      </w:r>
      <w:r w:rsidRPr="00DB29E6">
        <w:t>EES assessment framework</w:t>
      </w:r>
      <w:r>
        <w:rPr>
          <w:webHidden/>
        </w:rPr>
        <w:tab/>
        <w:t>4–1</w:t>
      </w:r>
    </w:p>
    <w:p w14:paraId="1A228C6F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DB29E6">
        <w:t>4.1</w:t>
      </w:r>
      <w:r>
        <w:rPr>
          <w:rFonts w:eastAsiaTheme="minorEastAsia"/>
          <w:sz w:val="22"/>
          <w:lang w:eastAsia="en-AU"/>
        </w:rPr>
        <w:tab/>
      </w:r>
      <w:r w:rsidRPr="00DB29E6">
        <w:t>Introduction</w:t>
      </w:r>
      <w:r>
        <w:rPr>
          <w:webHidden/>
        </w:rPr>
        <w:tab/>
        <w:t>4–1</w:t>
      </w:r>
    </w:p>
    <w:p w14:paraId="3A723C84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DB29E6">
        <w:t>4.2</w:t>
      </w:r>
      <w:r>
        <w:rPr>
          <w:rFonts w:eastAsiaTheme="minorEastAsia"/>
          <w:sz w:val="22"/>
          <w:lang w:eastAsia="en-AU"/>
        </w:rPr>
        <w:tab/>
      </w:r>
      <w:r w:rsidRPr="00DB29E6">
        <w:t>Overview of the EES assessment framework</w:t>
      </w:r>
      <w:r>
        <w:rPr>
          <w:webHidden/>
        </w:rPr>
        <w:tab/>
        <w:t>4–1</w:t>
      </w:r>
    </w:p>
    <w:p w14:paraId="4B8864A7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DB29E6">
        <w:t>4.3</w:t>
      </w:r>
      <w:r>
        <w:rPr>
          <w:rFonts w:eastAsiaTheme="minorEastAsia"/>
          <w:sz w:val="22"/>
          <w:lang w:eastAsia="en-AU"/>
        </w:rPr>
        <w:tab/>
      </w:r>
      <w:r w:rsidRPr="00DB29E6">
        <w:t>Scoping requirements</w:t>
      </w:r>
      <w:r>
        <w:rPr>
          <w:webHidden/>
        </w:rPr>
        <w:tab/>
        <w:t>4–3</w:t>
      </w:r>
    </w:p>
    <w:p w14:paraId="4A8A2632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DB29E6">
        <w:t>4.4</w:t>
      </w:r>
      <w:r>
        <w:rPr>
          <w:rFonts w:eastAsiaTheme="minorEastAsia"/>
          <w:sz w:val="22"/>
          <w:lang w:eastAsia="en-AU"/>
        </w:rPr>
        <w:tab/>
      </w:r>
      <w:r w:rsidRPr="00DB29E6">
        <w:t>Assessment approach</w:t>
      </w:r>
      <w:r>
        <w:rPr>
          <w:webHidden/>
        </w:rPr>
        <w:tab/>
        <w:t>4–6</w:t>
      </w:r>
    </w:p>
    <w:p w14:paraId="30E8299A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B29E6">
        <w:t>4.4.1</w:t>
      </w:r>
      <w:r>
        <w:rPr>
          <w:rFonts w:eastAsiaTheme="minorEastAsia"/>
          <w:sz w:val="22"/>
          <w:lang w:eastAsia="en-AU"/>
        </w:rPr>
        <w:tab/>
      </w:r>
      <w:r w:rsidRPr="00DB29E6">
        <w:t>Existing conditions</w:t>
      </w:r>
      <w:r>
        <w:rPr>
          <w:webHidden/>
        </w:rPr>
        <w:tab/>
        <w:t>4–6</w:t>
      </w:r>
    </w:p>
    <w:p w14:paraId="5590BFD4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B29E6">
        <w:t>4.4.2</w:t>
      </w:r>
      <w:r>
        <w:rPr>
          <w:rFonts w:eastAsiaTheme="minorEastAsia"/>
          <w:sz w:val="22"/>
          <w:lang w:eastAsia="en-AU"/>
        </w:rPr>
        <w:tab/>
      </w:r>
      <w:r w:rsidRPr="00DB29E6">
        <w:t>Risk assessment</w:t>
      </w:r>
      <w:r>
        <w:rPr>
          <w:webHidden/>
        </w:rPr>
        <w:tab/>
        <w:t>4–7</w:t>
      </w:r>
    </w:p>
    <w:p w14:paraId="2D1BFB6A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B29E6">
        <w:t>4.4.3</w:t>
      </w:r>
      <w:r>
        <w:rPr>
          <w:rFonts w:eastAsiaTheme="minorEastAsia"/>
          <w:sz w:val="22"/>
          <w:lang w:eastAsia="en-AU"/>
        </w:rPr>
        <w:tab/>
      </w:r>
      <w:r w:rsidRPr="00DB29E6">
        <w:t>Impact assessment</w:t>
      </w:r>
      <w:r>
        <w:rPr>
          <w:webHidden/>
        </w:rPr>
        <w:tab/>
        <w:t>4–11</w:t>
      </w:r>
    </w:p>
    <w:p w14:paraId="2588CB5B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B29E6">
        <w:t>4.4.4</w:t>
      </w:r>
      <w:r>
        <w:rPr>
          <w:rFonts w:eastAsiaTheme="minorEastAsia"/>
          <w:sz w:val="22"/>
          <w:lang w:eastAsia="en-AU"/>
        </w:rPr>
        <w:tab/>
      </w:r>
      <w:r w:rsidRPr="00DB29E6">
        <w:t>Environmental performance requirements</w:t>
      </w:r>
      <w:r>
        <w:rPr>
          <w:webHidden/>
        </w:rPr>
        <w:tab/>
        <w:t>4–12</w:t>
      </w:r>
    </w:p>
    <w:p w14:paraId="0BEE1E3B" w14:textId="77777777" w:rsidR="00B972FE" w:rsidRDefault="00B972FE" w:rsidP="002D31F6">
      <w:pPr>
        <w:pStyle w:val="TOC3"/>
        <w:rPr>
          <w:rFonts w:eastAsiaTheme="minorEastAsia"/>
          <w:sz w:val="22"/>
          <w:lang w:eastAsia="en-AU"/>
        </w:rPr>
      </w:pPr>
      <w:r w:rsidRPr="00DB29E6">
        <w:t>4.4.5</w:t>
      </w:r>
      <w:r>
        <w:rPr>
          <w:rFonts w:eastAsiaTheme="minorEastAsia"/>
          <w:sz w:val="22"/>
          <w:lang w:eastAsia="en-AU"/>
        </w:rPr>
        <w:tab/>
      </w:r>
      <w:r w:rsidRPr="00DB29E6">
        <w:t>Assessing cumulative impacts</w:t>
      </w:r>
      <w:r>
        <w:rPr>
          <w:webHidden/>
        </w:rPr>
        <w:tab/>
        <w:t>4–12</w:t>
      </w:r>
    </w:p>
    <w:p w14:paraId="490A6B70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DB29E6">
        <w:t>4.5</w:t>
      </w:r>
      <w:r>
        <w:rPr>
          <w:rFonts w:eastAsiaTheme="minorEastAsia"/>
          <w:sz w:val="22"/>
          <w:lang w:eastAsia="en-AU"/>
        </w:rPr>
        <w:tab/>
      </w:r>
      <w:r w:rsidRPr="00DB29E6">
        <w:t>Consultation</w:t>
      </w:r>
      <w:r>
        <w:rPr>
          <w:webHidden/>
        </w:rPr>
        <w:tab/>
        <w:t>4–13</w:t>
      </w:r>
    </w:p>
    <w:p w14:paraId="2FC895C2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DB29E6">
        <w:t>4.6</w:t>
      </w:r>
      <w:r>
        <w:rPr>
          <w:rFonts w:eastAsiaTheme="minorEastAsia"/>
          <w:sz w:val="22"/>
          <w:lang w:eastAsia="en-AU"/>
        </w:rPr>
        <w:tab/>
      </w:r>
      <w:r w:rsidRPr="00DB29E6">
        <w:t>Project development</w:t>
      </w:r>
      <w:r>
        <w:rPr>
          <w:webHidden/>
        </w:rPr>
        <w:tab/>
        <w:t>4–13</w:t>
      </w:r>
    </w:p>
    <w:p w14:paraId="3D2606CC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DB29E6">
        <w:t>4.7</w:t>
      </w:r>
      <w:r>
        <w:rPr>
          <w:rFonts w:eastAsiaTheme="minorEastAsia"/>
          <w:sz w:val="22"/>
          <w:lang w:eastAsia="en-AU"/>
        </w:rPr>
        <w:tab/>
      </w:r>
      <w:r w:rsidRPr="00DB29E6">
        <w:t>Key approvals</w:t>
      </w:r>
      <w:r>
        <w:rPr>
          <w:webHidden/>
        </w:rPr>
        <w:tab/>
        <w:t>4–14</w:t>
      </w:r>
    </w:p>
    <w:p w14:paraId="76DF9959" w14:textId="77777777" w:rsidR="00B972FE" w:rsidRDefault="00B972FE" w:rsidP="002D31F6">
      <w:pPr>
        <w:pStyle w:val="TOC2"/>
        <w:rPr>
          <w:rFonts w:eastAsiaTheme="minorEastAsia"/>
          <w:sz w:val="22"/>
          <w:lang w:eastAsia="en-AU"/>
        </w:rPr>
      </w:pPr>
      <w:r w:rsidRPr="00DB29E6">
        <w:t>4.8</w:t>
      </w:r>
      <w:r>
        <w:rPr>
          <w:rFonts w:eastAsiaTheme="minorEastAsia"/>
          <w:sz w:val="22"/>
          <w:lang w:eastAsia="en-AU"/>
        </w:rPr>
        <w:tab/>
      </w:r>
      <w:r w:rsidRPr="00DB29E6">
        <w:t>Scope of technical studies</w:t>
      </w:r>
      <w:r>
        <w:rPr>
          <w:webHidden/>
        </w:rPr>
        <w:tab/>
        <w:t>4–14</w:t>
      </w:r>
    </w:p>
    <w:p w14:paraId="1B3A9431" w14:textId="77777777" w:rsidR="00B972FE" w:rsidRDefault="00B972FE" w:rsidP="00B972FE">
      <w:pPr>
        <w:pStyle w:val="TOC1"/>
        <w:pageBreakBefore/>
        <w:rPr>
          <w:rFonts w:eastAsiaTheme="minorEastAsia"/>
          <w:color w:val="auto"/>
          <w:lang w:eastAsia="en-AU"/>
        </w:rPr>
      </w:pPr>
      <w:r w:rsidRPr="00D74C93">
        <w:lastRenderedPageBreak/>
        <w:t>Chapter 5</w:t>
      </w:r>
      <w:r>
        <w:rPr>
          <w:rFonts w:eastAsiaTheme="minorEastAsia"/>
          <w:color w:val="auto"/>
          <w:lang w:eastAsia="en-AU"/>
        </w:rPr>
        <w:tab/>
      </w:r>
      <w:r w:rsidRPr="00D74C93">
        <w:t>Communications and engagement</w:t>
      </w:r>
      <w:r>
        <w:rPr>
          <w:webHidden/>
        </w:rPr>
        <w:tab/>
        <w:t>5–1</w:t>
      </w:r>
    </w:p>
    <w:p w14:paraId="3153DAAB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D74C93">
        <w:t>5.1</w:t>
      </w:r>
      <w:r>
        <w:rPr>
          <w:rFonts w:eastAsiaTheme="minorEastAsia"/>
          <w:sz w:val="22"/>
          <w:lang w:eastAsia="en-AU"/>
        </w:rPr>
        <w:tab/>
      </w:r>
      <w:r w:rsidRPr="00D74C93">
        <w:t>Introduction</w:t>
      </w:r>
      <w:r>
        <w:rPr>
          <w:webHidden/>
        </w:rPr>
        <w:tab/>
        <w:t>5–1</w:t>
      </w:r>
    </w:p>
    <w:p w14:paraId="78F894CE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D74C93">
        <w:t>5.2</w:t>
      </w:r>
      <w:r>
        <w:rPr>
          <w:rFonts w:eastAsiaTheme="minorEastAsia"/>
          <w:sz w:val="22"/>
          <w:lang w:eastAsia="en-AU"/>
        </w:rPr>
        <w:tab/>
      </w:r>
      <w:r w:rsidRPr="00D74C93">
        <w:t>EES scoping requirements</w:t>
      </w:r>
      <w:r>
        <w:rPr>
          <w:webHidden/>
        </w:rPr>
        <w:tab/>
        <w:t>5–1</w:t>
      </w:r>
    </w:p>
    <w:p w14:paraId="737195FF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D74C93">
        <w:t>5.3</w:t>
      </w:r>
      <w:r>
        <w:rPr>
          <w:rFonts w:eastAsiaTheme="minorEastAsia"/>
          <w:sz w:val="22"/>
          <w:lang w:eastAsia="en-AU"/>
        </w:rPr>
        <w:tab/>
      </w:r>
      <w:r w:rsidRPr="00D74C93">
        <w:t>Communication and engagement framework</w:t>
      </w:r>
      <w:r>
        <w:rPr>
          <w:webHidden/>
        </w:rPr>
        <w:tab/>
        <w:t>5–2</w:t>
      </w:r>
    </w:p>
    <w:p w14:paraId="67945EE1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D74C93">
        <w:t>5.4</w:t>
      </w:r>
      <w:r>
        <w:rPr>
          <w:rFonts w:eastAsiaTheme="minorEastAsia"/>
          <w:sz w:val="22"/>
          <w:lang w:eastAsia="en-AU"/>
        </w:rPr>
        <w:tab/>
      </w:r>
      <w:r w:rsidRPr="00D74C93">
        <w:t>Stakeholders</w:t>
      </w:r>
      <w:r>
        <w:rPr>
          <w:webHidden/>
        </w:rPr>
        <w:tab/>
        <w:t>5–4</w:t>
      </w:r>
    </w:p>
    <w:p w14:paraId="4208D8B2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D74C93">
        <w:t>5.4.1</w:t>
      </w:r>
      <w:r>
        <w:rPr>
          <w:rFonts w:eastAsiaTheme="minorEastAsia"/>
          <w:sz w:val="22"/>
          <w:lang w:eastAsia="en-AU"/>
        </w:rPr>
        <w:tab/>
      </w:r>
      <w:r w:rsidRPr="00D74C93">
        <w:t>Overview of stakeholder groups</w:t>
      </w:r>
      <w:r>
        <w:rPr>
          <w:webHidden/>
        </w:rPr>
        <w:tab/>
        <w:t>5–4</w:t>
      </w:r>
    </w:p>
    <w:p w14:paraId="686E0146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D74C93">
        <w:t>5.4.2</w:t>
      </w:r>
      <w:r>
        <w:rPr>
          <w:rFonts w:eastAsiaTheme="minorEastAsia"/>
          <w:sz w:val="22"/>
          <w:lang w:eastAsia="en-AU"/>
        </w:rPr>
        <w:tab/>
      </w:r>
      <w:r w:rsidRPr="00D74C93">
        <w:t>Government stakeholders</w:t>
      </w:r>
      <w:r>
        <w:rPr>
          <w:webHidden/>
        </w:rPr>
        <w:tab/>
        <w:t>5–5</w:t>
      </w:r>
    </w:p>
    <w:p w14:paraId="5F33C7C0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D74C93">
        <w:t>5.5</w:t>
      </w:r>
      <w:r>
        <w:rPr>
          <w:rFonts w:eastAsiaTheme="minorEastAsia"/>
          <w:sz w:val="22"/>
          <w:lang w:eastAsia="en-AU"/>
        </w:rPr>
        <w:tab/>
      </w:r>
      <w:r w:rsidRPr="00D74C93">
        <w:t>Key engagement activities and tools</w:t>
      </w:r>
      <w:r>
        <w:rPr>
          <w:webHidden/>
        </w:rPr>
        <w:tab/>
        <w:t>5–8</w:t>
      </w:r>
    </w:p>
    <w:p w14:paraId="6082EB1D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D74C93">
        <w:t>5.5.1</w:t>
      </w:r>
      <w:r>
        <w:rPr>
          <w:rFonts w:eastAsiaTheme="minorEastAsia"/>
          <w:sz w:val="22"/>
          <w:lang w:eastAsia="en-AU"/>
        </w:rPr>
        <w:tab/>
      </w:r>
      <w:r w:rsidRPr="00D74C93">
        <w:t>Print and digital communication</w:t>
      </w:r>
      <w:r>
        <w:rPr>
          <w:webHidden/>
        </w:rPr>
        <w:tab/>
        <w:t>5–10</w:t>
      </w:r>
    </w:p>
    <w:p w14:paraId="198293A0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D74C93">
        <w:t>5.5.2</w:t>
      </w:r>
      <w:r>
        <w:rPr>
          <w:rFonts w:eastAsiaTheme="minorEastAsia"/>
          <w:sz w:val="22"/>
          <w:lang w:eastAsia="en-AU"/>
        </w:rPr>
        <w:tab/>
      </w:r>
      <w:r w:rsidRPr="00D74C93">
        <w:t>Community information sessions</w:t>
      </w:r>
      <w:r>
        <w:rPr>
          <w:webHidden/>
        </w:rPr>
        <w:tab/>
        <w:t>5–11</w:t>
      </w:r>
    </w:p>
    <w:p w14:paraId="41661DAB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D74C93">
        <w:t>5.5.3</w:t>
      </w:r>
      <w:r>
        <w:rPr>
          <w:rFonts w:eastAsiaTheme="minorEastAsia"/>
          <w:sz w:val="22"/>
          <w:lang w:eastAsia="en-AU"/>
        </w:rPr>
        <w:tab/>
      </w:r>
      <w:r w:rsidRPr="00D74C93">
        <w:t>Community pop-up sessions</w:t>
      </w:r>
      <w:r>
        <w:rPr>
          <w:webHidden/>
        </w:rPr>
        <w:tab/>
        <w:t>5–12</w:t>
      </w:r>
    </w:p>
    <w:p w14:paraId="058CF9F9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D74C93">
        <w:t>5.5.4</w:t>
      </w:r>
      <w:r>
        <w:rPr>
          <w:rFonts w:eastAsiaTheme="minorEastAsia"/>
          <w:sz w:val="22"/>
          <w:lang w:eastAsia="en-AU"/>
        </w:rPr>
        <w:tab/>
      </w:r>
      <w:r w:rsidRPr="00D74C93">
        <w:t>Community Liaison Groups</w:t>
      </w:r>
      <w:r>
        <w:rPr>
          <w:webHidden/>
        </w:rPr>
        <w:tab/>
        <w:t>5–12</w:t>
      </w:r>
    </w:p>
    <w:p w14:paraId="0C5E7890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D74C93">
        <w:t>5.5.5</w:t>
      </w:r>
      <w:r>
        <w:rPr>
          <w:rFonts w:eastAsiaTheme="minorEastAsia"/>
          <w:sz w:val="22"/>
          <w:lang w:eastAsia="en-AU"/>
        </w:rPr>
        <w:tab/>
      </w:r>
      <w:r w:rsidRPr="00D74C93">
        <w:t>Community Technical Discussion Groups</w:t>
      </w:r>
      <w:r>
        <w:rPr>
          <w:webHidden/>
        </w:rPr>
        <w:tab/>
        <w:t>5–13</w:t>
      </w:r>
    </w:p>
    <w:p w14:paraId="1F43DB25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D74C93">
        <w:t>5.5.6</w:t>
      </w:r>
      <w:r>
        <w:rPr>
          <w:rFonts w:eastAsiaTheme="minorEastAsia"/>
          <w:sz w:val="22"/>
          <w:lang w:eastAsia="en-AU"/>
        </w:rPr>
        <w:tab/>
      </w:r>
      <w:r w:rsidRPr="00D74C93">
        <w:t>Community workshops</w:t>
      </w:r>
      <w:r>
        <w:rPr>
          <w:webHidden/>
        </w:rPr>
        <w:tab/>
        <w:t>5–14</w:t>
      </w:r>
    </w:p>
    <w:p w14:paraId="093AE214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D74C93">
        <w:t>5.5.7</w:t>
      </w:r>
      <w:r>
        <w:rPr>
          <w:rFonts w:eastAsiaTheme="minorEastAsia"/>
          <w:sz w:val="22"/>
          <w:lang w:eastAsia="en-AU"/>
        </w:rPr>
        <w:tab/>
      </w:r>
      <w:r w:rsidRPr="00D74C93">
        <w:t>Technical Reference Group</w:t>
      </w:r>
      <w:r>
        <w:rPr>
          <w:webHidden/>
        </w:rPr>
        <w:tab/>
        <w:t>5–15</w:t>
      </w:r>
    </w:p>
    <w:p w14:paraId="32FFBF41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D74C93">
        <w:t>5.5.8</w:t>
      </w:r>
      <w:r>
        <w:rPr>
          <w:rFonts w:eastAsiaTheme="minorEastAsia"/>
          <w:sz w:val="22"/>
          <w:lang w:eastAsia="en-AU"/>
        </w:rPr>
        <w:tab/>
      </w:r>
      <w:r w:rsidRPr="00D74C93">
        <w:t>Urban Design Advisory Panel</w:t>
      </w:r>
      <w:r>
        <w:rPr>
          <w:webHidden/>
        </w:rPr>
        <w:tab/>
        <w:t>5–16</w:t>
      </w:r>
    </w:p>
    <w:p w14:paraId="1858FDFA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D74C93">
        <w:t>5.5.9</w:t>
      </w:r>
      <w:r>
        <w:rPr>
          <w:rFonts w:eastAsiaTheme="minorEastAsia"/>
          <w:sz w:val="22"/>
          <w:lang w:eastAsia="en-AU"/>
        </w:rPr>
        <w:tab/>
      </w:r>
      <w:r w:rsidRPr="00D74C93">
        <w:t>Traditional Owners collaboration</w:t>
      </w:r>
      <w:r>
        <w:rPr>
          <w:webHidden/>
        </w:rPr>
        <w:tab/>
        <w:t>5–17</w:t>
      </w:r>
    </w:p>
    <w:p w14:paraId="29141FBC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D74C93">
        <w:t>5.6</w:t>
      </w:r>
      <w:r>
        <w:rPr>
          <w:rFonts w:eastAsiaTheme="minorEastAsia"/>
          <w:sz w:val="22"/>
          <w:lang w:eastAsia="en-AU"/>
        </w:rPr>
        <w:tab/>
      </w:r>
      <w:r w:rsidRPr="00D74C93">
        <w:t>Overview of engagement</w:t>
      </w:r>
      <w:r>
        <w:rPr>
          <w:webHidden/>
        </w:rPr>
        <w:tab/>
        <w:t>5–17</w:t>
      </w:r>
    </w:p>
    <w:p w14:paraId="041246D1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D74C93">
        <w:t>5.6.1</w:t>
      </w:r>
      <w:r>
        <w:rPr>
          <w:rFonts w:eastAsiaTheme="minorEastAsia"/>
          <w:sz w:val="22"/>
          <w:lang w:eastAsia="en-AU"/>
        </w:rPr>
        <w:tab/>
      </w:r>
      <w:r w:rsidRPr="00D74C93">
        <w:t>Stage 1 – Corridor selection and business case</w:t>
      </w:r>
      <w:r>
        <w:rPr>
          <w:webHidden/>
        </w:rPr>
        <w:tab/>
        <w:t>5–17</w:t>
      </w:r>
    </w:p>
    <w:p w14:paraId="4C337965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D74C93">
        <w:t>5.6.2</w:t>
      </w:r>
      <w:r>
        <w:rPr>
          <w:rFonts w:eastAsiaTheme="minorEastAsia"/>
          <w:sz w:val="22"/>
          <w:lang w:eastAsia="en-AU"/>
        </w:rPr>
        <w:tab/>
      </w:r>
      <w:r w:rsidRPr="00D74C93">
        <w:t>Stage 2 – EES preparation and exhibition</w:t>
      </w:r>
      <w:r>
        <w:rPr>
          <w:webHidden/>
        </w:rPr>
        <w:tab/>
        <w:t>5–18</w:t>
      </w:r>
    </w:p>
    <w:p w14:paraId="6DC4FDBE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D74C93">
        <w:t>5.6.3</w:t>
      </w:r>
      <w:r>
        <w:rPr>
          <w:rFonts w:eastAsiaTheme="minorEastAsia"/>
          <w:sz w:val="22"/>
          <w:lang w:eastAsia="en-AU"/>
        </w:rPr>
        <w:tab/>
      </w:r>
      <w:r w:rsidRPr="00D74C93">
        <w:t>Stage 3 – Early works, procurement, construction</w:t>
      </w:r>
      <w:r>
        <w:rPr>
          <w:webHidden/>
        </w:rPr>
        <w:tab/>
        <w:t>5–23</w:t>
      </w:r>
    </w:p>
    <w:p w14:paraId="39474B00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D74C93">
        <w:t>5.7</w:t>
      </w:r>
      <w:r>
        <w:rPr>
          <w:rFonts w:eastAsiaTheme="minorEastAsia"/>
          <w:sz w:val="22"/>
          <w:lang w:eastAsia="en-AU"/>
        </w:rPr>
        <w:tab/>
      </w:r>
      <w:r w:rsidRPr="00D74C93">
        <w:t>Response to feedback</w:t>
      </w:r>
      <w:r>
        <w:rPr>
          <w:webHidden/>
        </w:rPr>
        <w:tab/>
        <w:t>5–24</w:t>
      </w:r>
    </w:p>
    <w:p w14:paraId="7AF02265" w14:textId="77777777" w:rsidR="00B972FE" w:rsidRDefault="00B972FE" w:rsidP="00B972FE">
      <w:pPr>
        <w:pStyle w:val="TOC1"/>
        <w:pageBreakBefore/>
        <w:rPr>
          <w:rFonts w:eastAsiaTheme="minorEastAsia"/>
          <w:color w:val="auto"/>
          <w:lang w:eastAsia="en-AU"/>
        </w:rPr>
      </w:pPr>
      <w:r w:rsidRPr="005C5DF2">
        <w:lastRenderedPageBreak/>
        <w:t>Chapter 6</w:t>
      </w:r>
      <w:r>
        <w:rPr>
          <w:rFonts w:eastAsiaTheme="minorEastAsia"/>
          <w:color w:val="auto"/>
          <w:lang w:eastAsia="en-AU"/>
        </w:rPr>
        <w:tab/>
      </w:r>
      <w:r w:rsidRPr="005C5DF2">
        <w:t>Project development</w:t>
      </w:r>
      <w:r>
        <w:rPr>
          <w:webHidden/>
        </w:rPr>
        <w:tab/>
        <w:t>6–1</w:t>
      </w:r>
    </w:p>
    <w:p w14:paraId="696480F0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5C5DF2">
        <w:t>6.1</w:t>
      </w:r>
      <w:r>
        <w:rPr>
          <w:rFonts w:eastAsiaTheme="minorEastAsia"/>
          <w:sz w:val="22"/>
          <w:lang w:eastAsia="en-AU"/>
        </w:rPr>
        <w:tab/>
      </w:r>
      <w:r w:rsidRPr="005C5DF2">
        <w:t>Introduction</w:t>
      </w:r>
      <w:r>
        <w:rPr>
          <w:webHidden/>
        </w:rPr>
        <w:tab/>
        <w:t>6–1</w:t>
      </w:r>
    </w:p>
    <w:p w14:paraId="4FB3737E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5C5DF2">
        <w:t>6.1.1</w:t>
      </w:r>
      <w:r>
        <w:rPr>
          <w:rFonts w:eastAsiaTheme="minorEastAsia"/>
          <w:sz w:val="22"/>
          <w:lang w:eastAsia="en-AU"/>
        </w:rPr>
        <w:tab/>
      </w:r>
      <w:r w:rsidRPr="005C5DF2">
        <w:t>Key transport challenges</w:t>
      </w:r>
      <w:r>
        <w:rPr>
          <w:webHidden/>
        </w:rPr>
        <w:tab/>
        <w:t>6–1</w:t>
      </w:r>
    </w:p>
    <w:p w14:paraId="32628FBA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5C5DF2">
        <w:t>6.1.2</w:t>
      </w:r>
      <w:r>
        <w:rPr>
          <w:rFonts w:eastAsiaTheme="minorEastAsia"/>
          <w:sz w:val="22"/>
          <w:lang w:eastAsia="en-AU"/>
        </w:rPr>
        <w:tab/>
      </w:r>
      <w:r w:rsidRPr="005C5DF2">
        <w:t>Overview of the project development process</w:t>
      </w:r>
      <w:r>
        <w:rPr>
          <w:webHidden/>
        </w:rPr>
        <w:tab/>
        <w:t>6–2</w:t>
      </w:r>
    </w:p>
    <w:p w14:paraId="0A309C14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5C5DF2">
        <w:t>6.2</w:t>
      </w:r>
      <w:r>
        <w:rPr>
          <w:rFonts w:eastAsiaTheme="minorEastAsia"/>
          <w:sz w:val="22"/>
          <w:lang w:eastAsia="en-AU"/>
        </w:rPr>
        <w:tab/>
      </w:r>
      <w:r w:rsidRPr="005C5DF2">
        <w:t>Strategic assessment</w:t>
      </w:r>
      <w:r>
        <w:rPr>
          <w:webHidden/>
        </w:rPr>
        <w:tab/>
        <w:t>6–4</w:t>
      </w:r>
    </w:p>
    <w:p w14:paraId="05E06603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5C5DF2">
        <w:t>6.2.1</w:t>
      </w:r>
      <w:r>
        <w:rPr>
          <w:rFonts w:eastAsiaTheme="minorEastAsia"/>
          <w:sz w:val="22"/>
          <w:lang w:eastAsia="en-AU"/>
        </w:rPr>
        <w:tab/>
      </w:r>
      <w:r w:rsidRPr="005C5DF2">
        <w:t>Strategic interventions</w:t>
      </w:r>
      <w:r>
        <w:rPr>
          <w:webHidden/>
        </w:rPr>
        <w:tab/>
        <w:t>6–5</w:t>
      </w:r>
    </w:p>
    <w:p w14:paraId="0CB64427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5C5DF2">
        <w:t>6.2.2</w:t>
      </w:r>
      <w:r>
        <w:rPr>
          <w:rFonts w:eastAsiaTheme="minorEastAsia"/>
          <w:sz w:val="22"/>
          <w:lang w:eastAsia="en-AU"/>
        </w:rPr>
        <w:tab/>
      </w:r>
      <w:r w:rsidRPr="005C5DF2">
        <w:t>Strategic options</w:t>
      </w:r>
      <w:r>
        <w:rPr>
          <w:webHidden/>
        </w:rPr>
        <w:tab/>
        <w:t>6–7</w:t>
      </w:r>
    </w:p>
    <w:p w14:paraId="47615573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5C5DF2">
        <w:t>6.3</w:t>
      </w:r>
      <w:r>
        <w:rPr>
          <w:rFonts w:eastAsiaTheme="minorEastAsia"/>
          <w:sz w:val="22"/>
          <w:lang w:eastAsia="en-AU"/>
        </w:rPr>
        <w:tab/>
      </w:r>
      <w:r w:rsidRPr="005C5DF2">
        <w:t>Corridor assessment</w:t>
      </w:r>
      <w:r>
        <w:rPr>
          <w:webHidden/>
        </w:rPr>
        <w:tab/>
        <w:t>6–8</w:t>
      </w:r>
    </w:p>
    <w:p w14:paraId="7C17E8FA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5C5DF2">
        <w:t>6.3.1</w:t>
      </w:r>
      <w:r>
        <w:rPr>
          <w:rFonts w:eastAsiaTheme="minorEastAsia"/>
          <w:sz w:val="22"/>
          <w:lang w:eastAsia="en-AU"/>
        </w:rPr>
        <w:tab/>
      </w:r>
      <w:r w:rsidRPr="005C5DF2">
        <w:t>Corridor options</w:t>
      </w:r>
      <w:r>
        <w:rPr>
          <w:webHidden/>
        </w:rPr>
        <w:tab/>
        <w:t>6–8</w:t>
      </w:r>
    </w:p>
    <w:p w14:paraId="3C51B49C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5C5DF2">
        <w:t>6.3.2</w:t>
      </w:r>
      <w:r>
        <w:rPr>
          <w:rFonts w:eastAsiaTheme="minorEastAsia"/>
          <w:sz w:val="22"/>
          <w:lang w:eastAsia="en-AU"/>
        </w:rPr>
        <w:tab/>
      </w:r>
      <w:r w:rsidRPr="005C5DF2">
        <w:t>Assessment criteria</w:t>
      </w:r>
      <w:r>
        <w:rPr>
          <w:webHidden/>
        </w:rPr>
        <w:tab/>
        <w:t>6–9</w:t>
      </w:r>
    </w:p>
    <w:p w14:paraId="258A8CD4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5C5DF2">
        <w:t>6.3.3</w:t>
      </w:r>
      <w:r>
        <w:rPr>
          <w:rFonts w:eastAsiaTheme="minorEastAsia"/>
          <w:sz w:val="22"/>
          <w:lang w:eastAsia="en-AU"/>
        </w:rPr>
        <w:tab/>
      </w:r>
      <w:r w:rsidRPr="005C5DF2">
        <w:t>Assessment process</w:t>
      </w:r>
      <w:r>
        <w:rPr>
          <w:webHidden/>
        </w:rPr>
        <w:tab/>
        <w:t>6–10</w:t>
      </w:r>
    </w:p>
    <w:p w14:paraId="4F4977C8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5C5DF2">
        <w:t>6.3.4</w:t>
      </w:r>
      <w:r>
        <w:rPr>
          <w:rFonts w:eastAsiaTheme="minorEastAsia"/>
          <w:sz w:val="22"/>
          <w:lang w:eastAsia="en-AU"/>
        </w:rPr>
        <w:tab/>
      </w:r>
      <w:r w:rsidRPr="005C5DF2">
        <w:t>Stakeholder and community input</w:t>
      </w:r>
      <w:r>
        <w:rPr>
          <w:webHidden/>
        </w:rPr>
        <w:tab/>
        <w:t>6–12</w:t>
      </w:r>
    </w:p>
    <w:p w14:paraId="50851A88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5C5DF2">
        <w:t>6.3.5</w:t>
      </w:r>
      <w:r>
        <w:rPr>
          <w:rFonts w:eastAsiaTheme="minorEastAsia"/>
          <w:sz w:val="22"/>
          <w:lang w:eastAsia="en-AU"/>
        </w:rPr>
        <w:tab/>
      </w:r>
      <w:r w:rsidRPr="005C5DF2">
        <w:t>Assessment of corridor options</w:t>
      </w:r>
      <w:r>
        <w:rPr>
          <w:webHidden/>
        </w:rPr>
        <w:tab/>
        <w:t>6–13</w:t>
      </w:r>
    </w:p>
    <w:p w14:paraId="1D57BC4F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5C5DF2">
        <w:t>6.4</w:t>
      </w:r>
      <w:r>
        <w:rPr>
          <w:rFonts w:eastAsiaTheme="minorEastAsia"/>
          <w:sz w:val="22"/>
          <w:lang w:eastAsia="en-AU"/>
        </w:rPr>
        <w:tab/>
      </w:r>
      <w:r w:rsidRPr="005C5DF2">
        <w:t>Reference project development</w:t>
      </w:r>
      <w:r>
        <w:rPr>
          <w:webHidden/>
        </w:rPr>
        <w:tab/>
        <w:t>6–16</w:t>
      </w:r>
    </w:p>
    <w:p w14:paraId="49DFE190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5C5DF2">
        <w:t>6.4.1</w:t>
      </w:r>
      <w:r>
        <w:rPr>
          <w:rFonts w:eastAsiaTheme="minorEastAsia"/>
          <w:sz w:val="22"/>
          <w:lang w:eastAsia="en-AU"/>
        </w:rPr>
        <w:tab/>
      </w:r>
      <w:r w:rsidRPr="005C5DF2">
        <w:t>Tunnel</w:t>
      </w:r>
      <w:r>
        <w:rPr>
          <w:webHidden/>
        </w:rPr>
        <w:tab/>
        <w:t>6–17</w:t>
      </w:r>
    </w:p>
    <w:p w14:paraId="2CDD3A5D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5C5DF2">
        <w:t>6.4.2</w:t>
      </w:r>
      <w:r>
        <w:rPr>
          <w:rFonts w:eastAsiaTheme="minorEastAsia"/>
          <w:sz w:val="22"/>
          <w:lang w:eastAsia="en-AU"/>
        </w:rPr>
        <w:tab/>
      </w:r>
      <w:r w:rsidRPr="005C5DF2">
        <w:t>Interchanges</w:t>
      </w:r>
      <w:r>
        <w:rPr>
          <w:webHidden/>
        </w:rPr>
        <w:tab/>
        <w:t>6–28</w:t>
      </w:r>
    </w:p>
    <w:p w14:paraId="3E14CE96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5C5DF2">
        <w:t>6.4.3</w:t>
      </w:r>
      <w:r>
        <w:rPr>
          <w:rFonts w:eastAsiaTheme="minorEastAsia"/>
          <w:sz w:val="22"/>
          <w:lang w:eastAsia="en-AU"/>
        </w:rPr>
        <w:tab/>
      </w:r>
      <w:r w:rsidRPr="005C5DF2">
        <w:t>Upgrading the Eastern Freeway</w:t>
      </w:r>
      <w:r>
        <w:rPr>
          <w:webHidden/>
        </w:rPr>
        <w:tab/>
        <w:t>6–46</w:t>
      </w:r>
    </w:p>
    <w:p w14:paraId="3F46314D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5C5DF2">
        <w:t>6.4.4</w:t>
      </w:r>
      <w:r>
        <w:rPr>
          <w:rFonts w:eastAsiaTheme="minorEastAsia"/>
          <w:sz w:val="22"/>
          <w:lang w:eastAsia="en-AU"/>
        </w:rPr>
        <w:tab/>
      </w:r>
      <w:r w:rsidRPr="005C5DF2">
        <w:t>Doncaster Busway</w:t>
      </w:r>
      <w:r>
        <w:rPr>
          <w:webHidden/>
        </w:rPr>
        <w:tab/>
        <w:t>6–52</w:t>
      </w:r>
    </w:p>
    <w:p w14:paraId="02DE2487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5C5DF2">
        <w:t>6.5</w:t>
      </w:r>
      <w:r>
        <w:rPr>
          <w:rFonts w:eastAsiaTheme="minorEastAsia"/>
          <w:sz w:val="22"/>
          <w:lang w:eastAsia="en-AU"/>
        </w:rPr>
        <w:tab/>
      </w:r>
      <w:r w:rsidRPr="005C5DF2">
        <w:t>The reference project</w:t>
      </w:r>
      <w:r>
        <w:rPr>
          <w:webHidden/>
        </w:rPr>
        <w:tab/>
        <w:t>6–59</w:t>
      </w:r>
    </w:p>
    <w:p w14:paraId="6DB5DE39" w14:textId="77777777" w:rsidR="00B972FE" w:rsidRDefault="00B972FE" w:rsidP="00B972FE">
      <w:pPr>
        <w:pStyle w:val="TOC1"/>
        <w:rPr>
          <w:rFonts w:eastAsiaTheme="minorEastAsia"/>
          <w:color w:val="auto"/>
          <w:lang w:eastAsia="en-AU"/>
        </w:rPr>
      </w:pPr>
      <w:r w:rsidRPr="007A721B">
        <w:t>Chapter 7</w:t>
      </w:r>
      <w:r>
        <w:rPr>
          <w:rFonts w:eastAsiaTheme="minorEastAsia"/>
          <w:color w:val="auto"/>
          <w:lang w:eastAsia="en-AU"/>
        </w:rPr>
        <w:tab/>
      </w:r>
      <w:r w:rsidRPr="007A721B">
        <w:t>Urban design approach</w:t>
      </w:r>
      <w:r>
        <w:rPr>
          <w:webHidden/>
        </w:rPr>
        <w:tab/>
        <w:t>7–1</w:t>
      </w:r>
    </w:p>
    <w:p w14:paraId="751B272A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A721B">
        <w:t>7.1</w:t>
      </w:r>
      <w:r>
        <w:rPr>
          <w:rFonts w:eastAsiaTheme="minorEastAsia"/>
          <w:sz w:val="22"/>
          <w:lang w:eastAsia="en-AU"/>
        </w:rPr>
        <w:tab/>
      </w:r>
      <w:r w:rsidRPr="007A721B">
        <w:t>Introduction</w:t>
      </w:r>
      <w:r>
        <w:rPr>
          <w:webHidden/>
        </w:rPr>
        <w:tab/>
        <w:t>7–1</w:t>
      </w:r>
    </w:p>
    <w:p w14:paraId="2DBA7D35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A721B">
        <w:t>7.2</w:t>
      </w:r>
      <w:r>
        <w:rPr>
          <w:rFonts w:eastAsiaTheme="minorEastAsia"/>
          <w:sz w:val="22"/>
          <w:lang w:eastAsia="en-AU"/>
        </w:rPr>
        <w:tab/>
      </w:r>
      <w:r w:rsidRPr="007A721B">
        <w:t>Stakeholder consultation</w:t>
      </w:r>
      <w:r>
        <w:rPr>
          <w:webHidden/>
        </w:rPr>
        <w:tab/>
        <w:t>7–2</w:t>
      </w:r>
    </w:p>
    <w:p w14:paraId="666212F9" w14:textId="3A0C8DA9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A721B">
        <w:t>7.2.1</w:t>
      </w:r>
      <w:r>
        <w:rPr>
          <w:rFonts w:eastAsiaTheme="minorEastAsia"/>
          <w:sz w:val="22"/>
          <w:lang w:eastAsia="en-AU"/>
        </w:rPr>
        <w:tab/>
      </w:r>
      <w:r w:rsidRPr="007A721B">
        <w:t>Consultation undertaken for the development of the Urban</w:t>
      </w:r>
      <w:r w:rsidR="002D31F6">
        <w:t> </w:t>
      </w:r>
      <w:r w:rsidRPr="007A721B">
        <w:t>Design</w:t>
      </w:r>
      <w:r w:rsidR="002D31F6">
        <w:t> </w:t>
      </w:r>
      <w:r w:rsidRPr="007A721B">
        <w:t>Strategy</w:t>
      </w:r>
      <w:r>
        <w:rPr>
          <w:webHidden/>
        </w:rPr>
        <w:tab/>
        <w:t>7–2</w:t>
      </w:r>
    </w:p>
    <w:p w14:paraId="5B7EC78D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A721B">
        <w:t>7.2.2</w:t>
      </w:r>
      <w:r>
        <w:rPr>
          <w:rFonts w:eastAsiaTheme="minorEastAsia"/>
          <w:sz w:val="22"/>
          <w:lang w:eastAsia="en-AU"/>
        </w:rPr>
        <w:tab/>
      </w:r>
      <w:r w:rsidRPr="007A721B">
        <w:t>Urban Design Advisory Panel</w:t>
      </w:r>
      <w:r>
        <w:rPr>
          <w:webHidden/>
        </w:rPr>
        <w:tab/>
        <w:t>7–2</w:t>
      </w:r>
    </w:p>
    <w:p w14:paraId="29BA580C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A721B">
        <w:t>7.3</w:t>
      </w:r>
      <w:r>
        <w:rPr>
          <w:rFonts w:eastAsiaTheme="minorEastAsia"/>
          <w:sz w:val="22"/>
          <w:lang w:eastAsia="en-AU"/>
        </w:rPr>
        <w:tab/>
      </w:r>
      <w:r w:rsidRPr="007A721B">
        <w:t>Policy context</w:t>
      </w:r>
      <w:r>
        <w:rPr>
          <w:webHidden/>
        </w:rPr>
        <w:tab/>
        <w:t>7–3</w:t>
      </w:r>
    </w:p>
    <w:p w14:paraId="6CD08672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A721B">
        <w:t>7.4</w:t>
      </w:r>
      <w:r>
        <w:rPr>
          <w:rFonts w:eastAsiaTheme="minorEastAsia"/>
          <w:sz w:val="22"/>
          <w:lang w:eastAsia="en-AU"/>
        </w:rPr>
        <w:tab/>
      </w:r>
      <w:r w:rsidRPr="007A721B">
        <w:t>Structure of the Urban Design Strategy</w:t>
      </w:r>
      <w:r>
        <w:rPr>
          <w:webHidden/>
        </w:rPr>
        <w:tab/>
        <w:t>7–4</w:t>
      </w:r>
    </w:p>
    <w:p w14:paraId="16C2A533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A721B">
        <w:t>7.4.1</w:t>
      </w:r>
      <w:r>
        <w:rPr>
          <w:rFonts w:eastAsiaTheme="minorEastAsia"/>
          <w:sz w:val="22"/>
          <w:lang w:eastAsia="en-AU"/>
        </w:rPr>
        <w:tab/>
      </w:r>
      <w:r w:rsidRPr="007A721B">
        <w:t>Corridor-wide requirements</w:t>
      </w:r>
      <w:r>
        <w:rPr>
          <w:webHidden/>
        </w:rPr>
        <w:tab/>
        <w:t>7–5</w:t>
      </w:r>
    </w:p>
    <w:p w14:paraId="44484AA7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A721B">
        <w:t>7.4.2</w:t>
      </w:r>
      <w:r>
        <w:rPr>
          <w:rFonts w:eastAsiaTheme="minorEastAsia"/>
          <w:sz w:val="22"/>
          <w:lang w:eastAsia="en-AU"/>
        </w:rPr>
        <w:tab/>
      </w:r>
      <w:r w:rsidRPr="007A721B">
        <w:t>Place-specific requirements</w:t>
      </w:r>
      <w:r>
        <w:rPr>
          <w:webHidden/>
        </w:rPr>
        <w:tab/>
        <w:t>7–10</w:t>
      </w:r>
    </w:p>
    <w:p w14:paraId="2464BA31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A721B">
        <w:t>7.4.3</w:t>
      </w:r>
      <w:r>
        <w:rPr>
          <w:rFonts w:eastAsiaTheme="minorEastAsia"/>
          <w:sz w:val="22"/>
          <w:lang w:eastAsia="en-AU"/>
        </w:rPr>
        <w:tab/>
      </w:r>
      <w:r w:rsidRPr="007A721B">
        <w:t>Detailed requirements and benchmarks</w:t>
      </w:r>
      <w:r>
        <w:rPr>
          <w:webHidden/>
        </w:rPr>
        <w:tab/>
        <w:t>7–11</w:t>
      </w:r>
    </w:p>
    <w:p w14:paraId="4747B541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A721B">
        <w:t>7.5</w:t>
      </w:r>
      <w:r>
        <w:rPr>
          <w:rFonts w:eastAsiaTheme="minorEastAsia"/>
          <w:sz w:val="22"/>
          <w:lang w:eastAsia="en-AU"/>
        </w:rPr>
        <w:tab/>
      </w:r>
      <w:r w:rsidRPr="007A721B">
        <w:t>Conclusion</w:t>
      </w:r>
      <w:r>
        <w:rPr>
          <w:webHidden/>
        </w:rPr>
        <w:tab/>
        <w:t>7–12</w:t>
      </w:r>
    </w:p>
    <w:p w14:paraId="68C0393A" w14:textId="77777777" w:rsidR="00B972FE" w:rsidRDefault="00B972FE" w:rsidP="00B972FE">
      <w:pPr>
        <w:pStyle w:val="TOC1"/>
        <w:pageBreakBefore/>
        <w:rPr>
          <w:rFonts w:eastAsiaTheme="minorEastAsia"/>
          <w:color w:val="auto"/>
          <w:lang w:eastAsia="en-AU"/>
        </w:rPr>
      </w:pPr>
      <w:r w:rsidRPr="007234F5">
        <w:lastRenderedPageBreak/>
        <w:t>Chapter 8</w:t>
      </w:r>
      <w:r>
        <w:rPr>
          <w:rFonts w:eastAsiaTheme="minorEastAsia"/>
          <w:color w:val="auto"/>
          <w:lang w:eastAsia="en-AU"/>
        </w:rPr>
        <w:tab/>
      </w:r>
      <w:r w:rsidRPr="007234F5">
        <w:t>Project description</w:t>
      </w:r>
      <w:r>
        <w:rPr>
          <w:webHidden/>
        </w:rPr>
        <w:tab/>
        <w:t>8–1</w:t>
      </w:r>
    </w:p>
    <w:p w14:paraId="3160568A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234F5">
        <w:t>8.1</w:t>
      </w:r>
      <w:r>
        <w:rPr>
          <w:rFonts w:eastAsiaTheme="minorEastAsia"/>
          <w:sz w:val="22"/>
          <w:lang w:eastAsia="en-AU"/>
        </w:rPr>
        <w:tab/>
      </w:r>
      <w:r w:rsidRPr="007234F5">
        <w:t>Introduction</w:t>
      </w:r>
      <w:r>
        <w:rPr>
          <w:webHidden/>
        </w:rPr>
        <w:tab/>
        <w:t>8–1</w:t>
      </w:r>
    </w:p>
    <w:p w14:paraId="57E4B842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234F5">
        <w:t>8.2</w:t>
      </w:r>
      <w:r>
        <w:rPr>
          <w:rFonts w:eastAsiaTheme="minorEastAsia"/>
          <w:sz w:val="22"/>
          <w:lang w:eastAsia="en-AU"/>
        </w:rPr>
        <w:tab/>
      </w:r>
      <w:r w:rsidRPr="007234F5">
        <w:t>Project elements</w:t>
      </w:r>
      <w:r>
        <w:rPr>
          <w:webHidden/>
        </w:rPr>
        <w:tab/>
        <w:t>8–2</w:t>
      </w:r>
    </w:p>
    <w:p w14:paraId="7C7DAACB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8.2.1</w:t>
      </w:r>
      <w:r>
        <w:rPr>
          <w:rFonts w:eastAsiaTheme="minorEastAsia"/>
          <w:sz w:val="22"/>
          <w:lang w:eastAsia="en-AU"/>
        </w:rPr>
        <w:tab/>
      </w:r>
      <w:r w:rsidRPr="007234F5">
        <w:t>Overview</w:t>
      </w:r>
      <w:r>
        <w:rPr>
          <w:webHidden/>
        </w:rPr>
        <w:tab/>
        <w:t>8–2</w:t>
      </w:r>
    </w:p>
    <w:p w14:paraId="7C0E2062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234F5">
        <w:t>8.3</w:t>
      </w:r>
      <w:r>
        <w:rPr>
          <w:rFonts w:eastAsiaTheme="minorEastAsia"/>
          <w:sz w:val="22"/>
          <w:lang w:eastAsia="en-AU"/>
        </w:rPr>
        <w:tab/>
      </w:r>
      <w:r w:rsidRPr="007234F5">
        <w:t>M80 Ring Road to northern portal</w:t>
      </w:r>
      <w:r>
        <w:rPr>
          <w:webHidden/>
        </w:rPr>
        <w:tab/>
        <w:t>8–4</w:t>
      </w:r>
    </w:p>
    <w:p w14:paraId="44FD4C82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8.3.1</w:t>
      </w:r>
      <w:r>
        <w:rPr>
          <w:rFonts w:eastAsiaTheme="minorEastAsia"/>
          <w:sz w:val="22"/>
          <w:lang w:eastAsia="en-AU"/>
        </w:rPr>
        <w:tab/>
      </w:r>
      <w:r w:rsidRPr="007234F5">
        <w:t>Road design</w:t>
      </w:r>
      <w:r>
        <w:rPr>
          <w:webHidden/>
        </w:rPr>
        <w:tab/>
        <w:t>8–6</w:t>
      </w:r>
    </w:p>
    <w:p w14:paraId="446CE946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8.3.2</w:t>
      </w:r>
      <w:r>
        <w:rPr>
          <w:rFonts w:eastAsiaTheme="minorEastAsia"/>
          <w:sz w:val="22"/>
          <w:lang w:eastAsia="en-AU"/>
        </w:rPr>
        <w:tab/>
      </w:r>
      <w:r w:rsidRPr="007234F5">
        <w:t>Noise walls</w:t>
      </w:r>
      <w:r>
        <w:rPr>
          <w:webHidden/>
        </w:rPr>
        <w:tab/>
        <w:t>8–12</w:t>
      </w:r>
    </w:p>
    <w:p w14:paraId="213DF84D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8.3.3</w:t>
      </w:r>
      <w:r>
        <w:rPr>
          <w:rFonts w:eastAsiaTheme="minorEastAsia"/>
          <w:sz w:val="22"/>
          <w:lang w:eastAsia="en-AU"/>
        </w:rPr>
        <w:tab/>
      </w:r>
      <w:r w:rsidRPr="007234F5">
        <w:t>Walking and cycling</w:t>
      </w:r>
      <w:r>
        <w:rPr>
          <w:webHidden/>
        </w:rPr>
        <w:tab/>
        <w:t>8–12</w:t>
      </w:r>
    </w:p>
    <w:p w14:paraId="616B5B97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8.3.4</w:t>
      </w:r>
      <w:r>
        <w:rPr>
          <w:rFonts w:eastAsiaTheme="minorEastAsia"/>
          <w:sz w:val="22"/>
          <w:lang w:eastAsia="en-AU"/>
        </w:rPr>
        <w:tab/>
      </w:r>
      <w:r w:rsidRPr="007234F5">
        <w:t>Waterway modifications</w:t>
      </w:r>
      <w:r>
        <w:rPr>
          <w:webHidden/>
        </w:rPr>
        <w:tab/>
        <w:t>8–16</w:t>
      </w:r>
    </w:p>
    <w:p w14:paraId="6EA5A3D8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8.3.5</w:t>
      </w:r>
      <w:r>
        <w:rPr>
          <w:rFonts w:eastAsiaTheme="minorEastAsia"/>
          <w:sz w:val="22"/>
          <w:lang w:eastAsia="en-AU"/>
        </w:rPr>
        <w:tab/>
      </w:r>
      <w:r w:rsidRPr="007234F5">
        <w:t>Drainage and stormwater management</w:t>
      </w:r>
      <w:r>
        <w:rPr>
          <w:webHidden/>
        </w:rPr>
        <w:tab/>
        <w:t>8–16</w:t>
      </w:r>
    </w:p>
    <w:p w14:paraId="638B7633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8.3.6</w:t>
      </w:r>
      <w:r>
        <w:rPr>
          <w:rFonts w:eastAsiaTheme="minorEastAsia"/>
          <w:sz w:val="22"/>
          <w:lang w:eastAsia="en-AU"/>
        </w:rPr>
        <w:tab/>
      </w:r>
      <w:r w:rsidRPr="007234F5">
        <w:t>Utilities</w:t>
      </w:r>
      <w:r>
        <w:rPr>
          <w:webHidden/>
        </w:rPr>
        <w:tab/>
        <w:t>8–16</w:t>
      </w:r>
    </w:p>
    <w:p w14:paraId="78426F8B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234F5">
        <w:t>8.4</w:t>
      </w:r>
      <w:r>
        <w:rPr>
          <w:rFonts w:eastAsiaTheme="minorEastAsia"/>
          <w:sz w:val="22"/>
          <w:lang w:eastAsia="en-AU"/>
        </w:rPr>
        <w:tab/>
      </w:r>
      <w:r w:rsidRPr="007234F5">
        <w:t>Northern portal to southern portal</w:t>
      </w:r>
      <w:r>
        <w:rPr>
          <w:webHidden/>
        </w:rPr>
        <w:tab/>
        <w:t>8–18</w:t>
      </w:r>
    </w:p>
    <w:p w14:paraId="27BE32B7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8.4.1</w:t>
      </w:r>
      <w:r>
        <w:rPr>
          <w:rFonts w:eastAsiaTheme="minorEastAsia"/>
          <w:sz w:val="22"/>
          <w:lang w:eastAsia="en-AU"/>
        </w:rPr>
        <w:tab/>
      </w:r>
      <w:r w:rsidRPr="007234F5">
        <w:t>Road design</w:t>
      </w:r>
      <w:r>
        <w:rPr>
          <w:webHidden/>
        </w:rPr>
        <w:tab/>
        <w:t>8–20</w:t>
      </w:r>
    </w:p>
    <w:p w14:paraId="46AC5CD7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8.4.2</w:t>
      </w:r>
      <w:r>
        <w:rPr>
          <w:rFonts w:eastAsiaTheme="minorEastAsia"/>
          <w:sz w:val="22"/>
          <w:lang w:eastAsia="en-AU"/>
        </w:rPr>
        <w:tab/>
      </w:r>
      <w:r w:rsidRPr="007234F5">
        <w:t>Noise walls</w:t>
      </w:r>
      <w:r>
        <w:rPr>
          <w:webHidden/>
        </w:rPr>
        <w:tab/>
        <w:t>8–30</w:t>
      </w:r>
    </w:p>
    <w:p w14:paraId="5D726D16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8.4.3</w:t>
      </w:r>
      <w:r>
        <w:rPr>
          <w:rFonts w:eastAsiaTheme="minorEastAsia"/>
          <w:sz w:val="22"/>
          <w:lang w:eastAsia="en-AU"/>
        </w:rPr>
        <w:tab/>
      </w:r>
      <w:r w:rsidRPr="007234F5">
        <w:t>Walking and cycling</w:t>
      </w:r>
      <w:r>
        <w:rPr>
          <w:webHidden/>
        </w:rPr>
        <w:tab/>
        <w:t>8–30</w:t>
      </w:r>
    </w:p>
    <w:p w14:paraId="09CFBBB0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8.4.4</w:t>
      </w:r>
      <w:r>
        <w:rPr>
          <w:rFonts w:eastAsiaTheme="minorEastAsia"/>
          <w:sz w:val="22"/>
          <w:lang w:eastAsia="en-AU"/>
        </w:rPr>
        <w:tab/>
      </w:r>
      <w:r w:rsidRPr="007234F5">
        <w:t>Drainage and stormwater management</w:t>
      </w:r>
      <w:r>
        <w:rPr>
          <w:webHidden/>
        </w:rPr>
        <w:tab/>
        <w:t>8–33</w:t>
      </w:r>
    </w:p>
    <w:p w14:paraId="0160087D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8.4.5</w:t>
      </w:r>
      <w:r>
        <w:rPr>
          <w:rFonts w:eastAsiaTheme="minorEastAsia"/>
          <w:sz w:val="22"/>
          <w:lang w:eastAsia="en-AU"/>
        </w:rPr>
        <w:tab/>
      </w:r>
      <w:r w:rsidRPr="007234F5">
        <w:t>Utilities</w:t>
      </w:r>
      <w:r>
        <w:rPr>
          <w:webHidden/>
        </w:rPr>
        <w:tab/>
        <w:t>8–33</w:t>
      </w:r>
    </w:p>
    <w:p w14:paraId="5C3243B4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8.4.6</w:t>
      </w:r>
      <w:r>
        <w:rPr>
          <w:rFonts w:eastAsiaTheme="minorEastAsia"/>
          <w:sz w:val="22"/>
          <w:lang w:eastAsia="en-AU"/>
        </w:rPr>
        <w:tab/>
      </w:r>
      <w:r w:rsidRPr="007234F5">
        <w:t>Other ancillary infrastructure</w:t>
      </w:r>
      <w:r>
        <w:rPr>
          <w:webHidden/>
        </w:rPr>
        <w:tab/>
        <w:t>8–33</w:t>
      </w:r>
    </w:p>
    <w:p w14:paraId="0F5C3540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234F5">
        <w:t>8.5</w:t>
      </w:r>
      <w:r>
        <w:rPr>
          <w:rFonts w:eastAsiaTheme="minorEastAsia"/>
          <w:sz w:val="22"/>
          <w:lang w:eastAsia="en-AU"/>
        </w:rPr>
        <w:tab/>
      </w:r>
      <w:r w:rsidRPr="007234F5">
        <w:t>Eastern Freeway</w:t>
      </w:r>
      <w:r>
        <w:rPr>
          <w:webHidden/>
        </w:rPr>
        <w:tab/>
        <w:t>8–36</w:t>
      </w:r>
    </w:p>
    <w:p w14:paraId="5F73838F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8.5.1</w:t>
      </w:r>
      <w:r>
        <w:rPr>
          <w:rFonts w:eastAsiaTheme="minorEastAsia"/>
          <w:sz w:val="22"/>
          <w:lang w:eastAsia="en-AU"/>
        </w:rPr>
        <w:tab/>
      </w:r>
      <w:r w:rsidRPr="007234F5">
        <w:t>Road design</w:t>
      </w:r>
      <w:r>
        <w:rPr>
          <w:webHidden/>
        </w:rPr>
        <w:tab/>
        <w:t>8–37</w:t>
      </w:r>
    </w:p>
    <w:p w14:paraId="6D8ADE56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8.5.2</w:t>
      </w:r>
      <w:r>
        <w:rPr>
          <w:rFonts w:eastAsiaTheme="minorEastAsia"/>
          <w:sz w:val="22"/>
          <w:lang w:eastAsia="en-AU"/>
        </w:rPr>
        <w:tab/>
      </w:r>
      <w:r w:rsidRPr="007234F5">
        <w:t>Noise walls</w:t>
      </w:r>
      <w:r>
        <w:rPr>
          <w:webHidden/>
        </w:rPr>
        <w:tab/>
        <w:t>8–42</w:t>
      </w:r>
    </w:p>
    <w:p w14:paraId="03807DD6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8.5.3</w:t>
      </w:r>
      <w:r>
        <w:rPr>
          <w:rFonts w:eastAsiaTheme="minorEastAsia"/>
          <w:sz w:val="22"/>
          <w:lang w:eastAsia="en-AU"/>
        </w:rPr>
        <w:tab/>
      </w:r>
      <w:r w:rsidRPr="007234F5">
        <w:t>Walking and cycling</w:t>
      </w:r>
      <w:r>
        <w:rPr>
          <w:webHidden/>
        </w:rPr>
        <w:tab/>
        <w:t>8–42</w:t>
      </w:r>
    </w:p>
    <w:p w14:paraId="73682021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8.5.4</w:t>
      </w:r>
      <w:r>
        <w:rPr>
          <w:rFonts w:eastAsiaTheme="minorEastAsia"/>
          <w:sz w:val="22"/>
          <w:lang w:eastAsia="en-AU"/>
        </w:rPr>
        <w:tab/>
      </w:r>
      <w:r w:rsidRPr="007234F5">
        <w:t>Changes to Koonung Creek</w:t>
      </w:r>
      <w:r>
        <w:rPr>
          <w:webHidden/>
        </w:rPr>
        <w:tab/>
        <w:t>8–45</w:t>
      </w:r>
    </w:p>
    <w:p w14:paraId="7CA58453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8.5.5</w:t>
      </w:r>
      <w:r>
        <w:rPr>
          <w:rFonts w:eastAsiaTheme="minorEastAsia"/>
          <w:sz w:val="22"/>
          <w:lang w:eastAsia="en-AU"/>
        </w:rPr>
        <w:tab/>
      </w:r>
      <w:r w:rsidRPr="007234F5">
        <w:t>Drainage and stormwater management</w:t>
      </w:r>
      <w:r>
        <w:rPr>
          <w:webHidden/>
        </w:rPr>
        <w:tab/>
        <w:t>8–45</w:t>
      </w:r>
    </w:p>
    <w:p w14:paraId="74D26B8B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234F5">
        <w:t>8.6</w:t>
      </w:r>
      <w:r>
        <w:rPr>
          <w:rFonts w:eastAsiaTheme="minorEastAsia"/>
          <w:sz w:val="22"/>
          <w:lang w:eastAsia="en-AU"/>
        </w:rPr>
        <w:tab/>
      </w:r>
      <w:r w:rsidRPr="007234F5">
        <w:t>Water management</w:t>
      </w:r>
      <w:r>
        <w:rPr>
          <w:webHidden/>
        </w:rPr>
        <w:tab/>
        <w:t>8–46</w:t>
      </w:r>
    </w:p>
    <w:p w14:paraId="4774BC64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8.6.1</w:t>
      </w:r>
      <w:r>
        <w:rPr>
          <w:rFonts w:eastAsiaTheme="minorEastAsia"/>
          <w:sz w:val="22"/>
          <w:lang w:eastAsia="en-AU"/>
        </w:rPr>
        <w:tab/>
      </w:r>
      <w:r w:rsidRPr="007234F5">
        <w:t>Groundwater management</w:t>
      </w:r>
      <w:r>
        <w:rPr>
          <w:webHidden/>
        </w:rPr>
        <w:tab/>
        <w:t>8–46</w:t>
      </w:r>
    </w:p>
    <w:p w14:paraId="646C1CC5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8.6.2</w:t>
      </w:r>
      <w:r>
        <w:rPr>
          <w:rFonts w:eastAsiaTheme="minorEastAsia"/>
          <w:sz w:val="22"/>
          <w:lang w:eastAsia="en-AU"/>
        </w:rPr>
        <w:tab/>
      </w:r>
      <w:r w:rsidRPr="007234F5">
        <w:t>Flood mitigation</w:t>
      </w:r>
      <w:r>
        <w:rPr>
          <w:webHidden/>
        </w:rPr>
        <w:tab/>
        <w:t>8–47</w:t>
      </w:r>
    </w:p>
    <w:p w14:paraId="2298A69B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234F5">
        <w:t>8.7</w:t>
      </w:r>
      <w:r>
        <w:rPr>
          <w:rFonts w:eastAsiaTheme="minorEastAsia"/>
          <w:sz w:val="22"/>
          <w:lang w:eastAsia="en-AU"/>
        </w:rPr>
        <w:tab/>
      </w:r>
      <w:r w:rsidRPr="007234F5">
        <w:t>Construction</w:t>
      </w:r>
      <w:r>
        <w:rPr>
          <w:webHidden/>
        </w:rPr>
        <w:tab/>
        <w:t>8–47</w:t>
      </w:r>
    </w:p>
    <w:p w14:paraId="553C5782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8.7.1</w:t>
      </w:r>
      <w:r>
        <w:rPr>
          <w:rFonts w:eastAsiaTheme="minorEastAsia"/>
          <w:sz w:val="22"/>
          <w:lang w:eastAsia="en-AU"/>
        </w:rPr>
        <w:tab/>
      </w:r>
      <w:r w:rsidRPr="007234F5">
        <w:t>Overview of construction works</w:t>
      </w:r>
      <w:r>
        <w:rPr>
          <w:webHidden/>
        </w:rPr>
        <w:tab/>
        <w:t>8–47</w:t>
      </w:r>
    </w:p>
    <w:p w14:paraId="06F5EFD8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8.7.2</w:t>
      </w:r>
      <w:r>
        <w:rPr>
          <w:rFonts w:eastAsiaTheme="minorEastAsia"/>
          <w:sz w:val="22"/>
          <w:lang w:eastAsia="en-AU"/>
        </w:rPr>
        <w:tab/>
      </w:r>
      <w:r w:rsidRPr="007234F5">
        <w:t>Construction assumptions</w:t>
      </w:r>
      <w:r>
        <w:rPr>
          <w:webHidden/>
        </w:rPr>
        <w:tab/>
        <w:t>8–49</w:t>
      </w:r>
    </w:p>
    <w:p w14:paraId="23FEEE3D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8.7.3</w:t>
      </w:r>
      <w:r>
        <w:rPr>
          <w:rFonts w:eastAsiaTheme="minorEastAsia"/>
          <w:sz w:val="22"/>
          <w:lang w:eastAsia="en-AU"/>
        </w:rPr>
        <w:tab/>
      </w:r>
      <w:r w:rsidRPr="007234F5">
        <w:t>Indicative construction schedule</w:t>
      </w:r>
      <w:r>
        <w:rPr>
          <w:webHidden/>
        </w:rPr>
        <w:tab/>
        <w:t>8–50</w:t>
      </w:r>
    </w:p>
    <w:p w14:paraId="0606598E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8.7.4</w:t>
      </w:r>
      <w:r>
        <w:rPr>
          <w:rFonts w:eastAsiaTheme="minorEastAsia"/>
          <w:sz w:val="22"/>
          <w:lang w:eastAsia="en-AU"/>
        </w:rPr>
        <w:tab/>
      </w:r>
      <w:r w:rsidRPr="007234F5">
        <w:t>Construction methods</w:t>
      </w:r>
      <w:r>
        <w:rPr>
          <w:webHidden/>
        </w:rPr>
        <w:tab/>
        <w:t>8–51</w:t>
      </w:r>
    </w:p>
    <w:p w14:paraId="3CA64353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8.7.5</w:t>
      </w:r>
      <w:r>
        <w:rPr>
          <w:rFonts w:eastAsiaTheme="minorEastAsia"/>
          <w:sz w:val="22"/>
          <w:lang w:eastAsia="en-AU"/>
        </w:rPr>
        <w:tab/>
      </w:r>
      <w:r w:rsidRPr="007234F5">
        <w:t>Potential construction compounds</w:t>
      </w:r>
      <w:r>
        <w:rPr>
          <w:webHidden/>
        </w:rPr>
        <w:tab/>
        <w:t>8–58</w:t>
      </w:r>
    </w:p>
    <w:p w14:paraId="51719D78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8.7.6</w:t>
      </w:r>
      <w:r>
        <w:rPr>
          <w:rFonts w:eastAsiaTheme="minorEastAsia"/>
          <w:sz w:val="22"/>
          <w:lang w:eastAsia="en-AU"/>
        </w:rPr>
        <w:tab/>
      </w:r>
      <w:r w:rsidRPr="007234F5">
        <w:t>Construction timing, hours and workforce</w:t>
      </w:r>
      <w:r>
        <w:rPr>
          <w:webHidden/>
        </w:rPr>
        <w:tab/>
        <w:t>8–62</w:t>
      </w:r>
    </w:p>
    <w:p w14:paraId="0EB2E807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8.7.7</w:t>
      </w:r>
      <w:r>
        <w:rPr>
          <w:rFonts w:eastAsiaTheme="minorEastAsia"/>
          <w:sz w:val="22"/>
          <w:lang w:eastAsia="en-AU"/>
        </w:rPr>
        <w:tab/>
      </w:r>
      <w:r w:rsidRPr="007234F5">
        <w:t>Construction materials</w:t>
      </w:r>
      <w:r>
        <w:rPr>
          <w:webHidden/>
        </w:rPr>
        <w:tab/>
        <w:t>8–63</w:t>
      </w:r>
    </w:p>
    <w:p w14:paraId="007C0972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8.7.8</w:t>
      </w:r>
      <w:r>
        <w:rPr>
          <w:rFonts w:eastAsiaTheme="minorEastAsia"/>
          <w:sz w:val="22"/>
          <w:lang w:eastAsia="en-AU"/>
        </w:rPr>
        <w:tab/>
      </w:r>
      <w:r w:rsidRPr="007234F5">
        <w:t>Traffic and transport management during construction</w:t>
      </w:r>
      <w:r>
        <w:rPr>
          <w:webHidden/>
        </w:rPr>
        <w:tab/>
        <w:t>8–64</w:t>
      </w:r>
    </w:p>
    <w:p w14:paraId="31831708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234F5">
        <w:t>8.8</w:t>
      </w:r>
      <w:r>
        <w:rPr>
          <w:rFonts w:eastAsiaTheme="minorEastAsia"/>
          <w:sz w:val="22"/>
          <w:lang w:eastAsia="en-AU"/>
        </w:rPr>
        <w:tab/>
      </w:r>
      <w:r w:rsidRPr="007234F5">
        <w:t>Spoil and waste management</w:t>
      </w:r>
      <w:r>
        <w:rPr>
          <w:webHidden/>
        </w:rPr>
        <w:tab/>
        <w:t>8–65</w:t>
      </w:r>
    </w:p>
    <w:p w14:paraId="0D1765BA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8.8.1</w:t>
      </w:r>
      <w:r>
        <w:rPr>
          <w:rFonts w:eastAsiaTheme="minorEastAsia"/>
          <w:sz w:val="22"/>
          <w:lang w:eastAsia="en-AU"/>
        </w:rPr>
        <w:tab/>
      </w:r>
      <w:r w:rsidRPr="007234F5">
        <w:t>Spoil generated</w:t>
      </w:r>
      <w:r>
        <w:rPr>
          <w:webHidden/>
        </w:rPr>
        <w:tab/>
        <w:t>8–65</w:t>
      </w:r>
    </w:p>
    <w:p w14:paraId="55A64B0D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8.8.2</w:t>
      </w:r>
      <w:r>
        <w:rPr>
          <w:rFonts w:eastAsiaTheme="minorEastAsia"/>
          <w:sz w:val="22"/>
          <w:lang w:eastAsia="en-AU"/>
        </w:rPr>
        <w:tab/>
      </w:r>
      <w:r w:rsidRPr="007234F5">
        <w:t>Spoil management</w:t>
      </w:r>
      <w:r>
        <w:rPr>
          <w:webHidden/>
        </w:rPr>
        <w:tab/>
        <w:t>8–65</w:t>
      </w:r>
    </w:p>
    <w:p w14:paraId="679A15F0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8.8.3</w:t>
      </w:r>
      <w:r>
        <w:rPr>
          <w:rFonts w:eastAsiaTheme="minorEastAsia"/>
          <w:sz w:val="22"/>
          <w:lang w:eastAsia="en-AU"/>
        </w:rPr>
        <w:tab/>
      </w:r>
      <w:r w:rsidRPr="007234F5">
        <w:t>Spoil haulage routes</w:t>
      </w:r>
      <w:r>
        <w:rPr>
          <w:webHidden/>
        </w:rPr>
        <w:tab/>
        <w:t>8–66</w:t>
      </w:r>
    </w:p>
    <w:p w14:paraId="1D48830A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8.8.4</w:t>
      </w:r>
      <w:r>
        <w:rPr>
          <w:rFonts w:eastAsiaTheme="minorEastAsia"/>
          <w:sz w:val="22"/>
          <w:lang w:eastAsia="en-AU"/>
        </w:rPr>
        <w:tab/>
      </w:r>
      <w:r w:rsidRPr="007234F5">
        <w:t>Waste management</w:t>
      </w:r>
      <w:r>
        <w:rPr>
          <w:webHidden/>
        </w:rPr>
        <w:tab/>
        <w:t>8–67</w:t>
      </w:r>
    </w:p>
    <w:p w14:paraId="01D7CADD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234F5">
        <w:lastRenderedPageBreak/>
        <w:t>8.9</w:t>
      </w:r>
      <w:r>
        <w:rPr>
          <w:rFonts w:eastAsiaTheme="minorEastAsia"/>
          <w:sz w:val="22"/>
          <w:lang w:eastAsia="en-AU"/>
        </w:rPr>
        <w:tab/>
      </w:r>
      <w:r w:rsidRPr="007234F5">
        <w:t>Operation</w:t>
      </w:r>
      <w:r>
        <w:rPr>
          <w:webHidden/>
        </w:rPr>
        <w:tab/>
        <w:t>8–68</w:t>
      </w:r>
    </w:p>
    <w:p w14:paraId="4E8E248D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8.9.1</w:t>
      </w:r>
      <w:r>
        <w:rPr>
          <w:rFonts w:eastAsiaTheme="minorEastAsia"/>
          <w:sz w:val="22"/>
          <w:lang w:eastAsia="en-AU"/>
        </w:rPr>
        <w:tab/>
      </w:r>
      <w:r w:rsidRPr="007234F5">
        <w:t>Key operational and maintenance activities</w:t>
      </w:r>
      <w:r>
        <w:rPr>
          <w:webHidden/>
        </w:rPr>
        <w:tab/>
        <w:t>8–68</w:t>
      </w:r>
    </w:p>
    <w:p w14:paraId="3E1D0BC5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8.9.2</w:t>
      </w:r>
      <w:r>
        <w:rPr>
          <w:rFonts w:eastAsiaTheme="minorEastAsia"/>
          <w:sz w:val="22"/>
          <w:lang w:eastAsia="en-AU"/>
        </w:rPr>
        <w:tab/>
      </w:r>
      <w:r w:rsidRPr="007234F5">
        <w:t>Road closures and changed traffic arrangements</w:t>
      </w:r>
      <w:r>
        <w:rPr>
          <w:webHidden/>
        </w:rPr>
        <w:tab/>
        <w:t>8–69</w:t>
      </w:r>
    </w:p>
    <w:p w14:paraId="7B59472D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8.9.3</w:t>
      </w:r>
      <w:r>
        <w:rPr>
          <w:rFonts w:eastAsiaTheme="minorEastAsia"/>
          <w:sz w:val="22"/>
          <w:lang w:eastAsia="en-AU"/>
        </w:rPr>
        <w:tab/>
      </w:r>
      <w:r w:rsidRPr="007234F5">
        <w:t>The freeway motorway management system</w:t>
      </w:r>
      <w:r>
        <w:rPr>
          <w:webHidden/>
        </w:rPr>
        <w:tab/>
        <w:t>8–70</w:t>
      </w:r>
    </w:p>
    <w:p w14:paraId="2B0C758C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8.9.4</w:t>
      </w:r>
      <w:r>
        <w:rPr>
          <w:rFonts w:eastAsiaTheme="minorEastAsia"/>
          <w:sz w:val="22"/>
          <w:lang w:eastAsia="en-AU"/>
        </w:rPr>
        <w:tab/>
      </w:r>
      <w:r w:rsidRPr="007234F5">
        <w:t>The tolling system</w:t>
      </w:r>
      <w:r>
        <w:rPr>
          <w:webHidden/>
        </w:rPr>
        <w:tab/>
        <w:t>8–72</w:t>
      </w:r>
    </w:p>
    <w:p w14:paraId="18063A6D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8.9.5</w:t>
      </w:r>
      <w:r>
        <w:rPr>
          <w:rFonts w:eastAsiaTheme="minorEastAsia"/>
          <w:sz w:val="22"/>
          <w:lang w:eastAsia="en-AU"/>
        </w:rPr>
        <w:tab/>
      </w:r>
      <w:r w:rsidRPr="007234F5">
        <w:t>Existing truck bans</w:t>
      </w:r>
      <w:r>
        <w:rPr>
          <w:webHidden/>
        </w:rPr>
        <w:tab/>
        <w:t>8–72</w:t>
      </w:r>
    </w:p>
    <w:p w14:paraId="41FC34C6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8.9.6</w:t>
      </w:r>
      <w:r>
        <w:rPr>
          <w:rFonts w:eastAsiaTheme="minorEastAsia"/>
          <w:sz w:val="22"/>
          <w:lang w:eastAsia="en-AU"/>
        </w:rPr>
        <w:tab/>
      </w:r>
      <w:r w:rsidRPr="007234F5">
        <w:t>Public transport</w:t>
      </w:r>
      <w:r>
        <w:rPr>
          <w:webHidden/>
        </w:rPr>
        <w:tab/>
        <w:t>8–74</w:t>
      </w:r>
    </w:p>
    <w:p w14:paraId="03816D38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234F5">
        <w:t>8.10</w:t>
      </w:r>
      <w:r>
        <w:rPr>
          <w:rFonts w:eastAsiaTheme="minorEastAsia"/>
          <w:sz w:val="22"/>
          <w:lang w:eastAsia="en-AU"/>
        </w:rPr>
        <w:tab/>
      </w:r>
      <w:r w:rsidRPr="007234F5">
        <w:t>Property acquisition</w:t>
      </w:r>
      <w:r>
        <w:rPr>
          <w:webHidden/>
        </w:rPr>
        <w:tab/>
        <w:t>8–75</w:t>
      </w:r>
    </w:p>
    <w:p w14:paraId="1747B64B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8.10.1</w:t>
      </w:r>
      <w:r>
        <w:rPr>
          <w:rFonts w:eastAsiaTheme="minorEastAsia"/>
          <w:sz w:val="22"/>
          <w:lang w:eastAsia="en-AU"/>
        </w:rPr>
        <w:tab/>
      </w:r>
      <w:r w:rsidRPr="007234F5">
        <w:t>M80 Ring Road to northern portal</w:t>
      </w:r>
      <w:r>
        <w:rPr>
          <w:webHidden/>
        </w:rPr>
        <w:tab/>
        <w:t>8–75</w:t>
      </w:r>
    </w:p>
    <w:p w14:paraId="35291085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8.10.2</w:t>
      </w:r>
      <w:r>
        <w:rPr>
          <w:rFonts w:eastAsiaTheme="minorEastAsia"/>
          <w:sz w:val="22"/>
          <w:lang w:eastAsia="en-AU"/>
        </w:rPr>
        <w:tab/>
      </w:r>
      <w:r w:rsidRPr="007234F5">
        <w:t>Northern portal to southern portal</w:t>
      </w:r>
      <w:r>
        <w:rPr>
          <w:webHidden/>
        </w:rPr>
        <w:tab/>
        <w:t>8–75</w:t>
      </w:r>
    </w:p>
    <w:p w14:paraId="036B9DC7" w14:textId="77777777" w:rsidR="00B972FE" w:rsidRDefault="00B972FE" w:rsidP="00B972FE">
      <w:pPr>
        <w:pStyle w:val="TOC3"/>
        <w:rPr>
          <w:rFonts w:eastAsiaTheme="minorEastAsia"/>
          <w:sz w:val="22"/>
          <w:lang w:eastAsia="en-AU"/>
        </w:rPr>
      </w:pPr>
      <w:r w:rsidRPr="007234F5">
        <w:t>8.10.3</w:t>
      </w:r>
      <w:r>
        <w:rPr>
          <w:rFonts w:eastAsiaTheme="minorEastAsia"/>
          <w:sz w:val="22"/>
          <w:lang w:eastAsia="en-AU"/>
        </w:rPr>
        <w:tab/>
      </w:r>
      <w:r w:rsidRPr="007234F5">
        <w:t>Eastern Freeway</w:t>
      </w:r>
      <w:r>
        <w:rPr>
          <w:webHidden/>
        </w:rPr>
        <w:tab/>
        <w:t>8–76</w:t>
      </w:r>
    </w:p>
    <w:p w14:paraId="52909E81" w14:textId="77777777" w:rsidR="00B972FE" w:rsidRDefault="00B972FE" w:rsidP="00B972FE">
      <w:pPr>
        <w:pStyle w:val="TOC2"/>
        <w:rPr>
          <w:rFonts w:eastAsiaTheme="minorEastAsia"/>
          <w:sz w:val="22"/>
          <w:lang w:eastAsia="en-AU"/>
        </w:rPr>
      </w:pPr>
      <w:r w:rsidRPr="007234F5">
        <w:t>8.11</w:t>
      </w:r>
      <w:r>
        <w:rPr>
          <w:rFonts w:eastAsiaTheme="minorEastAsia"/>
          <w:sz w:val="22"/>
          <w:lang w:eastAsia="en-AU"/>
        </w:rPr>
        <w:tab/>
      </w:r>
      <w:r w:rsidRPr="007234F5">
        <w:t>Public open space</w:t>
      </w:r>
      <w:r>
        <w:rPr>
          <w:webHidden/>
        </w:rPr>
        <w:tab/>
        <w:t>8–78</w:t>
      </w:r>
    </w:p>
    <w:p w14:paraId="582D02D6" w14:textId="77777777" w:rsidR="002D31F6" w:rsidRDefault="002D31F6" w:rsidP="002D31F6">
      <w:pPr>
        <w:pStyle w:val="TOC1"/>
        <w:rPr>
          <w:rFonts w:eastAsiaTheme="minorEastAsia"/>
          <w:color w:val="auto"/>
          <w:lang w:eastAsia="en-AU"/>
        </w:rPr>
      </w:pPr>
      <w:r w:rsidRPr="005D10F9">
        <w:t>Chapter 9</w:t>
      </w:r>
      <w:r>
        <w:rPr>
          <w:rFonts w:eastAsiaTheme="minorEastAsia"/>
          <w:color w:val="auto"/>
          <w:lang w:eastAsia="en-AU"/>
        </w:rPr>
        <w:tab/>
      </w:r>
      <w:r w:rsidRPr="005D10F9">
        <w:t>Traffic and transport</w:t>
      </w:r>
      <w:r>
        <w:rPr>
          <w:webHidden/>
        </w:rPr>
        <w:tab/>
        <w:t>9–1</w:t>
      </w:r>
    </w:p>
    <w:p w14:paraId="51D2B7DD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D10F9">
        <w:t>9.1</w:t>
      </w:r>
      <w:r>
        <w:rPr>
          <w:rFonts w:eastAsiaTheme="minorEastAsia"/>
          <w:sz w:val="22"/>
          <w:lang w:eastAsia="en-AU"/>
        </w:rPr>
        <w:tab/>
      </w:r>
      <w:r w:rsidRPr="005D10F9">
        <w:t>Method</w:t>
      </w:r>
      <w:r>
        <w:rPr>
          <w:webHidden/>
        </w:rPr>
        <w:tab/>
        <w:t>9–2</w:t>
      </w:r>
    </w:p>
    <w:p w14:paraId="1BE4773F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D10F9">
        <w:t>9.2</w:t>
      </w:r>
      <w:r>
        <w:rPr>
          <w:rFonts w:eastAsiaTheme="minorEastAsia"/>
          <w:sz w:val="22"/>
          <w:lang w:eastAsia="en-AU"/>
        </w:rPr>
        <w:tab/>
      </w:r>
      <w:r w:rsidRPr="005D10F9">
        <w:t>Key transport outcomes</w:t>
      </w:r>
      <w:r>
        <w:rPr>
          <w:webHidden/>
        </w:rPr>
        <w:tab/>
        <w:t>9–5</w:t>
      </w:r>
    </w:p>
    <w:p w14:paraId="26BF7D30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D10F9">
        <w:t>9.3</w:t>
      </w:r>
      <w:r>
        <w:rPr>
          <w:rFonts w:eastAsiaTheme="minorEastAsia"/>
          <w:sz w:val="22"/>
          <w:lang w:eastAsia="en-AU"/>
        </w:rPr>
        <w:tab/>
      </w:r>
      <w:r w:rsidRPr="005D10F9">
        <w:t>Existing conditions</w:t>
      </w:r>
      <w:r>
        <w:rPr>
          <w:webHidden/>
        </w:rPr>
        <w:tab/>
        <w:t>9–9</w:t>
      </w:r>
    </w:p>
    <w:p w14:paraId="1B3250FD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D10F9">
        <w:t>9.3.1</w:t>
      </w:r>
      <w:r>
        <w:rPr>
          <w:rFonts w:eastAsiaTheme="minorEastAsia"/>
          <w:sz w:val="22"/>
          <w:lang w:eastAsia="en-AU"/>
        </w:rPr>
        <w:tab/>
      </w:r>
      <w:r w:rsidRPr="005D10F9">
        <w:t>Travel demand in Melbourne’s north-east</w:t>
      </w:r>
      <w:r>
        <w:rPr>
          <w:webHidden/>
        </w:rPr>
        <w:tab/>
        <w:t>9–11</w:t>
      </w:r>
    </w:p>
    <w:p w14:paraId="7459B660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D10F9">
        <w:t>9.3.2</w:t>
      </w:r>
      <w:r>
        <w:rPr>
          <w:rFonts w:eastAsiaTheme="minorEastAsia"/>
          <w:sz w:val="22"/>
          <w:lang w:eastAsia="en-AU"/>
        </w:rPr>
        <w:tab/>
      </w:r>
      <w:r w:rsidRPr="005D10F9">
        <w:t>Road network</w:t>
      </w:r>
      <w:r>
        <w:rPr>
          <w:webHidden/>
        </w:rPr>
        <w:tab/>
        <w:t>9–12</w:t>
      </w:r>
    </w:p>
    <w:p w14:paraId="30B6711E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D10F9">
        <w:t>9.3.3</w:t>
      </w:r>
      <w:r>
        <w:rPr>
          <w:rFonts w:eastAsiaTheme="minorEastAsia"/>
          <w:sz w:val="22"/>
          <w:lang w:eastAsia="en-AU"/>
        </w:rPr>
        <w:tab/>
      </w:r>
      <w:r w:rsidRPr="005D10F9">
        <w:t>Freight network</w:t>
      </w:r>
      <w:r>
        <w:rPr>
          <w:webHidden/>
        </w:rPr>
        <w:tab/>
        <w:t>9–23</w:t>
      </w:r>
    </w:p>
    <w:p w14:paraId="621E69A2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D10F9">
        <w:t>9.3.4</w:t>
      </w:r>
      <w:r>
        <w:rPr>
          <w:rFonts w:eastAsiaTheme="minorEastAsia"/>
          <w:sz w:val="22"/>
          <w:lang w:eastAsia="en-AU"/>
        </w:rPr>
        <w:tab/>
      </w:r>
      <w:r w:rsidRPr="005D10F9">
        <w:t>Public transport network</w:t>
      </w:r>
      <w:r>
        <w:rPr>
          <w:webHidden/>
        </w:rPr>
        <w:tab/>
        <w:t>9–34</w:t>
      </w:r>
    </w:p>
    <w:p w14:paraId="43C74E9B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D10F9">
        <w:t>9.3.5</w:t>
      </w:r>
      <w:r>
        <w:rPr>
          <w:rFonts w:eastAsiaTheme="minorEastAsia"/>
          <w:sz w:val="22"/>
          <w:lang w:eastAsia="en-AU"/>
        </w:rPr>
        <w:tab/>
      </w:r>
      <w:r w:rsidRPr="005D10F9">
        <w:t>Walking and cycling network</w:t>
      </w:r>
      <w:r>
        <w:rPr>
          <w:webHidden/>
        </w:rPr>
        <w:tab/>
        <w:t>9–38</w:t>
      </w:r>
    </w:p>
    <w:p w14:paraId="501F7995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D10F9">
        <w:t>9.4</w:t>
      </w:r>
      <w:r>
        <w:rPr>
          <w:rFonts w:eastAsiaTheme="minorEastAsia"/>
          <w:sz w:val="22"/>
          <w:lang w:eastAsia="en-AU"/>
        </w:rPr>
        <w:tab/>
      </w:r>
      <w:r w:rsidRPr="005D10F9">
        <w:t>Construction impact assessment</w:t>
      </w:r>
      <w:r>
        <w:rPr>
          <w:webHidden/>
        </w:rPr>
        <w:tab/>
        <w:t>9–42</w:t>
      </w:r>
    </w:p>
    <w:p w14:paraId="62882AD5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D10F9">
        <w:t>9.4.1</w:t>
      </w:r>
      <w:r>
        <w:rPr>
          <w:rFonts w:eastAsiaTheme="minorEastAsia"/>
          <w:sz w:val="22"/>
          <w:lang w:eastAsia="en-AU"/>
        </w:rPr>
        <w:tab/>
      </w:r>
      <w:r w:rsidRPr="005D10F9">
        <w:t>Overview of construction-related traffic</w:t>
      </w:r>
      <w:r>
        <w:rPr>
          <w:webHidden/>
        </w:rPr>
        <w:tab/>
        <w:t>9–43</w:t>
      </w:r>
    </w:p>
    <w:p w14:paraId="1CE02830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D10F9">
        <w:t>9.4.2</w:t>
      </w:r>
      <w:r>
        <w:rPr>
          <w:rFonts w:eastAsiaTheme="minorEastAsia"/>
          <w:sz w:val="22"/>
          <w:lang w:eastAsia="en-AU"/>
        </w:rPr>
        <w:tab/>
      </w:r>
      <w:r w:rsidRPr="005D10F9">
        <w:t>Road and freight network</w:t>
      </w:r>
      <w:r>
        <w:rPr>
          <w:webHidden/>
        </w:rPr>
        <w:tab/>
        <w:t>9–46</w:t>
      </w:r>
    </w:p>
    <w:p w14:paraId="5E72881C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D10F9">
        <w:t>9.4.3</w:t>
      </w:r>
      <w:r>
        <w:rPr>
          <w:rFonts w:eastAsiaTheme="minorEastAsia"/>
          <w:sz w:val="22"/>
          <w:lang w:eastAsia="en-AU"/>
        </w:rPr>
        <w:tab/>
      </w:r>
      <w:r w:rsidRPr="005D10F9">
        <w:t>Public transport network</w:t>
      </w:r>
      <w:r>
        <w:rPr>
          <w:webHidden/>
        </w:rPr>
        <w:tab/>
        <w:t>9–60</w:t>
      </w:r>
    </w:p>
    <w:p w14:paraId="6ADC8FBB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D10F9">
        <w:t>9.4.4</w:t>
      </w:r>
      <w:r>
        <w:rPr>
          <w:rFonts w:eastAsiaTheme="minorEastAsia"/>
          <w:sz w:val="22"/>
          <w:lang w:eastAsia="en-AU"/>
        </w:rPr>
        <w:tab/>
      </w:r>
      <w:r w:rsidRPr="005D10F9">
        <w:t>Walking and cycling network</w:t>
      </w:r>
      <w:r>
        <w:rPr>
          <w:webHidden/>
        </w:rPr>
        <w:tab/>
        <w:t>9–63</w:t>
      </w:r>
    </w:p>
    <w:p w14:paraId="2A82F8EA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D10F9">
        <w:t>9.5</w:t>
      </w:r>
      <w:r>
        <w:rPr>
          <w:rFonts w:eastAsiaTheme="minorEastAsia"/>
          <w:sz w:val="22"/>
          <w:lang w:eastAsia="en-AU"/>
        </w:rPr>
        <w:tab/>
      </w:r>
      <w:r w:rsidRPr="005D10F9">
        <w:t>Operation impact assessment</w:t>
      </w:r>
      <w:r>
        <w:rPr>
          <w:webHidden/>
        </w:rPr>
        <w:tab/>
        <w:t>9–65</w:t>
      </w:r>
    </w:p>
    <w:p w14:paraId="7D93E5C5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D10F9">
        <w:t>9.5.1</w:t>
      </w:r>
      <w:r>
        <w:rPr>
          <w:rFonts w:eastAsiaTheme="minorEastAsia"/>
          <w:sz w:val="22"/>
          <w:lang w:eastAsia="en-AU"/>
        </w:rPr>
        <w:tab/>
      </w:r>
      <w:r w:rsidRPr="005D10F9">
        <w:t>Road network</w:t>
      </w:r>
      <w:r>
        <w:rPr>
          <w:webHidden/>
        </w:rPr>
        <w:tab/>
        <w:t>9–66</w:t>
      </w:r>
    </w:p>
    <w:p w14:paraId="2DE2C2AF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D10F9">
        <w:t>9.5.2</w:t>
      </w:r>
      <w:r>
        <w:rPr>
          <w:rFonts w:eastAsiaTheme="minorEastAsia"/>
          <w:sz w:val="22"/>
          <w:lang w:eastAsia="en-AU"/>
        </w:rPr>
        <w:tab/>
      </w:r>
      <w:r w:rsidRPr="005D10F9">
        <w:t>Freight network</w:t>
      </w:r>
      <w:r>
        <w:rPr>
          <w:webHidden/>
        </w:rPr>
        <w:tab/>
        <w:t>9–89</w:t>
      </w:r>
    </w:p>
    <w:p w14:paraId="6F5380D3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D10F9">
        <w:t>9.5.3</w:t>
      </w:r>
      <w:r>
        <w:rPr>
          <w:rFonts w:eastAsiaTheme="minorEastAsia"/>
          <w:sz w:val="22"/>
          <w:lang w:eastAsia="en-AU"/>
        </w:rPr>
        <w:tab/>
      </w:r>
      <w:r w:rsidRPr="005D10F9">
        <w:t>Public transport network</w:t>
      </w:r>
      <w:r>
        <w:rPr>
          <w:webHidden/>
        </w:rPr>
        <w:tab/>
        <w:t>9–97</w:t>
      </w:r>
    </w:p>
    <w:p w14:paraId="718202E7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D10F9">
        <w:t>9.5.4</w:t>
      </w:r>
      <w:r>
        <w:rPr>
          <w:rFonts w:eastAsiaTheme="minorEastAsia"/>
          <w:sz w:val="22"/>
          <w:lang w:eastAsia="en-AU"/>
        </w:rPr>
        <w:tab/>
      </w:r>
      <w:r w:rsidRPr="005D10F9">
        <w:t>Walking and cycling network</w:t>
      </w:r>
      <w:r>
        <w:rPr>
          <w:webHidden/>
        </w:rPr>
        <w:tab/>
        <w:t>9–101</w:t>
      </w:r>
    </w:p>
    <w:p w14:paraId="23B6599F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D10F9">
        <w:t>9.6</w:t>
      </w:r>
      <w:r>
        <w:rPr>
          <w:rFonts w:eastAsiaTheme="minorEastAsia"/>
          <w:sz w:val="22"/>
          <w:lang w:eastAsia="en-AU"/>
        </w:rPr>
        <w:tab/>
      </w:r>
      <w:r w:rsidRPr="005D10F9">
        <w:t>Cumulative impact assessment</w:t>
      </w:r>
      <w:r>
        <w:rPr>
          <w:webHidden/>
        </w:rPr>
        <w:tab/>
        <w:t>9–106</w:t>
      </w:r>
    </w:p>
    <w:p w14:paraId="2598EC6D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D10F9">
        <w:t>9.7</w:t>
      </w:r>
      <w:r>
        <w:rPr>
          <w:rFonts w:eastAsiaTheme="minorEastAsia"/>
          <w:sz w:val="22"/>
          <w:lang w:eastAsia="en-AU"/>
        </w:rPr>
        <w:tab/>
      </w:r>
      <w:r w:rsidRPr="005D10F9">
        <w:t>Conclusion</w:t>
      </w:r>
      <w:r>
        <w:rPr>
          <w:webHidden/>
        </w:rPr>
        <w:tab/>
        <w:t>9–108</w:t>
      </w:r>
    </w:p>
    <w:p w14:paraId="44E7A1AA" w14:textId="77777777" w:rsidR="002D31F6" w:rsidRDefault="002D31F6" w:rsidP="002D31F6">
      <w:pPr>
        <w:pStyle w:val="TOC1"/>
        <w:pageBreakBefore/>
        <w:rPr>
          <w:rFonts w:eastAsiaTheme="minorEastAsia"/>
          <w:color w:val="auto"/>
          <w:lang w:eastAsia="en-AU"/>
        </w:rPr>
      </w:pPr>
      <w:r w:rsidRPr="00C93419">
        <w:lastRenderedPageBreak/>
        <w:t>Chapter 10</w:t>
      </w:r>
      <w:r>
        <w:rPr>
          <w:rFonts w:eastAsiaTheme="minorEastAsia"/>
          <w:color w:val="auto"/>
          <w:lang w:eastAsia="en-AU"/>
        </w:rPr>
        <w:tab/>
      </w:r>
      <w:r w:rsidRPr="00C93419">
        <w:t>Air quality</w:t>
      </w:r>
      <w:r>
        <w:rPr>
          <w:webHidden/>
        </w:rPr>
        <w:tab/>
        <w:t>10–1</w:t>
      </w:r>
    </w:p>
    <w:p w14:paraId="0531D492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C93419">
        <w:t>10.1</w:t>
      </w:r>
      <w:r>
        <w:rPr>
          <w:rFonts w:eastAsiaTheme="minorEastAsia"/>
          <w:sz w:val="22"/>
          <w:lang w:eastAsia="en-AU"/>
        </w:rPr>
        <w:tab/>
      </w:r>
      <w:r w:rsidRPr="00C93419">
        <w:t>Method</w:t>
      </w:r>
      <w:r>
        <w:rPr>
          <w:webHidden/>
        </w:rPr>
        <w:tab/>
        <w:t>10–2</w:t>
      </w:r>
    </w:p>
    <w:p w14:paraId="63B4A866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C93419">
        <w:t>10.2</w:t>
      </w:r>
      <w:r>
        <w:rPr>
          <w:rFonts w:eastAsiaTheme="minorEastAsia"/>
          <w:sz w:val="22"/>
          <w:lang w:eastAsia="en-AU"/>
        </w:rPr>
        <w:tab/>
      </w:r>
      <w:r w:rsidRPr="00C93419">
        <w:t>Air quality regulatory framework and criteria</w:t>
      </w:r>
      <w:r>
        <w:rPr>
          <w:webHidden/>
        </w:rPr>
        <w:tab/>
        <w:t>10–3</w:t>
      </w:r>
    </w:p>
    <w:p w14:paraId="24AD3636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C93419">
        <w:t>10.3</w:t>
      </w:r>
      <w:r>
        <w:rPr>
          <w:rFonts w:eastAsiaTheme="minorEastAsia"/>
          <w:sz w:val="22"/>
          <w:lang w:eastAsia="en-AU"/>
        </w:rPr>
        <w:tab/>
      </w:r>
      <w:r w:rsidRPr="00C93419">
        <w:t>Existing conditions</w:t>
      </w:r>
      <w:r>
        <w:rPr>
          <w:webHidden/>
        </w:rPr>
        <w:tab/>
        <w:t>10–5</w:t>
      </w:r>
    </w:p>
    <w:p w14:paraId="24057156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93419">
        <w:t>10.3.1</w:t>
      </w:r>
      <w:r>
        <w:rPr>
          <w:rFonts w:eastAsiaTheme="minorEastAsia"/>
          <w:sz w:val="22"/>
          <w:lang w:eastAsia="en-AU"/>
        </w:rPr>
        <w:tab/>
      </w:r>
      <w:r w:rsidRPr="00C93419">
        <w:t>Sources of air pollution</w:t>
      </w:r>
      <w:r>
        <w:rPr>
          <w:webHidden/>
        </w:rPr>
        <w:tab/>
        <w:t>10–6</w:t>
      </w:r>
    </w:p>
    <w:p w14:paraId="7FD9C12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93419">
        <w:t>10.3.2</w:t>
      </w:r>
      <w:r>
        <w:rPr>
          <w:rFonts w:eastAsiaTheme="minorEastAsia"/>
          <w:sz w:val="22"/>
          <w:lang w:eastAsia="en-AU"/>
        </w:rPr>
        <w:tab/>
      </w:r>
      <w:r w:rsidRPr="00C93419">
        <w:t>Existing air quality</w:t>
      </w:r>
      <w:r>
        <w:rPr>
          <w:webHidden/>
        </w:rPr>
        <w:tab/>
        <w:t>10–6</w:t>
      </w:r>
    </w:p>
    <w:p w14:paraId="5FD448B0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93419">
        <w:t>10.3.3</w:t>
      </w:r>
      <w:r>
        <w:rPr>
          <w:rFonts w:eastAsiaTheme="minorEastAsia"/>
          <w:sz w:val="22"/>
          <w:lang w:eastAsia="en-AU"/>
        </w:rPr>
        <w:tab/>
      </w:r>
      <w:r w:rsidRPr="00C93419">
        <w:t>Sensitive receptors</w:t>
      </w:r>
      <w:r>
        <w:rPr>
          <w:webHidden/>
        </w:rPr>
        <w:tab/>
        <w:t>10–9</w:t>
      </w:r>
    </w:p>
    <w:p w14:paraId="6DF57F72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C93419">
        <w:t>10.4</w:t>
      </w:r>
      <w:r>
        <w:rPr>
          <w:rFonts w:eastAsiaTheme="minorEastAsia"/>
          <w:sz w:val="22"/>
          <w:lang w:eastAsia="en-AU"/>
        </w:rPr>
        <w:tab/>
      </w:r>
      <w:r w:rsidRPr="00C93419">
        <w:t>Construction impact assessment</w:t>
      </w:r>
      <w:r>
        <w:rPr>
          <w:webHidden/>
        </w:rPr>
        <w:tab/>
        <w:t>10–10</w:t>
      </w:r>
    </w:p>
    <w:p w14:paraId="7E272DC0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93419">
        <w:t>10.4.1</w:t>
      </w:r>
      <w:r>
        <w:rPr>
          <w:rFonts w:eastAsiaTheme="minorEastAsia"/>
          <w:sz w:val="22"/>
          <w:lang w:eastAsia="en-AU"/>
        </w:rPr>
        <w:tab/>
      </w:r>
      <w:r w:rsidRPr="00C93419">
        <w:t>Airborne particulate matter (dust)</w:t>
      </w:r>
      <w:r>
        <w:rPr>
          <w:webHidden/>
        </w:rPr>
        <w:tab/>
        <w:t>10–10</w:t>
      </w:r>
    </w:p>
    <w:p w14:paraId="401309F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93419">
        <w:t>10.4.2</w:t>
      </w:r>
      <w:r>
        <w:rPr>
          <w:rFonts w:eastAsiaTheme="minorEastAsia"/>
          <w:sz w:val="22"/>
          <w:lang w:eastAsia="en-AU"/>
        </w:rPr>
        <w:tab/>
      </w:r>
      <w:r w:rsidRPr="00C93419">
        <w:t>Odours</w:t>
      </w:r>
      <w:r>
        <w:rPr>
          <w:webHidden/>
        </w:rPr>
        <w:tab/>
        <w:t>10–13</w:t>
      </w:r>
    </w:p>
    <w:p w14:paraId="35726C9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93419">
        <w:t>10.4.3</w:t>
      </w:r>
      <w:r>
        <w:rPr>
          <w:rFonts w:eastAsiaTheme="minorEastAsia"/>
          <w:sz w:val="22"/>
          <w:lang w:eastAsia="en-AU"/>
        </w:rPr>
        <w:tab/>
      </w:r>
      <w:r w:rsidRPr="00C93419">
        <w:t>Other emissions</w:t>
      </w:r>
      <w:r>
        <w:rPr>
          <w:webHidden/>
        </w:rPr>
        <w:tab/>
        <w:t>10–15</w:t>
      </w:r>
    </w:p>
    <w:p w14:paraId="01BD0CF1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C93419">
        <w:t>10.5</w:t>
      </w:r>
      <w:r>
        <w:rPr>
          <w:rFonts w:eastAsiaTheme="minorEastAsia"/>
          <w:sz w:val="22"/>
          <w:lang w:eastAsia="en-AU"/>
        </w:rPr>
        <w:tab/>
      </w:r>
      <w:r w:rsidRPr="00C93419">
        <w:t>Operation impact assessment</w:t>
      </w:r>
      <w:r>
        <w:rPr>
          <w:webHidden/>
        </w:rPr>
        <w:tab/>
        <w:t>10–17</w:t>
      </w:r>
    </w:p>
    <w:p w14:paraId="4CA6277B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93419">
        <w:t>10.5.1</w:t>
      </w:r>
      <w:r>
        <w:rPr>
          <w:rFonts w:eastAsiaTheme="minorEastAsia"/>
          <w:sz w:val="22"/>
          <w:lang w:eastAsia="en-AU"/>
        </w:rPr>
        <w:tab/>
      </w:r>
      <w:r w:rsidRPr="00C93419">
        <w:t>Air quality modelling and assessment approach</w:t>
      </w:r>
      <w:r>
        <w:rPr>
          <w:webHidden/>
        </w:rPr>
        <w:tab/>
        <w:t>10–17</w:t>
      </w:r>
    </w:p>
    <w:p w14:paraId="1D4580CA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93419">
        <w:t>10.5.2</w:t>
      </w:r>
      <w:r>
        <w:rPr>
          <w:rFonts w:eastAsiaTheme="minorEastAsia"/>
          <w:sz w:val="22"/>
          <w:lang w:eastAsia="en-AU"/>
        </w:rPr>
        <w:tab/>
      </w:r>
      <w:r w:rsidRPr="00C93419">
        <w:t>Surface road vehicle emissions</w:t>
      </w:r>
      <w:r>
        <w:rPr>
          <w:webHidden/>
        </w:rPr>
        <w:tab/>
        <w:t>10–21</w:t>
      </w:r>
    </w:p>
    <w:p w14:paraId="0E6A8D78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93419">
        <w:t>10.5.3</w:t>
      </w:r>
      <w:r>
        <w:rPr>
          <w:rFonts w:eastAsiaTheme="minorEastAsia"/>
          <w:sz w:val="22"/>
          <w:lang w:eastAsia="en-AU"/>
        </w:rPr>
        <w:tab/>
      </w:r>
      <w:r w:rsidRPr="00C93419">
        <w:t>Tunnel ventilation and emissions</w:t>
      </w:r>
      <w:r>
        <w:rPr>
          <w:webHidden/>
        </w:rPr>
        <w:tab/>
        <w:t>10–31</w:t>
      </w:r>
    </w:p>
    <w:p w14:paraId="28C1DE08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93419">
        <w:t>10.5.4</w:t>
      </w:r>
      <w:r>
        <w:rPr>
          <w:rFonts w:eastAsiaTheme="minorEastAsia"/>
          <w:sz w:val="22"/>
          <w:lang w:eastAsia="en-AU"/>
        </w:rPr>
        <w:tab/>
      </w:r>
      <w:r w:rsidRPr="00C93419">
        <w:t>Combined air quality impacts from tunnel and vehicle emissions</w:t>
      </w:r>
      <w:r>
        <w:rPr>
          <w:webHidden/>
        </w:rPr>
        <w:tab/>
        <w:t>10–41</w:t>
      </w:r>
    </w:p>
    <w:p w14:paraId="306F9D8B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C93419">
        <w:t>10.6</w:t>
      </w:r>
      <w:r>
        <w:rPr>
          <w:rFonts w:eastAsiaTheme="minorEastAsia"/>
          <w:sz w:val="22"/>
          <w:lang w:eastAsia="en-AU"/>
        </w:rPr>
        <w:tab/>
      </w:r>
      <w:r w:rsidRPr="00C93419">
        <w:t>Conclusion</w:t>
      </w:r>
      <w:r>
        <w:rPr>
          <w:webHidden/>
        </w:rPr>
        <w:tab/>
        <w:t>10–46</w:t>
      </w:r>
    </w:p>
    <w:p w14:paraId="4B63FC5C" w14:textId="77777777" w:rsidR="002D31F6" w:rsidRDefault="002D31F6" w:rsidP="002D31F6">
      <w:pPr>
        <w:pStyle w:val="TOC1"/>
        <w:rPr>
          <w:rFonts w:eastAsiaTheme="minorEastAsia"/>
          <w:color w:val="auto"/>
          <w:lang w:eastAsia="en-AU"/>
        </w:rPr>
      </w:pPr>
      <w:r w:rsidRPr="005910F5">
        <w:t>Chapter 11</w:t>
      </w:r>
      <w:r>
        <w:rPr>
          <w:rFonts w:eastAsiaTheme="minorEastAsia"/>
          <w:color w:val="auto"/>
          <w:lang w:eastAsia="en-AU"/>
        </w:rPr>
        <w:tab/>
      </w:r>
      <w:r w:rsidRPr="005910F5">
        <w:t>Surface noise and vibration</w:t>
      </w:r>
      <w:r>
        <w:rPr>
          <w:webHidden/>
        </w:rPr>
        <w:tab/>
        <w:t>11–1</w:t>
      </w:r>
    </w:p>
    <w:p w14:paraId="55D532DC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910F5">
        <w:t>11.1</w:t>
      </w:r>
      <w:r>
        <w:rPr>
          <w:rFonts w:eastAsiaTheme="minorEastAsia"/>
          <w:sz w:val="22"/>
          <w:lang w:eastAsia="en-AU"/>
        </w:rPr>
        <w:tab/>
      </w:r>
      <w:r w:rsidRPr="005910F5">
        <w:t>Method</w:t>
      </w:r>
      <w:r>
        <w:rPr>
          <w:webHidden/>
        </w:rPr>
        <w:tab/>
        <w:t>11–2</w:t>
      </w:r>
    </w:p>
    <w:p w14:paraId="6F0CFFCE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910F5">
        <w:t>11.2</w:t>
      </w:r>
      <w:r>
        <w:rPr>
          <w:rFonts w:eastAsiaTheme="minorEastAsia"/>
          <w:sz w:val="22"/>
          <w:lang w:eastAsia="en-AU"/>
        </w:rPr>
        <w:tab/>
      </w:r>
      <w:r w:rsidRPr="005910F5">
        <w:t>Existing conditions</w:t>
      </w:r>
      <w:r>
        <w:rPr>
          <w:webHidden/>
        </w:rPr>
        <w:tab/>
        <w:t>11–4</w:t>
      </w:r>
    </w:p>
    <w:p w14:paraId="60BE7287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910F5">
        <w:t>11.2.1</w:t>
      </w:r>
      <w:r>
        <w:rPr>
          <w:rFonts w:eastAsiaTheme="minorEastAsia"/>
          <w:sz w:val="22"/>
          <w:lang w:eastAsia="en-AU"/>
        </w:rPr>
        <w:tab/>
      </w:r>
      <w:r w:rsidRPr="005910F5">
        <w:t>Noise Precinct 1</w:t>
      </w:r>
      <w:r>
        <w:rPr>
          <w:webHidden/>
        </w:rPr>
        <w:tab/>
        <w:t>11–10</w:t>
      </w:r>
    </w:p>
    <w:p w14:paraId="053C8614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910F5">
        <w:t>11.2.2</w:t>
      </w:r>
      <w:r>
        <w:rPr>
          <w:rFonts w:eastAsiaTheme="minorEastAsia"/>
          <w:sz w:val="22"/>
          <w:lang w:eastAsia="en-AU"/>
        </w:rPr>
        <w:tab/>
      </w:r>
      <w:r w:rsidRPr="005910F5">
        <w:t>Noise Precinct 2</w:t>
      </w:r>
      <w:r>
        <w:rPr>
          <w:webHidden/>
        </w:rPr>
        <w:tab/>
        <w:t>11–12</w:t>
      </w:r>
    </w:p>
    <w:p w14:paraId="7DF0695B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910F5">
        <w:t>11.2.3</w:t>
      </w:r>
      <w:r>
        <w:rPr>
          <w:rFonts w:eastAsiaTheme="minorEastAsia"/>
          <w:sz w:val="22"/>
          <w:lang w:eastAsia="en-AU"/>
        </w:rPr>
        <w:tab/>
      </w:r>
      <w:r w:rsidRPr="005910F5">
        <w:t>Noise Precinct 3</w:t>
      </w:r>
      <w:r>
        <w:rPr>
          <w:webHidden/>
        </w:rPr>
        <w:tab/>
        <w:t>11–13</w:t>
      </w:r>
    </w:p>
    <w:p w14:paraId="0B06BBD4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910F5">
        <w:t>11.2.4</w:t>
      </w:r>
      <w:r>
        <w:rPr>
          <w:rFonts w:eastAsiaTheme="minorEastAsia"/>
          <w:sz w:val="22"/>
          <w:lang w:eastAsia="en-AU"/>
        </w:rPr>
        <w:tab/>
      </w:r>
      <w:r w:rsidRPr="005910F5">
        <w:t>Noise Precinct 4</w:t>
      </w:r>
      <w:r>
        <w:rPr>
          <w:webHidden/>
        </w:rPr>
        <w:tab/>
        <w:t>11–15</w:t>
      </w:r>
    </w:p>
    <w:p w14:paraId="1C60598F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910F5">
        <w:t>11.2.5</w:t>
      </w:r>
      <w:r>
        <w:rPr>
          <w:rFonts w:eastAsiaTheme="minorEastAsia"/>
          <w:sz w:val="22"/>
          <w:lang w:eastAsia="en-AU"/>
        </w:rPr>
        <w:tab/>
      </w:r>
      <w:r w:rsidRPr="005910F5">
        <w:t>Noise Precinct 5</w:t>
      </w:r>
      <w:r>
        <w:rPr>
          <w:webHidden/>
        </w:rPr>
        <w:tab/>
        <w:t>11–17</w:t>
      </w:r>
    </w:p>
    <w:p w14:paraId="37587680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910F5">
        <w:t>11.3</w:t>
      </w:r>
      <w:r>
        <w:rPr>
          <w:rFonts w:eastAsiaTheme="minorEastAsia"/>
          <w:sz w:val="22"/>
          <w:lang w:eastAsia="en-AU"/>
        </w:rPr>
        <w:tab/>
      </w:r>
      <w:r w:rsidRPr="005910F5">
        <w:t>Construction impact assessment</w:t>
      </w:r>
      <w:r>
        <w:rPr>
          <w:webHidden/>
        </w:rPr>
        <w:tab/>
        <w:t>11–20</w:t>
      </w:r>
    </w:p>
    <w:p w14:paraId="57C6E524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910F5">
        <w:t>11.3.1</w:t>
      </w:r>
      <w:r>
        <w:rPr>
          <w:rFonts w:eastAsiaTheme="minorEastAsia"/>
          <w:sz w:val="22"/>
          <w:lang w:eastAsia="en-AU"/>
        </w:rPr>
        <w:tab/>
      </w:r>
      <w:r w:rsidRPr="005910F5">
        <w:t>Construction noise</w:t>
      </w:r>
      <w:r>
        <w:rPr>
          <w:webHidden/>
        </w:rPr>
        <w:tab/>
        <w:t>11–20</w:t>
      </w:r>
    </w:p>
    <w:p w14:paraId="04516B5A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910F5">
        <w:t>11.3.2</w:t>
      </w:r>
      <w:r>
        <w:rPr>
          <w:rFonts w:eastAsiaTheme="minorEastAsia"/>
          <w:sz w:val="22"/>
          <w:lang w:eastAsia="en-AU"/>
        </w:rPr>
        <w:tab/>
      </w:r>
      <w:r w:rsidRPr="005910F5">
        <w:t>Construction vibration</w:t>
      </w:r>
      <w:r>
        <w:rPr>
          <w:webHidden/>
        </w:rPr>
        <w:tab/>
        <w:t>11–36</w:t>
      </w:r>
    </w:p>
    <w:p w14:paraId="429003EF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910F5">
        <w:t>11.4</w:t>
      </w:r>
      <w:r>
        <w:rPr>
          <w:rFonts w:eastAsiaTheme="minorEastAsia"/>
          <w:sz w:val="22"/>
          <w:lang w:eastAsia="en-AU"/>
        </w:rPr>
        <w:tab/>
      </w:r>
      <w:r w:rsidRPr="005910F5">
        <w:t>Operation impact assessment</w:t>
      </w:r>
      <w:r>
        <w:rPr>
          <w:webHidden/>
        </w:rPr>
        <w:tab/>
        <w:t>11–41</w:t>
      </w:r>
    </w:p>
    <w:p w14:paraId="29F3B00F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910F5">
        <w:t>11.4.1</w:t>
      </w:r>
      <w:r>
        <w:rPr>
          <w:rFonts w:eastAsiaTheme="minorEastAsia"/>
          <w:sz w:val="22"/>
          <w:lang w:eastAsia="en-AU"/>
        </w:rPr>
        <w:tab/>
      </w:r>
      <w:r w:rsidRPr="005910F5">
        <w:t>Traffic noise</w:t>
      </w:r>
      <w:r>
        <w:rPr>
          <w:webHidden/>
        </w:rPr>
        <w:tab/>
        <w:t>11–41</w:t>
      </w:r>
    </w:p>
    <w:p w14:paraId="04B5E6D3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910F5">
        <w:t>11.4.2</w:t>
      </w:r>
      <w:r>
        <w:rPr>
          <w:rFonts w:eastAsiaTheme="minorEastAsia"/>
          <w:sz w:val="22"/>
          <w:lang w:eastAsia="en-AU"/>
        </w:rPr>
        <w:tab/>
      </w:r>
      <w:r w:rsidRPr="005910F5">
        <w:t>Fixed infrastructure noise</w:t>
      </w:r>
      <w:r>
        <w:rPr>
          <w:webHidden/>
        </w:rPr>
        <w:tab/>
        <w:t>11–54</w:t>
      </w:r>
    </w:p>
    <w:p w14:paraId="5164E90B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910F5">
        <w:t>11.4.3</w:t>
      </w:r>
      <w:r>
        <w:rPr>
          <w:rFonts w:eastAsiaTheme="minorEastAsia"/>
          <w:sz w:val="22"/>
          <w:lang w:eastAsia="en-AU"/>
        </w:rPr>
        <w:tab/>
      </w:r>
      <w:r w:rsidRPr="005910F5">
        <w:t>Operation surface vibration</w:t>
      </w:r>
      <w:r>
        <w:rPr>
          <w:webHidden/>
        </w:rPr>
        <w:tab/>
        <w:t>11–56</w:t>
      </w:r>
    </w:p>
    <w:p w14:paraId="274D3446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910F5">
        <w:t>11.5</w:t>
      </w:r>
      <w:r>
        <w:rPr>
          <w:rFonts w:eastAsiaTheme="minorEastAsia"/>
          <w:sz w:val="22"/>
          <w:lang w:eastAsia="en-AU"/>
        </w:rPr>
        <w:tab/>
      </w:r>
      <w:r w:rsidRPr="005910F5">
        <w:t>Conclusion</w:t>
      </w:r>
      <w:r>
        <w:rPr>
          <w:webHidden/>
        </w:rPr>
        <w:tab/>
        <w:t>11–57</w:t>
      </w:r>
    </w:p>
    <w:p w14:paraId="2EFE30A3" w14:textId="77777777" w:rsidR="002D31F6" w:rsidRDefault="002D31F6" w:rsidP="002D31F6">
      <w:pPr>
        <w:pStyle w:val="TOC1"/>
        <w:pageBreakBefore/>
        <w:rPr>
          <w:rFonts w:eastAsiaTheme="minorEastAsia"/>
          <w:color w:val="auto"/>
          <w:lang w:eastAsia="en-AU"/>
        </w:rPr>
      </w:pPr>
      <w:r w:rsidRPr="0055644C">
        <w:lastRenderedPageBreak/>
        <w:t>Chapter 12</w:t>
      </w:r>
      <w:r>
        <w:rPr>
          <w:rFonts w:eastAsiaTheme="minorEastAsia"/>
          <w:color w:val="auto"/>
          <w:lang w:eastAsia="en-AU"/>
        </w:rPr>
        <w:tab/>
      </w:r>
      <w:r w:rsidRPr="0055644C">
        <w:t>Tunnel vibration and regenerated noise</w:t>
      </w:r>
      <w:r>
        <w:rPr>
          <w:webHidden/>
        </w:rPr>
        <w:tab/>
        <w:t>12–1</w:t>
      </w:r>
    </w:p>
    <w:p w14:paraId="689C9EB3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5644C">
        <w:t>12.1</w:t>
      </w:r>
      <w:r>
        <w:rPr>
          <w:rFonts w:eastAsiaTheme="minorEastAsia"/>
          <w:sz w:val="22"/>
          <w:lang w:eastAsia="en-AU"/>
        </w:rPr>
        <w:tab/>
      </w:r>
      <w:r w:rsidRPr="0055644C">
        <w:t>Method</w:t>
      </w:r>
      <w:r>
        <w:rPr>
          <w:webHidden/>
        </w:rPr>
        <w:tab/>
        <w:t>12–2</w:t>
      </w:r>
    </w:p>
    <w:p w14:paraId="5B812FCA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5644C">
        <w:t>12.2</w:t>
      </w:r>
      <w:r>
        <w:rPr>
          <w:rFonts w:eastAsiaTheme="minorEastAsia"/>
          <w:sz w:val="22"/>
          <w:lang w:eastAsia="en-AU"/>
        </w:rPr>
        <w:tab/>
      </w:r>
      <w:r w:rsidRPr="0055644C">
        <w:t>Existing conditions</w:t>
      </w:r>
      <w:r>
        <w:rPr>
          <w:webHidden/>
        </w:rPr>
        <w:tab/>
        <w:t>12–4</w:t>
      </w:r>
    </w:p>
    <w:p w14:paraId="06132E68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5644C">
        <w:t>12.2.1</w:t>
      </w:r>
      <w:r>
        <w:rPr>
          <w:rFonts w:eastAsiaTheme="minorEastAsia"/>
          <w:sz w:val="22"/>
          <w:lang w:eastAsia="en-AU"/>
        </w:rPr>
        <w:tab/>
      </w:r>
      <w:r w:rsidRPr="0055644C">
        <w:t>Geological conditions</w:t>
      </w:r>
      <w:r>
        <w:rPr>
          <w:webHidden/>
        </w:rPr>
        <w:tab/>
        <w:t>12–4</w:t>
      </w:r>
    </w:p>
    <w:p w14:paraId="28E7ECFA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5644C">
        <w:t>12.2.2</w:t>
      </w:r>
      <w:r>
        <w:rPr>
          <w:rFonts w:eastAsiaTheme="minorEastAsia"/>
          <w:sz w:val="22"/>
          <w:lang w:eastAsia="en-AU"/>
        </w:rPr>
        <w:tab/>
      </w:r>
      <w:r w:rsidRPr="0055644C">
        <w:t>Existing vibration environment</w:t>
      </w:r>
      <w:r>
        <w:rPr>
          <w:webHidden/>
        </w:rPr>
        <w:tab/>
        <w:t>12–5</w:t>
      </w:r>
    </w:p>
    <w:p w14:paraId="647AF834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5644C">
        <w:t>12.2.3</w:t>
      </w:r>
      <w:r>
        <w:rPr>
          <w:rFonts w:eastAsiaTheme="minorEastAsia"/>
          <w:sz w:val="22"/>
          <w:lang w:eastAsia="en-AU"/>
        </w:rPr>
        <w:tab/>
      </w:r>
      <w:r w:rsidRPr="0055644C">
        <w:t>Sensitive receptors</w:t>
      </w:r>
      <w:r>
        <w:rPr>
          <w:webHidden/>
        </w:rPr>
        <w:tab/>
        <w:t>12–6</w:t>
      </w:r>
    </w:p>
    <w:p w14:paraId="5C90C45F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5644C">
        <w:t>12.3</w:t>
      </w:r>
      <w:r>
        <w:rPr>
          <w:rFonts w:eastAsiaTheme="minorEastAsia"/>
          <w:sz w:val="22"/>
          <w:lang w:eastAsia="en-AU"/>
        </w:rPr>
        <w:tab/>
      </w:r>
      <w:r w:rsidRPr="0055644C">
        <w:t>Vibration and regenerated noise guideline target levels</w:t>
      </w:r>
      <w:r>
        <w:rPr>
          <w:webHidden/>
        </w:rPr>
        <w:tab/>
        <w:t>12–8</w:t>
      </w:r>
    </w:p>
    <w:p w14:paraId="38CA566A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5644C">
        <w:t>12.4</w:t>
      </w:r>
      <w:r>
        <w:rPr>
          <w:rFonts w:eastAsiaTheme="minorEastAsia"/>
          <w:sz w:val="22"/>
          <w:lang w:eastAsia="en-AU"/>
        </w:rPr>
        <w:tab/>
      </w:r>
      <w:r w:rsidRPr="0055644C">
        <w:t>Vibration and regenerated noise modelling</w:t>
      </w:r>
      <w:r>
        <w:rPr>
          <w:webHidden/>
        </w:rPr>
        <w:tab/>
        <w:t>12–9</w:t>
      </w:r>
    </w:p>
    <w:p w14:paraId="4561FB8C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5644C">
        <w:t>12.5</w:t>
      </w:r>
      <w:r>
        <w:rPr>
          <w:rFonts w:eastAsiaTheme="minorEastAsia"/>
          <w:sz w:val="22"/>
          <w:lang w:eastAsia="en-AU"/>
        </w:rPr>
        <w:tab/>
      </w:r>
      <w:r w:rsidRPr="0055644C">
        <w:t>Construction impact assessment</w:t>
      </w:r>
      <w:r>
        <w:rPr>
          <w:webHidden/>
        </w:rPr>
        <w:tab/>
        <w:t>12–13</w:t>
      </w:r>
    </w:p>
    <w:p w14:paraId="5AFBF7EF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5644C">
        <w:t>12.5.1</w:t>
      </w:r>
      <w:r>
        <w:rPr>
          <w:rFonts w:eastAsiaTheme="minorEastAsia"/>
          <w:sz w:val="22"/>
          <w:lang w:eastAsia="en-AU"/>
        </w:rPr>
        <w:tab/>
      </w:r>
      <w:r w:rsidRPr="0055644C">
        <w:t>Changes in amenity</w:t>
      </w:r>
      <w:r>
        <w:rPr>
          <w:webHidden/>
        </w:rPr>
        <w:tab/>
        <w:t>12–14</w:t>
      </w:r>
    </w:p>
    <w:p w14:paraId="0F637002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5644C">
        <w:t>12.5.2</w:t>
      </w:r>
      <w:r>
        <w:rPr>
          <w:rFonts w:eastAsiaTheme="minorEastAsia"/>
          <w:sz w:val="22"/>
          <w:lang w:eastAsia="en-AU"/>
        </w:rPr>
        <w:tab/>
      </w:r>
      <w:r w:rsidRPr="0055644C">
        <w:t>Damage to buildings and structures</w:t>
      </w:r>
      <w:r>
        <w:rPr>
          <w:webHidden/>
        </w:rPr>
        <w:tab/>
        <w:t>12–36</w:t>
      </w:r>
    </w:p>
    <w:p w14:paraId="74CCAA94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5644C">
        <w:t>12.5.3</w:t>
      </w:r>
      <w:r>
        <w:rPr>
          <w:rFonts w:eastAsiaTheme="minorEastAsia"/>
          <w:sz w:val="22"/>
          <w:lang w:eastAsia="en-AU"/>
        </w:rPr>
        <w:tab/>
      </w:r>
      <w:r w:rsidRPr="0055644C">
        <w:t>Damage to infrastructure and utility assets</w:t>
      </w:r>
      <w:r>
        <w:rPr>
          <w:webHidden/>
        </w:rPr>
        <w:tab/>
        <w:t>12–38</w:t>
      </w:r>
    </w:p>
    <w:p w14:paraId="6AB8F642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5644C">
        <w:t>12.5.4</w:t>
      </w:r>
      <w:r>
        <w:rPr>
          <w:rFonts w:eastAsiaTheme="minorEastAsia"/>
          <w:sz w:val="22"/>
          <w:lang w:eastAsia="en-AU"/>
        </w:rPr>
        <w:tab/>
      </w:r>
      <w:r w:rsidRPr="0055644C">
        <w:t>Effects on the operation of sensitive equipment</w:t>
      </w:r>
      <w:r>
        <w:rPr>
          <w:webHidden/>
        </w:rPr>
        <w:tab/>
        <w:t>12–39</w:t>
      </w:r>
    </w:p>
    <w:p w14:paraId="54CC43FA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5644C">
        <w:t>12.6</w:t>
      </w:r>
      <w:r>
        <w:rPr>
          <w:rFonts w:eastAsiaTheme="minorEastAsia"/>
          <w:sz w:val="22"/>
          <w:lang w:eastAsia="en-AU"/>
        </w:rPr>
        <w:tab/>
      </w:r>
      <w:r w:rsidRPr="0055644C">
        <w:t>Conclusion</w:t>
      </w:r>
      <w:r>
        <w:rPr>
          <w:webHidden/>
        </w:rPr>
        <w:tab/>
        <w:t>12–40</w:t>
      </w:r>
    </w:p>
    <w:p w14:paraId="2062CC2F" w14:textId="77777777" w:rsidR="002D31F6" w:rsidRPr="002D31F6" w:rsidRDefault="002D31F6" w:rsidP="002D31F6">
      <w:pPr>
        <w:pStyle w:val="TOC1"/>
      </w:pPr>
      <w:r w:rsidRPr="002D31F6">
        <w:t>Chapter 13</w:t>
      </w:r>
      <w:r w:rsidRPr="002D31F6">
        <w:tab/>
        <w:t>Land use planning</w:t>
      </w:r>
      <w:r w:rsidRPr="002D31F6">
        <w:rPr>
          <w:webHidden/>
        </w:rPr>
        <w:tab/>
        <w:t>13–1</w:t>
      </w:r>
    </w:p>
    <w:p w14:paraId="093FF3BB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DD2365">
        <w:t>13.1</w:t>
      </w:r>
      <w:r>
        <w:rPr>
          <w:rFonts w:eastAsiaTheme="minorEastAsia"/>
          <w:sz w:val="22"/>
          <w:lang w:eastAsia="en-AU"/>
        </w:rPr>
        <w:tab/>
      </w:r>
      <w:r w:rsidRPr="00DD2365">
        <w:t>Method</w:t>
      </w:r>
      <w:r>
        <w:rPr>
          <w:webHidden/>
        </w:rPr>
        <w:tab/>
        <w:t>13–2</w:t>
      </w:r>
    </w:p>
    <w:p w14:paraId="7575F970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DD2365">
        <w:t>13.2</w:t>
      </w:r>
      <w:r>
        <w:rPr>
          <w:rFonts w:eastAsiaTheme="minorEastAsia"/>
          <w:sz w:val="22"/>
          <w:lang w:eastAsia="en-AU"/>
        </w:rPr>
        <w:tab/>
      </w:r>
      <w:r w:rsidRPr="00DD2365">
        <w:t>Existing conditions</w:t>
      </w:r>
      <w:r>
        <w:rPr>
          <w:webHidden/>
        </w:rPr>
        <w:tab/>
        <w:t>13–4</w:t>
      </w:r>
    </w:p>
    <w:p w14:paraId="49EF39D8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DD2365">
        <w:t>13.2.1</w:t>
      </w:r>
      <w:r>
        <w:rPr>
          <w:rFonts w:eastAsiaTheme="minorEastAsia"/>
          <w:sz w:val="22"/>
          <w:lang w:eastAsia="en-AU"/>
        </w:rPr>
        <w:tab/>
      </w:r>
      <w:r w:rsidRPr="00DD2365">
        <w:t>M80 Ring Road to northern portal</w:t>
      </w:r>
      <w:r>
        <w:rPr>
          <w:webHidden/>
        </w:rPr>
        <w:tab/>
        <w:t>13–4</w:t>
      </w:r>
    </w:p>
    <w:p w14:paraId="798AEC8E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DD2365">
        <w:t>13.2.2</w:t>
      </w:r>
      <w:r>
        <w:rPr>
          <w:rFonts w:eastAsiaTheme="minorEastAsia"/>
          <w:sz w:val="22"/>
          <w:lang w:eastAsia="en-AU"/>
        </w:rPr>
        <w:tab/>
      </w:r>
      <w:r w:rsidRPr="00DD2365">
        <w:t>Northern portal to southern portal</w:t>
      </w:r>
      <w:r>
        <w:rPr>
          <w:webHidden/>
        </w:rPr>
        <w:tab/>
        <w:t>13–6</w:t>
      </w:r>
    </w:p>
    <w:p w14:paraId="61A202AA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DD2365">
        <w:t>13.2.3</w:t>
      </w:r>
      <w:r>
        <w:rPr>
          <w:rFonts w:eastAsiaTheme="minorEastAsia"/>
          <w:sz w:val="22"/>
          <w:lang w:eastAsia="en-AU"/>
        </w:rPr>
        <w:tab/>
      </w:r>
      <w:r w:rsidRPr="00DD2365">
        <w:t>Eastern Freeway</w:t>
      </w:r>
      <w:r>
        <w:rPr>
          <w:webHidden/>
        </w:rPr>
        <w:tab/>
        <w:t>13–8</w:t>
      </w:r>
    </w:p>
    <w:p w14:paraId="1F4D0FFF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DD2365">
        <w:t>13.3</w:t>
      </w:r>
      <w:r>
        <w:rPr>
          <w:rFonts w:eastAsiaTheme="minorEastAsia"/>
          <w:sz w:val="22"/>
          <w:lang w:eastAsia="en-AU"/>
        </w:rPr>
        <w:tab/>
      </w:r>
      <w:r w:rsidRPr="00DD2365">
        <w:t>Construction impact assessment</w:t>
      </w:r>
      <w:r>
        <w:rPr>
          <w:webHidden/>
        </w:rPr>
        <w:tab/>
        <w:t>13–11</w:t>
      </w:r>
    </w:p>
    <w:p w14:paraId="6A6B741D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DD2365">
        <w:t>13.3.1</w:t>
      </w:r>
      <w:r>
        <w:rPr>
          <w:rFonts w:eastAsiaTheme="minorEastAsia"/>
          <w:sz w:val="22"/>
          <w:lang w:eastAsia="en-AU"/>
        </w:rPr>
        <w:tab/>
      </w:r>
      <w:r w:rsidRPr="00DD2365">
        <w:t>Acquisition</w:t>
      </w:r>
      <w:r>
        <w:rPr>
          <w:webHidden/>
        </w:rPr>
        <w:tab/>
        <w:t>13–11</w:t>
      </w:r>
    </w:p>
    <w:p w14:paraId="37526B81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DD2365">
        <w:t>13.3.2</w:t>
      </w:r>
      <w:r>
        <w:rPr>
          <w:rFonts w:eastAsiaTheme="minorEastAsia"/>
          <w:sz w:val="22"/>
          <w:lang w:eastAsia="en-AU"/>
        </w:rPr>
        <w:tab/>
      </w:r>
      <w:r w:rsidRPr="00DD2365">
        <w:t>Temporary occupation</w:t>
      </w:r>
      <w:r>
        <w:rPr>
          <w:webHidden/>
        </w:rPr>
        <w:tab/>
        <w:t>13–16</w:t>
      </w:r>
    </w:p>
    <w:p w14:paraId="6FF30E13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DD2365">
        <w:t>13.3.3</w:t>
      </w:r>
      <w:r>
        <w:rPr>
          <w:rFonts w:eastAsiaTheme="minorEastAsia"/>
          <w:sz w:val="22"/>
          <w:lang w:eastAsia="en-AU"/>
        </w:rPr>
        <w:tab/>
      </w:r>
      <w:r w:rsidRPr="00DD2365">
        <w:t>Impacts on the ongoing use of land</w:t>
      </w:r>
      <w:r>
        <w:rPr>
          <w:webHidden/>
        </w:rPr>
        <w:tab/>
        <w:t>13–18</w:t>
      </w:r>
    </w:p>
    <w:p w14:paraId="5A6FE36A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DD2365">
        <w:t>13.3.4</w:t>
      </w:r>
      <w:r>
        <w:rPr>
          <w:rFonts w:eastAsiaTheme="minorEastAsia"/>
          <w:sz w:val="22"/>
          <w:lang w:eastAsia="en-AU"/>
        </w:rPr>
        <w:tab/>
      </w:r>
      <w:r w:rsidRPr="00DD2365">
        <w:t>Impacts on land use character</w:t>
      </w:r>
      <w:r>
        <w:rPr>
          <w:webHidden/>
        </w:rPr>
        <w:tab/>
        <w:t>13–22</w:t>
      </w:r>
    </w:p>
    <w:p w14:paraId="117444BC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DD2365">
        <w:t>13.3.5</w:t>
      </w:r>
      <w:r>
        <w:rPr>
          <w:rFonts w:eastAsiaTheme="minorEastAsia"/>
          <w:sz w:val="22"/>
          <w:lang w:eastAsia="en-AU"/>
        </w:rPr>
        <w:tab/>
      </w:r>
      <w:r w:rsidRPr="00DD2365">
        <w:t>Land use planning policy</w:t>
      </w:r>
      <w:r>
        <w:rPr>
          <w:webHidden/>
        </w:rPr>
        <w:tab/>
        <w:t>13–25</w:t>
      </w:r>
    </w:p>
    <w:p w14:paraId="347D9100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DD2365">
        <w:t>13.4</w:t>
      </w:r>
      <w:r>
        <w:rPr>
          <w:rFonts w:eastAsiaTheme="minorEastAsia"/>
          <w:sz w:val="22"/>
          <w:lang w:eastAsia="en-AU"/>
        </w:rPr>
        <w:tab/>
      </w:r>
      <w:r w:rsidRPr="00DD2365">
        <w:t>Operation impact assessment</w:t>
      </w:r>
      <w:r>
        <w:rPr>
          <w:webHidden/>
        </w:rPr>
        <w:tab/>
        <w:t>13–34</w:t>
      </w:r>
    </w:p>
    <w:p w14:paraId="50308963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DD2365">
        <w:t>13.4.1</w:t>
      </w:r>
      <w:r>
        <w:rPr>
          <w:rFonts w:eastAsiaTheme="minorEastAsia"/>
          <w:sz w:val="22"/>
          <w:lang w:eastAsia="en-AU"/>
        </w:rPr>
        <w:tab/>
      </w:r>
      <w:r w:rsidRPr="00DD2365">
        <w:t>Impacts on the ongoing use of land</w:t>
      </w:r>
      <w:r>
        <w:rPr>
          <w:webHidden/>
        </w:rPr>
        <w:tab/>
        <w:t>13–35</w:t>
      </w:r>
    </w:p>
    <w:p w14:paraId="71137361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DD2365">
        <w:t>13.4.2</w:t>
      </w:r>
      <w:r>
        <w:rPr>
          <w:rFonts w:eastAsiaTheme="minorEastAsia"/>
          <w:sz w:val="22"/>
          <w:lang w:eastAsia="en-AU"/>
        </w:rPr>
        <w:tab/>
      </w:r>
      <w:r w:rsidRPr="00DD2365">
        <w:t>Impacts on future redevelopment</w:t>
      </w:r>
      <w:r>
        <w:rPr>
          <w:webHidden/>
        </w:rPr>
        <w:tab/>
        <w:t>13–37</w:t>
      </w:r>
    </w:p>
    <w:p w14:paraId="123E36F8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DD2365">
        <w:t>13.5</w:t>
      </w:r>
      <w:r>
        <w:rPr>
          <w:rFonts w:eastAsiaTheme="minorEastAsia"/>
          <w:sz w:val="22"/>
          <w:lang w:eastAsia="en-AU"/>
        </w:rPr>
        <w:tab/>
      </w:r>
      <w:r w:rsidRPr="00DD2365">
        <w:t>Conclusion</w:t>
      </w:r>
      <w:r>
        <w:rPr>
          <w:webHidden/>
        </w:rPr>
        <w:tab/>
        <w:t>13–39</w:t>
      </w:r>
    </w:p>
    <w:p w14:paraId="64C0E751" w14:textId="77777777" w:rsidR="002D31F6" w:rsidRDefault="002D31F6" w:rsidP="002D31F6">
      <w:pPr>
        <w:pStyle w:val="TOC1"/>
        <w:pageBreakBefore/>
        <w:rPr>
          <w:rFonts w:eastAsiaTheme="minorEastAsia"/>
          <w:color w:val="auto"/>
          <w:lang w:eastAsia="en-AU"/>
        </w:rPr>
      </w:pPr>
      <w:r w:rsidRPr="00333065">
        <w:lastRenderedPageBreak/>
        <w:t>Chapter 14</w:t>
      </w:r>
      <w:r>
        <w:rPr>
          <w:rFonts w:eastAsiaTheme="minorEastAsia"/>
          <w:color w:val="auto"/>
          <w:lang w:eastAsia="en-AU"/>
        </w:rPr>
        <w:tab/>
      </w:r>
      <w:r w:rsidRPr="00333065">
        <w:t>Business</w:t>
      </w:r>
      <w:r>
        <w:rPr>
          <w:webHidden/>
        </w:rPr>
        <w:tab/>
        <w:t>14–1</w:t>
      </w:r>
    </w:p>
    <w:p w14:paraId="577708A2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333065">
        <w:t>14.1</w:t>
      </w:r>
      <w:r>
        <w:rPr>
          <w:rFonts w:eastAsiaTheme="minorEastAsia"/>
          <w:sz w:val="22"/>
          <w:lang w:eastAsia="en-AU"/>
        </w:rPr>
        <w:tab/>
      </w:r>
      <w:r w:rsidRPr="00333065">
        <w:t>Method</w:t>
      </w:r>
      <w:r>
        <w:rPr>
          <w:webHidden/>
        </w:rPr>
        <w:tab/>
        <w:t>14–2</w:t>
      </w:r>
    </w:p>
    <w:p w14:paraId="0C931282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333065">
        <w:t>14.2</w:t>
      </w:r>
      <w:r>
        <w:rPr>
          <w:rFonts w:eastAsiaTheme="minorEastAsia"/>
          <w:sz w:val="22"/>
          <w:lang w:eastAsia="en-AU"/>
        </w:rPr>
        <w:tab/>
      </w:r>
      <w:r w:rsidRPr="00333065">
        <w:t>Existing conditions</w:t>
      </w:r>
      <w:r>
        <w:rPr>
          <w:webHidden/>
        </w:rPr>
        <w:tab/>
        <w:t>14–4</w:t>
      </w:r>
    </w:p>
    <w:p w14:paraId="0139CF0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333065">
        <w:t>14.2.1</w:t>
      </w:r>
      <w:r>
        <w:rPr>
          <w:rFonts w:eastAsiaTheme="minorEastAsia"/>
          <w:sz w:val="22"/>
          <w:lang w:eastAsia="en-AU"/>
        </w:rPr>
        <w:tab/>
      </w:r>
      <w:r w:rsidRPr="00333065">
        <w:t>Regional business context</w:t>
      </w:r>
      <w:r>
        <w:rPr>
          <w:webHidden/>
        </w:rPr>
        <w:tab/>
        <w:t>14–4</w:t>
      </w:r>
    </w:p>
    <w:p w14:paraId="21C83C87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333065">
        <w:t>14.2.2</w:t>
      </w:r>
      <w:r>
        <w:rPr>
          <w:rFonts w:eastAsiaTheme="minorEastAsia"/>
          <w:sz w:val="22"/>
          <w:lang w:eastAsia="en-AU"/>
        </w:rPr>
        <w:tab/>
      </w:r>
      <w:r w:rsidRPr="00333065">
        <w:t>M80 Ring Road to northern portal</w:t>
      </w:r>
      <w:r>
        <w:rPr>
          <w:webHidden/>
        </w:rPr>
        <w:tab/>
        <w:t>14–6</w:t>
      </w:r>
    </w:p>
    <w:p w14:paraId="19C6B9A0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333065">
        <w:t>14.2.3</w:t>
      </w:r>
      <w:r>
        <w:rPr>
          <w:rFonts w:eastAsiaTheme="minorEastAsia"/>
          <w:sz w:val="22"/>
          <w:lang w:eastAsia="en-AU"/>
        </w:rPr>
        <w:tab/>
      </w:r>
      <w:r w:rsidRPr="00333065">
        <w:t>Northern portal to southern portal</w:t>
      </w:r>
      <w:r>
        <w:rPr>
          <w:webHidden/>
        </w:rPr>
        <w:tab/>
        <w:t>14–7</w:t>
      </w:r>
    </w:p>
    <w:p w14:paraId="77CBDF0A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333065">
        <w:t>14.2.4</w:t>
      </w:r>
      <w:r>
        <w:rPr>
          <w:rFonts w:eastAsiaTheme="minorEastAsia"/>
          <w:sz w:val="22"/>
          <w:lang w:eastAsia="en-AU"/>
        </w:rPr>
        <w:tab/>
      </w:r>
      <w:r w:rsidRPr="00333065">
        <w:t>Eastern Freeway</w:t>
      </w:r>
      <w:r>
        <w:rPr>
          <w:webHidden/>
        </w:rPr>
        <w:tab/>
        <w:t>14–9</w:t>
      </w:r>
    </w:p>
    <w:p w14:paraId="633875C2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333065">
        <w:t>14.2.5</w:t>
      </w:r>
      <w:r>
        <w:rPr>
          <w:rFonts w:eastAsiaTheme="minorEastAsia"/>
          <w:sz w:val="22"/>
          <w:lang w:eastAsia="en-AU"/>
        </w:rPr>
        <w:tab/>
      </w:r>
      <w:r w:rsidRPr="00333065">
        <w:t>Home based businesses</w:t>
      </w:r>
      <w:r>
        <w:rPr>
          <w:webHidden/>
        </w:rPr>
        <w:tab/>
        <w:t>14–12</w:t>
      </w:r>
    </w:p>
    <w:p w14:paraId="080A8419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333065">
        <w:t>14.3</w:t>
      </w:r>
      <w:r>
        <w:rPr>
          <w:rFonts w:eastAsiaTheme="minorEastAsia"/>
          <w:sz w:val="22"/>
          <w:lang w:eastAsia="en-AU"/>
        </w:rPr>
        <w:tab/>
      </w:r>
      <w:r w:rsidRPr="00333065">
        <w:t>Construction impact assessment</w:t>
      </w:r>
      <w:r>
        <w:rPr>
          <w:webHidden/>
        </w:rPr>
        <w:tab/>
        <w:t>14–13</w:t>
      </w:r>
    </w:p>
    <w:p w14:paraId="167A66C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333065">
        <w:t>14.3.1</w:t>
      </w:r>
      <w:r>
        <w:rPr>
          <w:rFonts w:eastAsiaTheme="minorEastAsia"/>
          <w:sz w:val="22"/>
          <w:lang w:eastAsia="en-AU"/>
        </w:rPr>
        <w:tab/>
      </w:r>
      <w:r w:rsidRPr="00333065">
        <w:t>Impacts to business operations and viability</w:t>
      </w:r>
      <w:r>
        <w:rPr>
          <w:webHidden/>
        </w:rPr>
        <w:tab/>
        <w:t>14–13</w:t>
      </w:r>
    </w:p>
    <w:p w14:paraId="70C5ED3B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333065">
        <w:t>14.3.2</w:t>
      </w:r>
      <w:r>
        <w:rPr>
          <w:rFonts w:eastAsiaTheme="minorEastAsia"/>
          <w:sz w:val="22"/>
          <w:lang w:eastAsia="en-AU"/>
        </w:rPr>
        <w:tab/>
      </w:r>
      <w:r w:rsidRPr="00333065">
        <w:t>Reduced local availability of employment and services</w:t>
      </w:r>
      <w:r>
        <w:rPr>
          <w:webHidden/>
        </w:rPr>
        <w:tab/>
        <w:t>14–18</w:t>
      </w:r>
    </w:p>
    <w:p w14:paraId="742AE3D2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333065">
        <w:t>14.3.3</w:t>
      </w:r>
      <w:r>
        <w:rPr>
          <w:rFonts w:eastAsiaTheme="minorEastAsia"/>
          <w:sz w:val="22"/>
          <w:lang w:eastAsia="en-AU"/>
        </w:rPr>
        <w:tab/>
      </w:r>
      <w:r w:rsidRPr="00333065">
        <w:t>Impacts to business amenity</w:t>
      </w:r>
      <w:r>
        <w:rPr>
          <w:webHidden/>
        </w:rPr>
        <w:tab/>
        <w:t>14–20</w:t>
      </w:r>
    </w:p>
    <w:p w14:paraId="2C72E501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333065">
        <w:t>14.3.4</w:t>
      </w:r>
      <w:r>
        <w:rPr>
          <w:rFonts w:eastAsiaTheme="minorEastAsia"/>
          <w:sz w:val="22"/>
          <w:lang w:eastAsia="en-AU"/>
        </w:rPr>
        <w:tab/>
      </w:r>
      <w:r w:rsidRPr="00333065">
        <w:t>Increased travel time</w:t>
      </w:r>
      <w:r>
        <w:rPr>
          <w:webHidden/>
        </w:rPr>
        <w:tab/>
        <w:t>14–23</w:t>
      </w:r>
    </w:p>
    <w:p w14:paraId="4EC818A0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333065">
        <w:t>14.4</w:t>
      </w:r>
      <w:r>
        <w:rPr>
          <w:rFonts w:eastAsiaTheme="minorEastAsia"/>
          <w:sz w:val="22"/>
          <w:lang w:eastAsia="en-AU"/>
        </w:rPr>
        <w:tab/>
      </w:r>
      <w:r w:rsidRPr="00333065">
        <w:t>Operation impact assessment</w:t>
      </w:r>
      <w:r>
        <w:rPr>
          <w:webHidden/>
        </w:rPr>
        <w:tab/>
        <w:t>14–25</w:t>
      </w:r>
    </w:p>
    <w:p w14:paraId="6D6593FB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333065">
        <w:t>14.4.1</w:t>
      </w:r>
      <w:r>
        <w:rPr>
          <w:rFonts w:eastAsiaTheme="minorEastAsia"/>
          <w:sz w:val="22"/>
          <w:lang w:eastAsia="en-AU"/>
        </w:rPr>
        <w:tab/>
      </w:r>
      <w:r w:rsidRPr="00333065">
        <w:t>Impacts to business amenity</w:t>
      </w:r>
      <w:r>
        <w:rPr>
          <w:webHidden/>
        </w:rPr>
        <w:tab/>
        <w:t>14–25</w:t>
      </w:r>
    </w:p>
    <w:p w14:paraId="6CEAE690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333065">
        <w:t>14.4.2</w:t>
      </w:r>
      <w:r>
        <w:rPr>
          <w:rFonts w:eastAsiaTheme="minorEastAsia"/>
          <w:sz w:val="22"/>
          <w:lang w:eastAsia="en-AU"/>
        </w:rPr>
        <w:tab/>
      </w:r>
      <w:r w:rsidRPr="00333065">
        <w:t>Increased operational costs</w:t>
      </w:r>
      <w:r>
        <w:rPr>
          <w:webHidden/>
        </w:rPr>
        <w:tab/>
        <w:t>14–27</w:t>
      </w:r>
    </w:p>
    <w:p w14:paraId="0A9C0F30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333065">
        <w:t>14.4.3</w:t>
      </w:r>
      <w:r>
        <w:rPr>
          <w:rFonts w:eastAsiaTheme="minorEastAsia"/>
          <w:sz w:val="22"/>
          <w:lang w:eastAsia="en-AU"/>
        </w:rPr>
        <w:tab/>
      </w:r>
      <w:r w:rsidRPr="00333065">
        <w:t>Increased travel times</w:t>
      </w:r>
      <w:r>
        <w:rPr>
          <w:webHidden/>
        </w:rPr>
        <w:tab/>
        <w:t>14–27</w:t>
      </w:r>
    </w:p>
    <w:p w14:paraId="1FFF5511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333065">
        <w:t>14.4.4</w:t>
      </w:r>
      <w:r>
        <w:rPr>
          <w:rFonts w:eastAsiaTheme="minorEastAsia"/>
          <w:sz w:val="22"/>
          <w:lang w:eastAsia="en-AU"/>
        </w:rPr>
        <w:tab/>
      </w:r>
      <w:r w:rsidRPr="00333065">
        <w:t>Poor reinstatement of occupied business properties</w:t>
      </w:r>
      <w:r>
        <w:rPr>
          <w:webHidden/>
        </w:rPr>
        <w:tab/>
        <w:t>14–31</w:t>
      </w:r>
    </w:p>
    <w:p w14:paraId="216F4299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333065">
        <w:t>14.5</w:t>
      </w:r>
      <w:r>
        <w:rPr>
          <w:rFonts w:eastAsiaTheme="minorEastAsia"/>
          <w:sz w:val="22"/>
          <w:lang w:eastAsia="en-AU"/>
        </w:rPr>
        <w:tab/>
      </w:r>
      <w:r w:rsidRPr="00333065">
        <w:t>Conclusion</w:t>
      </w:r>
      <w:r>
        <w:rPr>
          <w:webHidden/>
        </w:rPr>
        <w:tab/>
        <w:t>14–32</w:t>
      </w:r>
    </w:p>
    <w:p w14:paraId="66D4B2F1" w14:textId="77777777" w:rsidR="002D31F6" w:rsidRDefault="002D31F6" w:rsidP="002D31F6">
      <w:pPr>
        <w:pStyle w:val="TOC1"/>
        <w:rPr>
          <w:rFonts w:eastAsiaTheme="minorEastAsia"/>
          <w:color w:val="auto"/>
          <w:lang w:eastAsia="en-AU"/>
        </w:rPr>
      </w:pPr>
      <w:r w:rsidRPr="000B55F3">
        <w:t>Chapter 15</w:t>
      </w:r>
      <w:r>
        <w:rPr>
          <w:rFonts w:eastAsiaTheme="minorEastAsia"/>
          <w:color w:val="auto"/>
          <w:lang w:eastAsia="en-AU"/>
        </w:rPr>
        <w:tab/>
      </w:r>
      <w:r w:rsidRPr="000B55F3">
        <w:t>Arboriculture</w:t>
      </w:r>
      <w:r>
        <w:rPr>
          <w:webHidden/>
        </w:rPr>
        <w:tab/>
        <w:t>15–1</w:t>
      </w:r>
    </w:p>
    <w:p w14:paraId="08E1B925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0B55F3">
        <w:t>15.1</w:t>
      </w:r>
      <w:r>
        <w:rPr>
          <w:rFonts w:eastAsiaTheme="minorEastAsia"/>
          <w:sz w:val="22"/>
          <w:lang w:eastAsia="en-AU"/>
        </w:rPr>
        <w:tab/>
      </w:r>
      <w:r w:rsidRPr="000B55F3">
        <w:t>Method</w:t>
      </w:r>
      <w:r>
        <w:rPr>
          <w:webHidden/>
        </w:rPr>
        <w:tab/>
        <w:t>15–2</w:t>
      </w:r>
    </w:p>
    <w:p w14:paraId="56888201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0B55F3">
        <w:t>15.2</w:t>
      </w:r>
      <w:r>
        <w:rPr>
          <w:rFonts w:eastAsiaTheme="minorEastAsia"/>
          <w:sz w:val="22"/>
          <w:lang w:eastAsia="en-AU"/>
        </w:rPr>
        <w:tab/>
      </w:r>
      <w:r w:rsidRPr="000B55F3">
        <w:t>Existing conditions</w:t>
      </w:r>
      <w:r>
        <w:rPr>
          <w:webHidden/>
        </w:rPr>
        <w:tab/>
        <w:t>15–4</w:t>
      </w:r>
    </w:p>
    <w:p w14:paraId="4DF037BB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0B55F3">
        <w:t>15.2.1</w:t>
      </w:r>
      <w:r>
        <w:rPr>
          <w:rFonts w:eastAsiaTheme="minorEastAsia"/>
          <w:sz w:val="22"/>
          <w:lang w:eastAsia="en-AU"/>
        </w:rPr>
        <w:tab/>
      </w:r>
      <w:r w:rsidRPr="000B55F3">
        <w:t>Tree and urban forest character</w:t>
      </w:r>
      <w:r>
        <w:rPr>
          <w:webHidden/>
        </w:rPr>
        <w:tab/>
        <w:t>15–5</w:t>
      </w:r>
    </w:p>
    <w:p w14:paraId="1396D2D5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0B55F3">
        <w:t>15.2.2</w:t>
      </w:r>
      <w:r>
        <w:rPr>
          <w:rFonts w:eastAsiaTheme="minorEastAsia"/>
          <w:sz w:val="22"/>
          <w:lang w:eastAsia="en-AU"/>
        </w:rPr>
        <w:tab/>
      </w:r>
      <w:r w:rsidRPr="000B55F3">
        <w:t>Number of trees within the project boundary</w:t>
      </w:r>
      <w:r>
        <w:rPr>
          <w:webHidden/>
        </w:rPr>
        <w:tab/>
        <w:t>15–9</w:t>
      </w:r>
    </w:p>
    <w:p w14:paraId="1C22FD50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0B55F3">
        <w:t>15.3</w:t>
      </w:r>
      <w:r>
        <w:rPr>
          <w:rFonts w:eastAsiaTheme="minorEastAsia"/>
          <w:sz w:val="22"/>
          <w:lang w:eastAsia="en-AU"/>
        </w:rPr>
        <w:tab/>
      </w:r>
      <w:r w:rsidRPr="000B55F3">
        <w:t>Construction impact assessment</w:t>
      </w:r>
      <w:r>
        <w:rPr>
          <w:webHidden/>
        </w:rPr>
        <w:tab/>
        <w:t>15–10</w:t>
      </w:r>
    </w:p>
    <w:p w14:paraId="055CA7EE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0B55F3">
        <w:t>15.3.1</w:t>
      </w:r>
      <w:r>
        <w:rPr>
          <w:rFonts w:eastAsiaTheme="minorEastAsia"/>
          <w:sz w:val="22"/>
          <w:lang w:eastAsia="en-AU"/>
        </w:rPr>
        <w:tab/>
      </w:r>
      <w:r w:rsidRPr="000B55F3">
        <w:t>Reduction of trees and urban forest canopy</w:t>
      </w:r>
      <w:r>
        <w:rPr>
          <w:webHidden/>
        </w:rPr>
        <w:tab/>
        <w:t>15–11</w:t>
      </w:r>
    </w:p>
    <w:p w14:paraId="4EA2FBF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0B55F3">
        <w:t>15.3.2</w:t>
      </w:r>
      <w:r>
        <w:rPr>
          <w:rFonts w:eastAsiaTheme="minorEastAsia"/>
          <w:sz w:val="22"/>
          <w:lang w:eastAsia="en-AU"/>
        </w:rPr>
        <w:tab/>
      </w:r>
      <w:r w:rsidRPr="000B55F3">
        <w:t>Impacts to trees and the urban forest from construction activities</w:t>
      </w:r>
      <w:r>
        <w:rPr>
          <w:webHidden/>
        </w:rPr>
        <w:tab/>
        <w:t>15–13</w:t>
      </w:r>
    </w:p>
    <w:p w14:paraId="5DA9673B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0B55F3">
        <w:t>15.4</w:t>
      </w:r>
      <w:r>
        <w:rPr>
          <w:rFonts w:eastAsiaTheme="minorEastAsia"/>
          <w:sz w:val="22"/>
          <w:lang w:eastAsia="en-AU"/>
        </w:rPr>
        <w:tab/>
      </w:r>
      <w:r w:rsidRPr="000B55F3">
        <w:t>Operation impact assessment</w:t>
      </w:r>
      <w:r>
        <w:rPr>
          <w:webHidden/>
        </w:rPr>
        <w:tab/>
        <w:t>15–14</w:t>
      </w:r>
    </w:p>
    <w:p w14:paraId="46EA323A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0B55F3">
        <w:t>15.5</w:t>
      </w:r>
      <w:r>
        <w:rPr>
          <w:rFonts w:eastAsiaTheme="minorEastAsia"/>
          <w:sz w:val="22"/>
          <w:lang w:eastAsia="en-AU"/>
        </w:rPr>
        <w:tab/>
      </w:r>
      <w:r w:rsidRPr="000B55F3">
        <w:t>Cumulative impact assessment</w:t>
      </w:r>
      <w:r>
        <w:rPr>
          <w:webHidden/>
        </w:rPr>
        <w:tab/>
        <w:t>15–16</w:t>
      </w:r>
    </w:p>
    <w:p w14:paraId="2195B536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0B55F3">
        <w:t>15.6</w:t>
      </w:r>
      <w:r>
        <w:rPr>
          <w:rFonts w:eastAsiaTheme="minorEastAsia"/>
          <w:sz w:val="22"/>
          <w:lang w:eastAsia="en-AU"/>
        </w:rPr>
        <w:tab/>
      </w:r>
      <w:r w:rsidRPr="000B55F3">
        <w:t>Conclusion</w:t>
      </w:r>
      <w:r>
        <w:rPr>
          <w:webHidden/>
        </w:rPr>
        <w:tab/>
        <w:t>15–17</w:t>
      </w:r>
    </w:p>
    <w:p w14:paraId="0D4AE4CC" w14:textId="77777777" w:rsidR="002D31F6" w:rsidRDefault="002D31F6" w:rsidP="002D31F6">
      <w:pPr>
        <w:pStyle w:val="TOC1"/>
        <w:pageBreakBefore/>
        <w:rPr>
          <w:rFonts w:eastAsiaTheme="minorEastAsia"/>
          <w:color w:val="auto"/>
          <w:lang w:eastAsia="en-AU"/>
        </w:rPr>
      </w:pPr>
      <w:r w:rsidRPr="009470C8">
        <w:lastRenderedPageBreak/>
        <w:t>Chapter 16</w:t>
      </w:r>
      <w:r>
        <w:rPr>
          <w:rFonts w:eastAsiaTheme="minorEastAsia"/>
          <w:color w:val="auto"/>
          <w:lang w:eastAsia="en-AU"/>
        </w:rPr>
        <w:tab/>
      </w:r>
      <w:r w:rsidRPr="009470C8">
        <w:t>Landscape and visual</w:t>
      </w:r>
      <w:r>
        <w:rPr>
          <w:webHidden/>
        </w:rPr>
        <w:tab/>
        <w:t>16–1</w:t>
      </w:r>
    </w:p>
    <w:p w14:paraId="0D381278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9470C8">
        <w:t>16.1</w:t>
      </w:r>
      <w:r>
        <w:rPr>
          <w:rFonts w:eastAsiaTheme="minorEastAsia"/>
          <w:sz w:val="22"/>
          <w:lang w:eastAsia="en-AU"/>
        </w:rPr>
        <w:tab/>
      </w:r>
      <w:r w:rsidRPr="009470C8">
        <w:t>Method</w:t>
      </w:r>
      <w:r>
        <w:rPr>
          <w:webHidden/>
        </w:rPr>
        <w:tab/>
        <w:t>16–2</w:t>
      </w:r>
    </w:p>
    <w:p w14:paraId="3B294D73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9470C8">
        <w:t>16.1.1</w:t>
      </w:r>
      <w:r>
        <w:rPr>
          <w:rFonts w:eastAsiaTheme="minorEastAsia"/>
          <w:sz w:val="22"/>
          <w:lang w:eastAsia="en-AU"/>
        </w:rPr>
        <w:tab/>
      </w:r>
      <w:r w:rsidRPr="009470C8">
        <w:t>Desktop analysis</w:t>
      </w:r>
      <w:r>
        <w:rPr>
          <w:webHidden/>
        </w:rPr>
        <w:tab/>
        <w:t>16–2</w:t>
      </w:r>
    </w:p>
    <w:p w14:paraId="3A8D160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9470C8">
        <w:t>16.1.2</w:t>
      </w:r>
      <w:r>
        <w:rPr>
          <w:rFonts w:eastAsiaTheme="minorEastAsia"/>
          <w:sz w:val="22"/>
          <w:lang w:eastAsia="en-AU"/>
        </w:rPr>
        <w:tab/>
      </w:r>
      <w:r w:rsidRPr="009470C8">
        <w:t>Site investigations and consultation</w:t>
      </w:r>
      <w:r>
        <w:rPr>
          <w:webHidden/>
        </w:rPr>
        <w:tab/>
        <w:t>16–5</w:t>
      </w:r>
    </w:p>
    <w:p w14:paraId="51932844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9470C8">
        <w:t>16.1.3</w:t>
      </w:r>
      <w:r>
        <w:rPr>
          <w:rFonts w:eastAsiaTheme="minorEastAsia"/>
          <w:sz w:val="22"/>
          <w:lang w:eastAsia="en-AU"/>
        </w:rPr>
        <w:tab/>
      </w:r>
      <w:r w:rsidRPr="009470C8">
        <w:t>Impact assessment and management</w:t>
      </w:r>
      <w:r>
        <w:rPr>
          <w:webHidden/>
        </w:rPr>
        <w:tab/>
        <w:t>16–6</w:t>
      </w:r>
    </w:p>
    <w:p w14:paraId="157CA01B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9470C8">
        <w:t>16.2</w:t>
      </w:r>
      <w:r>
        <w:rPr>
          <w:rFonts w:eastAsiaTheme="minorEastAsia"/>
          <w:sz w:val="22"/>
          <w:lang w:eastAsia="en-AU"/>
        </w:rPr>
        <w:tab/>
      </w:r>
      <w:r w:rsidRPr="009470C8">
        <w:t>Existing conditions</w:t>
      </w:r>
      <w:r>
        <w:rPr>
          <w:webHidden/>
        </w:rPr>
        <w:tab/>
        <w:t>16–8</w:t>
      </w:r>
    </w:p>
    <w:p w14:paraId="6916F8C2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9470C8">
        <w:t>16.2.1</w:t>
      </w:r>
      <w:r>
        <w:rPr>
          <w:rFonts w:eastAsiaTheme="minorEastAsia"/>
          <w:sz w:val="22"/>
          <w:lang w:eastAsia="en-AU"/>
        </w:rPr>
        <w:tab/>
      </w:r>
      <w:r w:rsidRPr="009470C8">
        <w:t>Ridgeline</w:t>
      </w:r>
      <w:r>
        <w:rPr>
          <w:webHidden/>
        </w:rPr>
        <w:tab/>
        <w:t>16–9</w:t>
      </w:r>
    </w:p>
    <w:p w14:paraId="3152193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9470C8">
        <w:t>16.2.2</w:t>
      </w:r>
      <w:r>
        <w:rPr>
          <w:rFonts w:eastAsiaTheme="minorEastAsia"/>
          <w:sz w:val="22"/>
          <w:lang w:eastAsia="en-AU"/>
        </w:rPr>
        <w:tab/>
      </w:r>
      <w:r w:rsidRPr="009470C8">
        <w:t>Yarra River Valley</w:t>
      </w:r>
      <w:r>
        <w:rPr>
          <w:webHidden/>
        </w:rPr>
        <w:tab/>
        <w:t>16–9</w:t>
      </w:r>
    </w:p>
    <w:p w14:paraId="359E6504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9470C8">
        <w:t>16.2.3</w:t>
      </w:r>
      <w:r>
        <w:rPr>
          <w:rFonts w:eastAsiaTheme="minorEastAsia"/>
          <w:sz w:val="22"/>
          <w:lang w:eastAsia="en-AU"/>
        </w:rPr>
        <w:tab/>
      </w:r>
      <w:r w:rsidRPr="009470C8">
        <w:t>Koonung Creek Valley</w:t>
      </w:r>
      <w:r>
        <w:rPr>
          <w:webHidden/>
        </w:rPr>
        <w:tab/>
        <w:t>16–9</w:t>
      </w:r>
    </w:p>
    <w:p w14:paraId="189624F8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9470C8">
        <w:t>16.2.4</w:t>
      </w:r>
      <w:r>
        <w:rPr>
          <w:rFonts w:eastAsiaTheme="minorEastAsia"/>
          <w:sz w:val="22"/>
          <w:lang w:eastAsia="en-AU"/>
        </w:rPr>
        <w:tab/>
      </w:r>
      <w:r w:rsidRPr="009470C8">
        <w:t>Landscape sensitivity</w:t>
      </w:r>
      <w:r>
        <w:rPr>
          <w:webHidden/>
        </w:rPr>
        <w:tab/>
        <w:t>16–10</w:t>
      </w:r>
    </w:p>
    <w:p w14:paraId="531501C1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9470C8">
        <w:t>16.3</w:t>
      </w:r>
      <w:r>
        <w:rPr>
          <w:rFonts w:eastAsiaTheme="minorEastAsia"/>
          <w:sz w:val="22"/>
          <w:lang w:eastAsia="en-AU"/>
        </w:rPr>
        <w:tab/>
      </w:r>
      <w:r w:rsidRPr="009470C8">
        <w:t>Construction impact assessment</w:t>
      </w:r>
      <w:r>
        <w:rPr>
          <w:webHidden/>
        </w:rPr>
        <w:tab/>
        <w:t>16–11</w:t>
      </w:r>
    </w:p>
    <w:p w14:paraId="67F123C6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9470C8">
        <w:t>16.4</w:t>
      </w:r>
      <w:r>
        <w:rPr>
          <w:rFonts w:eastAsiaTheme="minorEastAsia"/>
          <w:sz w:val="22"/>
          <w:lang w:eastAsia="en-AU"/>
        </w:rPr>
        <w:tab/>
      </w:r>
      <w:r w:rsidRPr="009470C8">
        <w:t>Operation impact assessment</w:t>
      </w:r>
      <w:r>
        <w:rPr>
          <w:webHidden/>
        </w:rPr>
        <w:tab/>
        <w:t>16–13</w:t>
      </w:r>
    </w:p>
    <w:p w14:paraId="28F65AE4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9470C8">
        <w:t>16.4.1</w:t>
      </w:r>
      <w:r>
        <w:rPr>
          <w:rFonts w:eastAsiaTheme="minorEastAsia"/>
          <w:sz w:val="22"/>
          <w:lang w:eastAsia="en-AU"/>
        </w:rPr>
        <w:tab/>
      </w:r>
      <w:r w:rsidRPr="009470C8">
        <w:t>Landscape and visual impacts: public viewpoints</w:t>
      </w:r>
      <w:r>
        <w:rPr>
          <w:webHidden/>
        </w:rPr>
        <w:tab/>
        <w:t>16–14</w:t>
      </w:r>
    </w:p>
    <w:p w14:paraId="0E09AF41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9470C8">
        <w:t>16.4.2</w:t>
      </w:r>
      <w:r>
        <w:rPr>
          <w:rFonts w:eastAsiaTheme="minorEastAsia"/>
          <w:sz w:val="22"/>
          <w:lang w:eastAsia="en-AU"/>
        </w:rPr>
        <w:tab/>
      </w:r>
      <w:r w:rsidRPr="009470C8">
        <w:t>Landscape and visual impacts: private viewpoints</w:t>
      </w:r>
      <w:r>
        <w:rPr>
          <w:webHidden/>
        </w:rPr>
        <w:tab/>
        <w:t>16–57</w:t>
      </w:r>
    </w:p>
    <w:p w14:paraId="2494FC9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9470C8">
        <w:t>16.4.3</w:t>
      </w:r>
      <w:r>
        <w:rPr>
          <w:rFonts w:eastAsiaTheme="minorEastAsia"/>
          <w:sz w:val="22"/>
          <w:lang w:eastAsia="en-AU"/>
        </w:rPr>
        <w:tab/>
      </w:r>
      <w:r w:rsidRPr="009470C8">
        <w:t>Overshadowing</w:t>
      </w:r>
      <w:r>
        <w:rPr>
          <w:webHidden/>
        </w:rPr>
        <w:tab/>
        <w:t>16–72</w:t>
      </w:r>
    </w:p>
    <w:p w14:paraId="02AB44F7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9470C8">
        <w:t>16.4.4</w:t>
      </w:r>
      <w:r>
        <w:rPr>
          <w:rFonts w:eastAsiaTheme="minorEastAsia"/>
          <w:sz w:val="22"/>
          <w:lang w:eastAsia="en-AU"/>
        </w:rPr>
        <w:tab/>
      </w:r>
      <w:r w:rsidRPr="009470C8">
        <w:t>Light spill</w:t>
      </w:r>
      <w:r>
        <w:rPr>
          <w:webHidden/>
        </w:rPr>
        <w:tab/>
        <w:t>16–74</w:t>
      </w:r>
    </w:p>
    <w:p w14:paraId="7F8160DD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9470C8">
        <w:t>16.5</w:t>
      </w:r>
      <w:r>
        <w:rPr>
          <w:rFonts w:eastAsiaTheme="minorEastAsia"/>
          <w:sz w:val="22"/>
          <w:lang w:eastAsia="en-AU"/>
        </w:rPr>
        <w:tab/>
      </w:r>
      <w:r w:rsidRPr="009470C8">
        <w:t>Conclusion</w:t>
      </w:r>
      <w:r>
        <w:rPr>
          <w:webHidden/>
        </w:rPr>
        <w:tab/>
        <w:t>16–75</w:t>
      </w:r>
    </w:p>
    <w:p w14:paraId="4F3CFB8B" w14:textId="77777777" w:rsidR="002D31F6" w:rsidRDefault="002D31F6" w:rsidP="002D31F6">
      <w:pPr>
        <w:pStyle w:val="TOC1"/>
        <w:rPr>
          <w:rFonts w:eastAsiaTheme="minorEastAsia"/>
          <w:color w:val="auto"/>
          <w:lang w:eastAsia="en-AU"/>
        </w:rPr>
      </w:pPr>
      <w:r w:rsidRPr="004C0129">
        <w:t>Chapter 17</w:t>
      </w:r>
      <w:r>
        <w:rPr>
          <w:rFonts w:eastAsiaTheme="minorEastAsia"/>
          <w:color w:val="auto"/>
          <w:lang w:eastAsia="en-AU"/>
        </w:rPr>
        <w:tab/>
      </w:r>
      <w:r w:rsidRPr="004C0129">
        <w:t>Social</w:t>
      </w:r>
      <w:r>
        <w:rPr>
          <w:webHidden/>
        </w:rPr>
        <w:tab/>
        <w:t>17–1</w:t>
      </w:r>
    </w:p>
    <w:p w14:paraId="718AF4DC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4C0129">
        <w:t>17.1</w:t>
      </w:r>
      <w:r>
        <w:rPr>
          <w:rFonts w:eastAsiaTheme="minorEastAsia"/>
          <w:sz w:val="22"/>
          <w:lang w:eastAsia="en-AU"/>
        </w:rPr>
        <w:tab/>
      </w:r>
      <w:r w:rsidRPr="004C0129">
        <w:t>Method</w:t>
      </w:r>
      <w:r>
        <w:rPr>
          <w:webHidden/>
        </w:rPr>
        <w:tab/>
        <w:t>17–2</w:t>
      </w:r>
    </w:p>
    <w:p w14:paraId="7AE0954D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C0129">
        <w:t>17.1.1</w:t>
      </w:r>
      <w:r>
        <w:rPr>
          <w:rFonts w:eastAsiaTheme="minorEastAsia"/>
          <w:sz w:val="22"/>
          <w:lang w:eastAsia="en-AU"/>
        </w:rPr>
        <w:tab/>
      </w:r>
      <w:r w:rsidRPr="004C0129">
        <w:t>Desktop analysis</w:t>
      </w:r>
      <w:r>
        <w:rPr>
          <w:webHidden/>
        </w:rPr>
        <w:tab/>
        <w:t>17–2</w:t>
      </w:r>
    </w:p>
    <w:p w14:paraId="14CCB512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C0129">
        <w:t>17.1.2</w:t>
      </w:r>
      <w:r>
        <w:rPr>
          <w:rFonts w:eastAsiaTheme="minorEastAsia"/>
          <w:sz w:val="22"/>
          <w:lang w:eastAsia="en-AU"/>
        </w:rPr>
        <w:tab/>
      </w:r>
      <w:r w:rsidRPr="004C0129">
        <w:t>Stakeholder consultation and community engagement</w:t>
      </w:r>
      <w:r>
        <w:rPr>
          <w:webHidden/>
        </w:rPr>
        <w:tab/>
        <w:t>17–3</w:t>
      </w:r>
    </w:p>
    <w:p w14:paraId="0C4B1E07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C0129">
        <w:t>17.1.3</w:t>
      </w:r>
      <w:r>
        <w:rPr>
          <w:rFonts w:eastAsiaTheme="minorEastAsia"/>
          <w:sz w:val="22"/>
          <w:lang w:eastAsia="en-AU"/>
        </w:rPr>
        <w:tab/>
      </w:r>
      <w:r w:rsidRPr="004C0129">
        <w:t>Impact assessment and management</w:t>
      </w:r>
      <w:r>
        <w:rPr>
          <w:webHidden/>
        </w:rPr>
        <w:tab/>
        <w:t>17–5</w:t>
      </w:r>
    </w:p>
    <w:p w14:paraId="38CBA5A5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4C0129">
        <w:t>17.2</w:t>
      </w:r>
      <w:r>
        <w:rPr>
          <w:rFonts w:eastAsiaTheme="minorEastAsia"/>
          <w:sz w:val="22"/>
          <w:lang w:eastAsia="en-AU"/>
        </w:rPr>
        <w:tab/>
      </w:r>
      <w:r w:rsidRPr="004C0129">
        <w:t>Existing conditions</w:t>
      </w:r>
      <w:r>
        <w:rPr>
          <w:webHidden/>
        </w:rPr>
        <w:tab/>
        <w:t>17–6</w:t>
      </w:r>
    </w:p>
    <w:p w14:paraId="779E8022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C0129">
        <w:t>17.2.1</w:t>
      </w:r>
      <w:r>
        <w:rPr>
          <w:rFonts w:eastAsiaTheme="minorEastAsia"/>
          <w:sz w:val="22"/>
          <w:lang w:eastAsia="en-AU"/>
        </w:rPr>
        <w:tab/>
      </w:r>
      <w:r w:rsidRPr="004C0129">
        <w:t>Region overview</w:t>
      </w:r>
      <w:r>
        <w:rPr>
          <w:webHidden/>
        </w:rPr>
        <w:tab/>
        <w:t>17–6</w:t>
      </w:r>
    </w:p>
    <w:p w14:paraId="16A6865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C0129">
        <w:t>17.2.2</w:t>
      </w:r>
      <w:r>
        <w:rPr>
          <w:rFonts w:eastAsiaTheme="minorEastAsia"/>
          <w:sz w:val="22"/>
          <w:lang w:eastAsia="en-AU"/>
        </w:rPr>
        <w:tab/>
      </w:r>
      <w:r w:rsidRPr="004C0129">
        <w:t>Northern region</w:t>
      </w:r>
      <w:r>
        <w:rPr>
          <w:webHidden/>
        </w:rPr>
        <w:tab/>
        <w:t>17–7</w:t>
      </w:r>
    </w:p>
    <w:p w14:paraId="0D7CD0B0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C0129">
        <w:t>17.2.3</w:t>
      </w:r>
      <w:r>
        <w:rPr>
          <w:rFonts w:eastAsiaTheme="minorEastAsia"/>
          <w:sz w:val="22"/>
          <w:lang w:eastAsia="en-AU"/>
        </w:rPr>
        <w:tab/>
      </w:r>
      <w:r w:rsidRPr="004C0129">
        <w:t>Eastern region</w:t>
      </w:r>
      <w:r>
        <w:rPr>
          <w:webHidden/>
        </w:rPr>
        <w:tab/>
        <w:t>17–12</w:t>
      </w:r>
    </w:p>
    <w:p w14:paraId="085EA6F0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C0129">
        <w:t>17.2.4</w:t>
      </w:r>
      <w:r>
        <w:rPr>
          <w:rFonts w:eastAsiaTheme="minorEastAsia"/>
          <w:sz w:val="22"/>
          <w:lang w:eastAsia="en-AU"/>
        </w:rPr>
        <w:tab/>
      </w:r>
      <w:r w:rsidRPr="004C0129">
        <w:t>Inner region</w:t>
      </w:r>
      <w:r>
        <w:rPr>
          <w:webHidden/>
        </w:rPr>
        <w:tab/>
        <w:t>17–16</w:t>
      </w:r>
    </w:p>
    <w:p w14:paraId="3237051A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4C0129">
        <w:t>17.3</w:t>
      </w:r>
      <w:r>
        <w:rPr>
          <w:rFonts w:eastAsiaTheme="minorEastAsia"/>
          <w:sz w:val="22"/>
          <w:lang w:eastAsia="en-AU"/>
        </w:rPr>
        <w:tab/>
      </w:r>
      <w:r w:rsidRPr="004C0129">
        <w:t>Construction impact assessment</w:t>
      </w:r>
      <w:r>
        <w:rPr>
          <w:webHidden/>
        </w:rPr>
        <w:tab/>
        <w:t>17–20</w:t>
      </w:r>
    </w:p>
    <w:p w14:paraId="03CB8DF7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C0129">
        <w:t>17.3.1</w:t>
      </w:r>
      <w:r>
        <w:rPr>
          <w:rFonts w:eastAsiaTheme="minorEastAsia"/>
          <w:sz w:val="22"/>
          <w:lang w:eastAsia="en-AU"/>
        </w:rPr>
        <w:tab/>
      </w:r>
      <w:r w:rsidRPr="004C0129">
        <w:t>Property acquisition</w:t>
      </w:r>
      <w:r>
        <w:rPr>
          <w:webHidden/>
        </w:rPr>
        <w:tab/>
        <w:t>17–20</w:t>
      </w:r>
    </w:p>
    <w:p w14:paraId="3311F634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C0129">
        <w:t>17.3.2</w:t>
      </w:r>
      <w:r>
        <w:rPr>
          <w:rFonts w:eastAsiaTheme="minorEastAsia"/>
          <w:sz w:val="22"/>
          <w:lang w:eastAsia="en-AU"/>
        </w:rPr>
        <w:tab/>
      </w:r>
      <w:r w:rsidRPr="004C0129">
        <w:t>Amenity and character</w:t>
      </w:r>
      <w:r>
        <w:rPr>
          <w:webHidden/>
        </w:rPr>
        <w:tab/>
        <w:t>17–24</w:t>
      </w:r>
    </w:p>
    <w:p w14:paraId="531EE894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C0129">
        <w:t>17.3.3</w:t>
      </w:r>
      <w:r>
        <w:rPr>
          <w:rFonts w:eastAsiaTheme="minorEastAsia"/>
          <w:sz w:val="22"/>
          <w:lang w:eastAsia="en-AU"/>
        </w:rPr>
        <w:tab/>
      </w:r>
      <w:r w:rsidRPr="004C0129">
        <w:t>Access and connectivity</w:t>
      </w:r>
      <w:r>
        <w:rPr>
          <w:webHidden/>
        </w:rPr>
        <w:tab/>
        <w:t>17–28</w:t>
      </w:r>
    </w:p>
    <w:p w14:paraId="63CD5EBD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C0129">
        <w:t>17.3.4</w:t>
      </w:r>
      <w:r>
        <w:rPr>
          <w:rFonts w:eastAsiaTheme="minorEastAsia"/>
          <w:sz w:val="22"/>
          <w:lang w:eastAsia="en-AU"/>
        </w:rPr>
        <w:tab/>
      </w:r>
      <w:r w:rsidRPr="004C0129">
        <w:t>Function and viability of community infrastructure facilities</w:t>
      </w:r>
      <w:r>
        <w:rPr>
          <w:webHidden/>
        </w:rPr>
        <w:tab/>
        <w:t>17–31</w:t>
      </w:r>
    </w:p>
    <w:p w14:paraId="58B864DB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4C0129">
        <w:t>17.4</w:t>
      </w:r>
      <w:r>
        <w:rPr>
          <w:rFonts w:eastAsiaTheme="minorEastAsia"/>
          <w:sz w:val="22"/>
          <w:lang w:eastAsia="en-AU"/>
        </w:rPr>
        <w:tab/>
      </w:r>
      <w:r w:rsidRPr="004C0129">
        <w:t>Operation impact assessment</w:t>
      </w:r>
      <w:r>
        <w:rPr>
          <w:webHidden/>
        </w:rPr>
        <w:tab/>
        <w:t>17–38</w:t>
      </w:r>
    </w:p>
    <w:p w14:paraId="35020A7D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C0129">
        <w:t>17.4.1</w:t>
      </w:r>
      <w:r>
        <w:rPr>
          <w:rFonts w:eastAsiaTheme="minorEastAsia"/>
          <w:sz w:val="22"/>
          <w:lang w:eastAsia="en-AU"/>
        </w:rPr>
        <w:tab/>
      </w:r>
      <w:r w:rsidRPr="004C0129">
        <w:t>Amenity and character</w:t>
      </w:r>
      <w:r>
        <w:rPr>
          <w:webHidden/>
        </w:rPr>
        <w:tab/>
        <w:t>17–39</w:t>
      </w:r>
    </w:p>
    <w:p w14:paraId="2A592A97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C0129">
        <w:t>17.4.2</w:t>
      </w:r>
      <w:r>
        <w:rPr>
          <w:rFonts w:eastAsiaTheme="minorEastAsia"/>
          <w:sz w:val="22"/>
          <w:lang w:eastAsia="en-AU"/>
        </w:rPr>
        <w:tab/>
      </w:r>
      <w:r w:rsidRPr="004C0129">
        <w:t>Access and connectivity</w:t>
      </w:r>
      <w:r>
        <w:rPr>
          <w:webHidden/>
        </w:rPr>
        <w:tab/>
        <w:t>17–43</w:t>
      </w:r>
    </w:p>
    <w:p w14:paraId="39C399C7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C0129">
        <w:t>17.4.3</w:t>
      </w:r>
      <w:r>
        <w:rPr>
          <w:rFonts w:eastAsiaTheme="minorEastAsia"/>
          <w:sz w:val="22"/>
          <w:lang w:eastAsia="en-AU"/>
        </w:rPr>
        <w:tab/>
      </w:r>
      <w:r w:rsidRPr="004C0129">
        <w:t>Function and viability of community infrastructure facilities</w:t>
      </w:r>
      <w:r>
        <w:rPr>
          <w:webHidden/>
        </w:rPr>
        <w:tab/>
        <w:t>17–46</w:t>
      </w:r>
    </w:p>
    <w:p w14:paraId="1FEF469B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4C0129">
        <w:t>17.5</w:t>
      </w:r>
      <w:r>
        <w:rPr>
          <w:rFonts w:eastAsiaTheme="minorEastAsia"/>
          <w:sz w:val="22"/>
          <w:lang w:eastAsia="en-AU"/>
        </w:rPr>
        <w:tab/>
      </w:r>
      <w:r w:rsidRPr="004C0129">
        <w:t>Conclusion</w:t>
      </w:r>
      <w:r>
        <w:rPr>
          <w:webHidden/>
        </w:rPr>
        <w:tab/>
        <w:t>17–50</w:t>
      </w:r>
    </w:p>
    <w:p w14:paraId="25FFEC27" w14:textId="77777777" w:rsidR="002D31F6" w:rsidRDefault="002D31F6" w:rsidP="002D31F6">
      <w:pPr>
        <w:pStyle w:val="TOC1"/>
        <w:rPr>
          <w:rFonts w:eastAsiaTheme="minorEastAsia"/>
          <w:color w:val="auto"/>
          <w:lang w:eastAsia="en-AU"/>
        </w:rPr>
      </w:pPr>
      <w:r w:rsidRPr="00423006">
        <w:lastRenderedPageBreak/>
        <w:t>Chapter 18</w:t>
      </w:r>
      <w:r>
        <w:rPr>
          <w:rFonts w:eastAsiaTheme="minorEastAsia"/>
          <w:color w:val="auto"/>
          <w:lang w:eastAsia="en-AU"/>
        </w:rPr>
        <w:tab/>
      </w:r>
      <w:r w:rsidRPr="00423006">
        <w:t>Human health</w:t>
      </w:r>
      <w:r>
        <w:rPr>
          <w:webHidden/>
        </w:rPr>
        <w:tab/>
        <w:t>18–1</w:t>
      </w:r>
    </w:p>
    <w:p w14:paraId="66136B62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423006">
        <w:t>18.1</w:t>
      </w:r>
      <w:r>
        <w:rPr>
          <w:rFonts w:eastAsiaTheme="minorEastAsia"/>
          <w:sz w:val="22"/>
          <w:lang w:eastAsia="en-AU"/>
        </w:rPr>
        <w:tab/>
      </w:r>
      <w:r w:rsidRPr="00423006">
        <w:t>Method</w:t>
      </w:r>
      <w:r>
        <w:rPr>
          <w:webHidden/>
        </w:rPr>
        <w:tab/>
        <w:t>18–2</w:t>
      </w:r>
    </w:p>
    <w:p w14:paraId="120B78EE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423006">
        <w:t>18.2</w:t>
      </w:r>
      <w:r>
        <w:rPr>
          <w:rFonts w:eastAsiaTheme="minorEastAsia"/>
          <w:sz w:val="22"/>
          <w:lang w:eastAsia="en-AU"/>
        </w:rPr>
        <w:tab/>
      </w:r>
      <w:r w:rsidRPr="00423006">
        <w:t>Approach to assessing health impacts</w:t>
      </w:r>
      <w:r>
        <w:rPr>
          <w:webHidden/>
        </w:rPr>
        <w:tab/>
        <w:t>18–3</w:t>
      </w:r>
    </w:p>
    <w:p w14:paraId="5D2AEC45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23006">
        <w:t>18.2.1</w:t>
      </w:r>
      <w:r>
        <w:rPr>
          <w:rFonts w:eastAsiaTheme="minorEastAsia"/>
          <w:sz w:val="22"/>
          <w:lang w:eastAsia="en-AU"/>
        </w:rPr>
        <w:tab/>
      </w:r>
      <w:r w:rsidRPr="00423006">
        <w:t>Assessing health impacts from changes in noise and vibration</w:t>
      </w:r>
      <w:r>
        <w:rPr>
          <w:webHidden/>
        </w:rPr>
        <w:tab/>
        <w:t>18–3</w:t>
      </w:r>
    </w:p>
    <w:p w14:paraId="52B6FA8B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23006">
        <w:t>18.2.2</w:t>
      </w:r>
      <w:r>
        <w:rPr>
          <w:rFonts w:eastAsiaTheme="minorEastAsia"/>
          <w:sz w:val="22"/>
          <w:lang w:eastAsia="en-AU"/>
        </w:rPr>
        <w:tab/>
      </w:r>
      <w:r w:rsidRPr="00423006">
        <w:t>Assessing health impacts from changes in air quality</w:t>
      </w:r>
      <w:r>
        <w:rPr>
          <w:webHidden/>
        </w:rPr>
        <w:tab/>
        <w:t>18–4</w:t>
      </w:r>
    </w:p>
    <w:p w14:paraId="50B67A6A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23006">
        <w:t>18.2.3</w:t>
      </w:r>
      <w:r>
        <w:rPr>
          <w:rFonts w:eastAsiaTheme="minorEastAsia"/>
          <w:sz w:val="22"/>
          <w:lang w:eastAsia="en-AU"/>
        </w:rPr>
        <w:tab/>
      </w:r>
      <w:r w:rsidRPr="00423006">
        <w:t>Assessing health impacts of social changes</w:t>
      </w:r>
      <w:r>
        <w:rPr>
          <w:webHidden/>
        </w:rPr>
        <w:tab/>
        <w:t>18–6</w:t>
      </w:r>
    </w:p>
    <w:p w14:paraId="03831F23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23006">
        <w:t>18.2.4</w:t>
      </w:r>
      <w:r>
        <w:rPr>
          <w:rFonts w:eastAsiaTheme="minorEastAsia"/>
          <w:sz w:val="22"/>
          <w:lang w:eastAsia="en-AU"/>
        </w:rPr>
        <w:tab/>
      </w:r>
      <w:r w:rsidRPr="00423006">
        <w:t>Dealing with uncertainty</w:t>
      </w:r>
      <w:r>
        <w:rPr>
          <w:webHidden/>
        </w:rPr>
        <w:tab/>
        <w:t>18–6</w:t>
      </w:r>
    </w:p>
    <w:p w14:paraId="584E2109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423006">
        <w:t>18.3</w:t>
      </w:r>
      <w:r>
        <w:rPr>
          <w:rFonts w:eastAsiaTheme="minorEastAsia"/>
          <w:sz w:val="22"/>
          <w:lang w:eastAsia="en-AU"/>
        </w:rPr>
        <w:tab/>
      </w:r>
      <w:r w:rsidRPr="00423006">
        <w:t>Existing conditions</w:t>
      </w:r>
      <w:r>
        <w:rPr>
          <w:webHidden/>
        </w:rPr>
        <w:tab/>
        <w:t>18–7</w:t>
      </w:r>
    </w:p>
    <w:p w14:paraId="48562D43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23006">
        <w:t>18.3.1</w:t>
      </w:r>
      <w:r>
        <w:rPr>
          <w:rFonts w:eastAsiaTheme="minorEastAsia"/>
          <w:sz w:val="22"/>
          <w:lang w:eastAsia="en-AU"/>
        </w:rPr>
        <w:tab/>
      </w:r>
      <w:r w:rsidRPr="00423006">
        <w:t>Population profile</w:t>
      </w:r>
      <w:r>
        <w:rPr>
          <w:webHidden/>
        </w:rPr>
        <w:tab/>
        <w:t>18–7</w:t>
      </w:r>
    </w:p>
    <w:p w14:paraId="2D1338C2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23006">
        <w:t>18.3.2</w:t>
      </w:r>
      <w:r>
        <w:rPr>
          <w:rFonts w:eastAsiaTheme="minorEastAsia"/>
          <w:sz w:val="22"/>
          <w:lang w:eastAsia="en-AU"/>
        </w:rPr>
        <w:tab/>
      </w:r>
      <w:r w:rsidRPr="00423006">
        <w:t>Existing health of the population</w:t>
      </w:r>
      <w:r>
        <w:rPr>
          <w:webHidden/>
        </w:rPr>
        <w:tab/>
        <w:t>18–8</w:t>
      </w:r>
    </w:p>
    <w:p w14:paraId="55754703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423006">
        <w:t>18.4</w:t>
      </w:r>
      <w:r>
        <w:rPr>
          <w:rFonts w:eastAsiaTheme="minorEastAsia"/>
          <w:sz w:val="22"/>
          <w:lang w:eastAsia="en-AU"/>
        </w:rPr>
        <w:tab/>
      </w:r>
      <w:r w:rsidRPr="00423006">
        <w:t>Construction impact assessment</w:t>
      </w:r>
      <w:r>
        <w:rPr>
          <w:webHidden/>
        </w:rPr>
        <w:tab/>
        <w:t>18–9</w:t>
      </w:r>
    </w:p>
    <w:p w14:paraId="0F322472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23006">
        <w:t>18.4.1</w:t>
      </w:r>
      <w:r>
        <w:rPr>
          <w:rFonts w:eastAsiaTheme="minorEastAsia"/>
          <w:sz w:val="22"/>
          <w:lang w:eastAsia="en-AU"/>
        </w:rPr>
        <w:tab/>
      </w:r>
      <w:r w:rsidRPr="00423006">
        <w:t>Noise and vibration</w:t>
      </w:r>
      <w:r>
        <w:rPr>
          <w:webHidden/>
        </w:rPr>
        <w:tab/>
        <w:t>18–10</w:t>
      </w:r>
    </w:p>
    <w:p w14:paraId="11ACE18A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23006">
        <w:t>18.4.2</w:t>
      </w:r>
      <w:r>
        <w:rPr>
          <w:rFonts w:eastAsiaTheme="minorEastAsia"/>
          <w:sz w:val="22"/>
          <w:lang w:eastAsia="en-AU"/>
        </w:rPr>
        <w:tab/>
      </w:r>
      <w:r w:rsidRPr="00423006">
        <w:t>Air quality</w:t>
      </w:r>
      <w:r>
        <w:rPr>
          <w:webHidden/>
        </w:rPr>
        <w:tab/>
        <w:t>18–12</w:t>
      </w:r>
    </w:p>
    <w:p w14:paraId="3055207C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23006">
        <w:t>18.4.3</w:t>
      </w:r>
      <w:r>
        <w:rPr>
          <w:rFonts w:eastAsiaTheme="minorEastAsia"/>
          <w:sz w:val="22"/>
          <w:lang w:eastAsia="en-AU"/>
        </w:rPr>
        <w:tab/>
      </w:r>
      <w:r w:rsidRPr="00423006">
        <w:t>Contaminated land</w:t>
      </w:r>
      <w:r>
        <w:rPr>
          <w:webHidden/>
        </w:rPr>
        <w:tab/>
        <w:t>18–13</w:t>
      </w:r>
    </w:p>
    <w:p w14:paraId="4CCBF51C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23006">
        <w:t>18.4.4</w:t>
      </w:r>
      <w:r>
        <w:rPr>
          <w:rFonts w:eastAsiaTheme="minorEastAsia"/>
          <w:sz w:val="22"/>
          <w:lang w:eastAsia="en-AU"/>
        </w:rPr>
        <w:tab/>
      </w:r>
      <w:r w:rsidRPr="00423006">
        <w:t>Social</w:t>
      </w:r>
      <w:r>
        <w:rPr>
          <w:webHidden/>
        </w:rPr>
        <w:tab/>
        <w:t>18–14</w:t>
      </w:r>
    </w:p>
    <w:p w14:paraId="478718A0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423006">
        <w:t>18.5</w:t>
      </w:r>
      <w:r>
        <w:rPr>
          <w:rFonts w:eastAsiaTheme="minorEastAsia"/>
          <w:sz w:val="22"/>
          <w:lang w:eastAsia="en-AU"/>
        </w:rPr>
        <w:tab/>
      </w:r>
      <w:r w:rsidRPr="00423006">
        <w:t>Operation impact assessment</w:t>
      </w:r>
      <w:r>
        <w:rPr>
          <w:webHidden/>
        </w:rPr>
        <w:tab/>
        <w:t>18–18</w:t>
      </w:r>
    </w:p>
    <w:p w14:paraId="24C889B8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23006">
        <w:t>18.5.1</w:t>
      </w:r>
      <w:r>
        <w:rPr>
          <w:rFonts w:eastAsiaTheme="minorEastAsia"/>
          <w:sz w:val="22"/>
          <w:lang w:eastAsia="en-AU"/>
        </w:rPr>
        <w:tab/>
      </w:r>
      <w:r w:rsidRPr="00423006">
        <w:t>Noise and vibration</w:t>
      </w:r>
      <w:r>
        <w:rPr>
          <w:webHidden/>
        </w:rPr>
        <w:tab/>
        <w:t>18–18</w:t>
      </w:r>
    </w:p>
    <w:p w14:paraId="3C581848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23006">
        <w:t>18.5.2</w:t>
      </w:r>
      <w:r>
        <w:rPr>
          <w:rFonts w:eastAsiaTheme="minorEastAsia"/>
          <w:sz w:val="22"/>
          <w:lang w:eastAsia="en-AU"/>
        </w:rPr>
        <w:tab/>
      </w:r>
      <w:r w:rsidRPr="00423006">
        <w:t>Air quality in surrounding communities</w:t>
      </w:r>
      <w:r>
        <w:rPr>
          <w:webHidden/>
        </w:rPr>
        <w:tab/>
        <w:t>18–19</w:t>
      </w:r>
    </w:p>
    <w:p w14:paraId="1AA86417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23006">
        <w:t>18.5.3</w:t>
      </w:r>
      <w:r>
        <w:rPr>
          <w:rFonts w:eastAsiaTheme="minorEastAsia"/>
          <w:sz w:val="22"/>
          <w:lang w:eastAsia="en-AU"/>
        </w:rPr>
        <w:tab/>
      </w:r>
      <w:r w:rsidRPr="00423006">
        <w:t>In-tunnel air quality</w:t>
      </w:r>
      <w:r>
        <w:rPr>
          <w:webHidden/>
        </w:rPr>
        <w:tab/>
        <w:t>18–24</w:t>
      </w:r>
    </w:p>
    <w:p w14:paraId="49148957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423006">
        <w:t>18.5.4</w:t>
      </w:r>
      <w:r>
        <w:rPr>
          <w:rFonts w:eastAsiaTheme="minorEastAsia"/>
          <w:sz w:val="22"/>
          <w:lang w:eastAsia="en-AU"/>
        </w:rPr>
        <w:tab/>
      </w:r>
      <w:r w:rsidRPr="00423006">
        <w:t>Social</w:t>
      </w:r>
      <w:r>
        <w:rPr>
          <w:webHidden/>
        </w:rPr>
        <w:tab/>
        <w:t>18–24</w:t>
      </w:r>
    </w:p>
    <w:p w14:paraId="33E5B748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423006">
        <w:t>18.6</w:t>
      </w:r>
      <w:r>
        <w:rPr>
          <w:rFonts w:eastAsiaTheme="minorEastAsia"/>
          <w:sz w:val="22"/>
          <w:lang w:eastAsia="en-AU"/>
        </w:rPr>
        <w:tab/>
      </w:r>
      <w:r w:rsidRPr="00423006">
        <w:t>Conclusion</w:t>
      </w:r>
      <w:r>
        <w:rPr>
          <w:webHidden/>
        </w:rPr>
        <w:tab/>
        <w:t>18–27</w:t>
      </w:r>
    </w:p>
    <w:p w14:paraId="1E8C6B72" w14:textId="77777777" w:rsidR="002D31F6" w:rsidRDefault="002D31F6" w:rsidP="002D31F6">
      <w:pPr>
        <w:pStyle w:val="TOC1"/>
        <w:spacing w:before="600"/>
        <w:rPr>
          <w:rFonts w:eastAsiaTheme="minorEastAsia"/>
          <w:color w:val="auto"/>
          <w:lang w:eastAsia="en-AU"/>
        </w:rPr>
      </w:pPr>
      <w:r w:rsidRPr="00F06B03">
        <w:t>Chapter 19</w:t>
      </w:r>
      <w:r>
        <w:rPr>
          <w:rFonts w:eastAsiaTheme="minorEastAsia"/>
          <w:color w:val="auto"/>
          <w:lang w:eastAsia="en-AU"/>
        </w:rPr>
        <w:tab/>
      </w:r>
      <w:r w:rsidRPr="00F06B03">
        <w:t>Historical heritage</w:t>
      </w:r>
      <w:r>
        <w:rPr>
          <w:webHidden/>
        </w:rPr>
        <w:tab/>
        <w:t>19–1</w:t>
      </w:r>
    </w:p>
    <w:p w14:paraId="0C02AA71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06B03">
        <w:t>19.1</w:t>
      </w:r>
      <w:r>
        <w:rPr>
          <w:rFonts w:eastAsiaTheme="minorEastAsia"/>
          <w:sz w:val="22"/>
          <w:lang w:eastAsia="en-AU"/>
        </w:rPr>
        <w:tab/>
      </w:r>
      <w:r w:rsidRPr="00F06B03">
        <w:t>Method</w:t>
      </w:r>
      <w:r>
        <w:rPr>
          <w:webHidden/>
        </w:rPr>
        <w:tab/>
        <w:t>19–2</w:t>
      </w:r>
    </w:p>
    <w:p w14:paraId="5D51631A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06B03">
        <w:t>19.2</w:t>
      </w:r>
      <w:r>
        <w:rPr>
          <w:rFonts w:eastAsiaTheme="minorEastAsia"/>
          <w:sz w:val="22"/>
          <w:lang w:eastAsia="en-AU"/>
        </w:rPr>
        <w:tab/>
      </w:r>
      <w:r w:rsidRPr="00F06B03">
        <w:t>Existing conditions</w:t>
      </w:r>
      <w:r>
        <w:rPr>
          <w:webHidden/>
        </w:rPr>
        <w:tab/>
        <w:t>19–3</w:t>
      </w:r>
    </w:p>
    <w:p w14:paraId="1653C32D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06B03">
        <w:t>19.2.1</w:t>
      </w:r>
      <w:r>
        <w:rPr>
          <w:rFonts w:eastAsiaTheme="minorEastAsia"/>
          <w:sz w:val="22"/>
          <w:lang w:eastAsia="en-AU"/>
        </w:rPr>
        <w:tab/>
      </w:r>
      <w:r w:rsidRPr="00F06B03">
        <w:t>Victorian Heritage Register places</w:t>
      </w:r>
      <w:r>
        <w:rPr>
          <w:webHidden/>
        </w:rPr>
        <w:tab/>
        <w:t>19–4</w:t>
      </w:r>
    </w:p>
    <w:p w14:paraId="267349F3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06B03">
        <w:t>19.2.2</w:t>
      </w:r>
      <w:r>
        <w:rPr>
          <w:rFonts w:eastAsiaTheme="minorEastAsia"/>
          <w:sz w:val="22"/>
          <w:lang w:eastAsia="en-AU"/>
        </w:rPr>
        <w:tab/>
      </w:r>
      <w:r w:rsidRPr="00F06B03">
        <w:t>Victorian Heritage Inventory and unidentified historical archaeological places</w:t>
      </w:r>
      <w:r>
        <w:rPr>
          <w:webHidden/>
        </w:rPr>
        <w:tab/>
        <w:t>19–9</w:t>
      </w:r>
    </w:p>
    <w:p w14:paraId="2FE8B663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06B03">
        <w:t>19.2.3</w:t>
      </w:r>
      <w:r>
        <w:rPr>
          <w:rFonts w:eastAsiaTheme="minorEastAsia"/>
          <w:sz w:val="22"/>
          <w:lang w:eastAsia="en-AU"/>
        </w:rPr>
        <w:tab/>
      </w:r>
      <w:r w:rsidRPr="00F06B03">
        <w:t>Heritage overlay places</w:t>
      </w:r>
      <w:r>
        <w:rPr>
          <w:webHidden/>
        </w:rPr>
        <w:tab/>
        <w:t>19–11</w:t>
      </w:r>
    </w:p>
    <w:p w14:paraId="0DA9B5E8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06B03">
        <w:t>19.2.4</w:t>
      </w:r>
      <w:r>
        <w:rPr>
          <w:rFonts w:eastAsiaTheme="minorEastAsia"/>
          <w:sz w:val="22"/>
          <w:lang w:eastAsia="en-AU"/>
        </w:rPr>
        <w:tab/>
      </w:r>
      <w:r w:rsidRPr="00F06B03">
        <w:t>Other relevant overlays</w:t>
      </w:r>
      <w:r>
        <w:rPr>
          <w:webHidden/>
        </w:rPr>
        <w:tab/>
        <w:t>19–18</w:t>
      </w:r>
    </w:p>
    <w:p w14:paraId="42B432C3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06B03">
        <w:t>19.2.5</w:t>
      </w:r>
      <w:r>
        <w:rPr>
          <w:rFonts w:eastAsiaTheme="minorEastAsia"/>
          <w:sz w:val="22"/>
          <w:lang w:eastAsia="en-AU"/>
        </w:rPr>
        <w:tab/>
      </w:r>
      <w:r w:rsidRPr="00F06B03">
        <w:t>Potential heritage places</w:t>
      </w:r>
      <w:r>
        <w:rPr>
          <w:webHidden/>
        </w:rPr>
        <w:tab/>
        <w:t>19–20</w:t>
      </w:r>
    </w:p>
    <w:p w14:paraId="160C467F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06B03">
        <w:t>19.2.6</w:t>
      </w:r>
      <w:r>
        <w:rPr>
          <w:rFonts w:eastAsiaTheme="minorEastAsia"/>
          <w:sz w:val="22"/>
          <w:lang w:eastAsia="en-AU"/>
        </w:rPr>
        <w:tab/>
      </w:r>
      <w:r w:rsidRPr="00F06B03">
        <w:t>Yarra River and environs</w:t>
      </w:r>
      <w:r>
        <w:rPr>
          <w:webHidden/>
        </w:rPr>
        <w:tab/>
        <w:t>19–25</w:t>
      </w:r>
    </w:p>
    <w:p w14:paraId="6FF93FF0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06B03">
        <w:t>19.3</w:t>
      </w:r>
      <w:r>
        <w:rPr>
          <w:rFonts w:eastAsiaTheme="minorEastAsia"/>
          <w:sz w:val="22"/>
          <w:lang w:eastAsia="en-AU"/>
        </w:rPr>
        <w:tab/>
      </w:r>
      <w:r w:rsidRPr="00F06B03">
        <w:t>Construction impact assessment</w:t>
      </w:r>
      <w:r>
        <w:rPr>
          <w:webHidden/>
        </w:rPr>
        <w:tab/>
        <w:t>19–26</w:t>
      </w:r>
    </w:p>
    <w:p w14:paraId="4816D72B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06B03">
        <w:t>19.3.1</w:t>
      </w:r>
      <w:r>
        <w:rPr>
          <w:rFonts w:eastAsiaTheme="minorEastAsia"/>
          <w:sz w:val="22"/>
          <w:lang w:eastAsia="en-AU"/>
        </w:rPr>
        <w:tab/>
      </w:r>
      <w:r w:rsidRPr="00F06B03">
        <w:t>Victorian Heritage Register places</w:t>
      </w:r>
      <w:r>
        <w:rPr>
          <w:webHidden/>
        </w:rPr>
        <w:tab/>
        <w:t>19–27</w:t>
      </w:r>
    </w:p>
    <w:p w14:paraId="2F496590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06B03">
        <w:t>19.3.2</w:t>
      </w:r>
      <w:r>
        <w:rPr>
          <w:rFonts w:eastAsiaTheme="minorEastAsia"/>
          <w:sz w:val="22"/>
          <w:lang w:eastAsia="en-AU"/>
        </w:rPr>
        <w:tab/>
      </w:r>
      <w:r w:rsidRPr="00F06B03">
        <w:t>Victorian Heritage Inventory places and other unidentified historical archaeological sites</w:t>
      </w:r>
      <w:r>
        <w:rPr>
          <w:webHidden/>
        </w:rPr>
        <w:tab/>
        <w:t>19–30</w:t>
      </w:r>
    </w:p>
    <w:p w14:paraId="2DCA1018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06B03">
        <w:t>19.3.3</w:t>
      </w:r>
      <w:r>
        <w:rPr>
          <w:rFonts w:eastAsiaTheme="minorEastAsia"/>
          <w:sz w:val="22"/>
          <w:lang w:eastAsia="en-AU"/>
        </w:rPr>
        <w:tab/>
      </w:r>
      <w:r w:rsidRPr="00F06B03">
        <w:t>Heritage overlay places</w:t>
      </w:r>
      <w:r>
        <w:rPr>
          <w:webHidden/>
        </w:rPr>
        <w:tab/>
        <w:t>19–32</w:t>
      </w:r>
    </w:p>
    <w:p w14:paraId="3BD826D6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06B03">
        <w:t>19.3.4</w:t>
      </w:r>
      <w:r>
        <w:rPr>
          <w:rFonts w:eastAsiaTheme="minorEastAsia"/>
          <w:sz w:val="22"/>
          <w:lang w:eastAsia="en-AU"/>
        </w:rPr>
        <w:tab/>
      </w:r>
      <w:r w:rsidRPr="00F06B03">
        <w:t>Potential heritage places</w:t>
      </w:r>
      <w:r>
        <w:rPr>
          <w:webHidden/>
        </w:rPr>
        <w:tab/>
        <w:t>19–37</w:t>
      </w:r>
    </w:p>
    <w:p w14:paraId="6E56A978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06B03">
        <w:t>19.4</w:t>
      </w:r>
      <w:r>
        <w:rPr>
          <w:rFonts w:eastAsiaTheme="minorEastAsia"/>
          <w:sz w:val="22"/>
          <w:lang w:eastAsia="en-AU"/>
        </w:rPr>
        <w:tab/>
      </w:r>
      <w:r w:rsidRPr="00F06B03">
        <w:t>Operation impact assessment</w:t>
      </w:r>
      <w:r>
        <w:rPr>
          <w:webHidden/>
        </w:rPr>
        <w:tab/>
        <w:t>19–43</w:t>
      </w:r>
    </w:p>
    <w:p w14:paraId="0DB0569C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06B03">
        <w:t>19.5</w:t>
      </w:r>
      <w:r>
        <w:rPr>
          <w:rFonts w:eastAsiaTheme="minorEastAsia"/>
          <w:sz w:val="22"/>
          <w:lang w:eastAsia="en-AU"/>
        </w:rPr>
        <w:tab/>
      </w:r>
      <w:r w:rsidRPr="00F06B03">
        <w:t>Conclusion</w:t>
      </w:r>
      <w:r>
        <w:rPr>
          <w:webHidden/>
        </w:rPr>
        <w:tab/>
        <w:t>19–45</w:t>
      </w:r>
    </w:p>
    <w:p w14:paraId="2C4ADCA6" w14:textId="77777777" w:rsidR="002D31F6" w:rsidRDefault="002D31F6" w:rsidP="002D31F6">
      <w:pPr>
        <w:pStyle w:val="TOC1"/>
        <w:rPr>
          <w:rFonts w:eastAsiaTheme="minorEastAsia"/>
          <w:color w:val="auto"/>
          <w:lang w:eastAsia="en-AU"/>
        </w:rPr>
      </w:pPr>
      <w:r w:rsidRPr="00FD1353">
        <w:lastRenderedPageBreak/>
        <w:t>Chapter 20</w:t>
      </w:r>
      <w:r>
        <w:rPr>
          <w:rFonts w:eastAsiaTheme="minorEastAsia"/>
          <w:color w:val="auto"/>
          <w:lang w:eastAsia="en-AU"/>
        </w:rPr>
        <w:tab/>
      </w:r>
      <w:r w:rsidRPr="00FD1353">
        <w:t>Aboriginal cultural heritage</w:t>
      </w:r>
      <w:r>
        <w:rPr>
          <w:webHidden/>
        </w:rPr>
        <w:tab/>
        <w:t>20–1</w:t>
      </w:r>
    </w:p>
    <w:p w14:paraId="4EFF9C7A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D1353">
        <w:t>20.1</w:t>
      </w:r>
      <w:r>
        <w:rPr>
          <w:rFonts w:eastAsiaTheme="minorEastAsia"/>
          <w:sz w:val="22"/>
          <w:lang w:eastAsia="en-AU"/>
        </w:rPr>
        <w:tab/>
      </w:r>
      <w:r w:rsidRPr="00FD1353">
        <w:t>Method</w:t>
      </w:r>
      <w:r>
        <w:rPr>
          <w:webHidden/>
        </w:rPr>
        <w:tab/>
        <w:t>20–2</w:t>
      </w:r>
    </w:p>
    <w:p w14:paraId="3F22DBCC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D1353">
        <w:t>20.2</w:t>
      </w:r>
      <w:r>
        <w:rPr>
          <w:rFonts w:eastAsiaTheme="minorEastAsia"/>
          <w:sz w:val="22"/>
          <w:lang w:eastAsia="en-AU"/>
        </w:rPr>
        <w:tab/>
      </w:r>
      <w:r w:rsidRPr="00FD1353">
        <w:t>Existing conditions</w:t>
      </w:r>
      <w:r>
        <w:rPr>
          <w:webHidden/>
        </w:rPr>
        <w:tab/>
        <w:t>20–4</w:t>
      </w:r>
    </w:p>
    <w:p w14:paraId="3756F508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D1353">
        <w:t>20.2.1</w:t>
      </w:r>
      <w:r>
        <w:rPr>
          <w:rFonts w:eastAsiaTheme="minorEastAsia"/>
          <w:sz w:val="22"/>
          <w:lang w:eastAsia="en-AU"/>
        </w:rPr>
        <w:tab/>
      </w:r>
      <w:r w:rsidRPr="00FD1353">
        <w:t>Landforms and geomorphology</w:t>
      </w:r>
      <w:r>
        <w:rPr>
          <w:webHidden/>
        </w:rPr>
        <w:tab/>
        <w:t>20–4</w:t>
      </w:r>
    </w:p>
    <w:p w14:paraId="1E02F82B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D1353">
        <w:t>20.2.2</w:t>
      </w:r>
      <w:r>
        <w:rPr>
          <w:rFonts w:eastAsiaTheme="minorEastAsia"/>
          <w:sz w:val="22"/>
          <w:lang w:eastAsia="en-AU"/>
        </w:rPr>
        <w:tab/>
      </w:r>
      <w:r w:rsidRPr="00FD1353">
        <w:t>Historical and ethno-historical accounts of Aboriginal occupation in the region</w:t>
      </w:r>
      <w:r>
        <w:rPr>
          <w:webHidden/>
        </w:rPr>
        <w:tab/>
        <w:t>20–5</w:t>
      </w:r>
    </w:p>
    <w:p w14:paraId="72F74F4D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D1353">
        <w:t>20.2.3</w:t>
      </w:r>
      <w:r>
        <w:rPr>
          <w:rFonts w:eastAsiaTheme="minorEastAsia"/>
          <w:sz w:val="22"/>
          <w:lang w:eastAsia="en-AU"/>
        </w:rPr>
        <w:tab/>
      </w:r>
      <w:r w:rsidRPr="00FD1353">
        <w:t>Land use history</w:t>
      </w:r>
      <w:r>
        <w:rPr>
          <w:webHidden/>
        </w:rPr>
        <w:tab/>
        <w:t>20–7</w:t>
      </w:r>
    </w:p>
    <w:p w14:paraId="14AA3A55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D1353">
        <w:t>20.2.4</w:t>
      </w:r>
      <w:r>
        <w:rPr>
          <w:rFonts w:eastAsiaTheme="minorEastAsia"/>
          <w:sz w:val="22"/>
          <w:lang w:eastAsia="en-AU"/>
        </w:rPr>
        <w:tab/>
      </w:r>
      <w:r w:rsidRPr="00FD1353">
        <w:t>Registered Aboriginal cultural heritage places and objects</w:t>
      </w:r>
      <w:r>
        <w:rPr>
          <w:webHidden/>
        </w:rPr>
        <w:tab/>
        <w:t>20–9</w:t>
      </w:r>
    </w:p>
    <w:p w14:paraId="618C7E02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D1353">
        <w:t>20.2.5</w:t>
      </w:r>
      <w:r>
        <w:rPr>
          <w:rFonts w:eastAsiaTheme="minorEastAsia"/>
          <w:sz w:val="22"/>
          <w:lang w:eastAsia="en-AU"/>
        </w:rPr>
        <w:tab/>
      </w:r>
      <w:r w:rsidRPr="00FD1353">
        <w:t>Unregistered places and objects of Aboriginal cultural heritage</w:t>
      </w:r>
      <w:r>
        <w:rPr>
          <w:webHidden/>
        </w:rPr>
        <w:tab/>
        <w:t>20–12</w:t>
      </w:r>
    </w:p>
    <w:p w14:paraId="65CAF63B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D1353">
        <w:t>20.2.6</w:t>
      </w:r>
      <w:r>
        <w:rPr>
          <w:rFonts w:eastAsiaTheme="minorEastAsia"/>
          <w:sz w:val="22"/>
          <w:lang w:eastAsia="en-AU"/>
        </w:rPr>
        <w:tab/>
      </w:r>
      <w:r w:rsidRPr="00FD1353">
        <w:t>Areas of cultural heritage sensitivity</w:t>
      </w:r>
      <w:r>
        <w:rPr>
          <w:webHidden/>
        </w:rPr>
        <w:tab/>
        <w:t>20–13</w:t>
      </w:r>
    </w:p>
    <w:p w14:paraId="365517AA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D1353">
        <w:t>20.3</w:t>
      </w:r>
      <w:r>
        <w:rPr>
          <w:rFonts w:eastAsiaTheme="minorEastAsia"/>
          <w:sz w:val="22"/>
          <w:lang w:eastAsia="en-AU"/>
        </w:rPr>
        <w:tab/>
      </w:r>
      <w:r w:rsidRPr="00FD1353">
        <w:t>Construction impact assessment</w:t>
      </w:r>
      <w:r>
        <w:rPr>
          <w:webHidden/>
        </w:rPr>
        <w:tab/>
        <w:t>20–14</w:t>
      </w:r>
    </w:p>
    <w:p w14:paraId="7979B39D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D1353">
        <w:t>20.4</w:t>
      </w:r>
      <w:r>
        <w:rPr>
          <w:rFonts w:eastAsiaTheme="minorEastAsia"/>
          <w:sz w:val="22"/>
          <w:lang w:eastAsia="en-AU"/>
        </w:rPr>
        <w:tab/>
      </w:r>
      <w:r w:rsidRPr="00FD1353">
        <w:t>Operation impact assessment</w:t>
      </w:r>
      <w:r>
        <w:rPr>
          <w:webHidden/>
        </w:rPr>
        <w:tab/>
        <w:t>20–19</w:t>
      </w:r>
    </w:p>
    <w:p w14:paraId="4CEC8C97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D1353">
        <w:t>20.5</w:t>
      </w:r>
      <w:r>
        <w:rPr>
          <w:rFonts w:eastAsiaTheme="minorEastAsia"/>
          <w:sz w:val="22"/>
          <w:lang w:eastAsia="en-AU"/>
        </w:rPr>
        <w:tab/>
      </w:r>
      <w:r w:rsidRPr="00FD1353">
        <w:t>Environmental Performance Requirements</w:t>
      </w:r>
      <w:r>
        <w:rPr>
          <w:webHidden/>
        </w:rPr>
        <w:tab/>
        <w:t>20–20</w:t>
      </w:r>
    </w:p>
    <w:p w14:paraId="29DA4EC1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D1353">
        <w:t>20.6</w:t>
      </w:r>
      <w:r>
        <w:rPr>
          <w:rFonts w:eastAsiaTheme="minorEastAsia"/>
          <w:sz w:val="22"/>
          <w:lang w:eastAsia="en-AU"/>
        </w:rPr>
        <w:tab/>
      </w:r>
      <w:r w:rsidRPr="00FD1353">
        <w:t>Conclusion</w:t>
      </w:r>
      <w:r>
        <w:rPr>
          <w:webHidden/>
        </w:rPr>
        <w:tab/>
        <w:t>20–21</w:t>
      </w:r>
    </w:p>
    <w:p w14:paraId="630464F0" w14:textId="77777777" w:rsidR="002D31F6" w:rsidRDefault="002D31F6" w:rsidP="002D31F6">
      <w:pPr>
        <w:pStyle w:val="TOC1"/>
        <w:rPr>
          <w:rFonts w:eastAsiaTheme="minorEastAsia"/>
          <w:color w:val="auto"/>
          <w:lang w:eastAsia="en-AU"/>
        </w:rPr>
      </w:pPr>
      <w:r w:rsidRPr="00BE0089">
        <w:t>Chapter 21</w:t>
      </w:r>
      <w:r>
        <w:rPr>
          <w:rFonts w:eastAsiaTheme="minorEastAsia"/>
          <w:color w:val="auto"/>
          <w:lang w:eastAsia="en-AU"/>
        </w:rPr>
        <w:tab/>
      </w:r>
      <w:r w:rsidRPr="00BE0089">
        <w:t>Ground movement</w:t>
      </w:r>
      <w:r>
        <w:rPr>
          <w:webHidden/>
        </w:rPr>
        <w:tab/>
        <w:t>21–1</w:t>
      </w:r>
    </w:p>
    <w:p w14:paraId="3AA148EB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BE0089">
        <w:t>21.1</w:t>
      </w:r>
      <w:r>
        <w:rPr>
          <w:rFonts w:eastAsiaTheme="minorEastAsia"/>
          <w:sz w:val="22"/>
          <w:lang w:eastAsia="en-AU"/>
        </w:rPr>
        <w:tab/>
      </w:r>
      <w:r w:rsidRPr="00BE0089">
        <w:t>Method</w:t>
      </w:r>
      <w:r>
        <w:rPr>
          <w:webHidden/>
        </w:rPr>
        <w:tab/>
        <w:t>21–1</w:t>
      </w:r>
    </w:p>
    <w:p w14:paraId="58773144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BE0089">
        <w:t>21.2</w:t>
      </w:r>
      <w:r>
        <w:rPr>
          <w:rFonts w:eastAsiaTheme="minorEastAsia"/>
          <w:sz w:val="22"/>
          <w:lang w:eastAsia="en-AU"/>
        </w:rPr>
        <w:tab/>
      </w:r>
      <w:r w:rsidRPr="00BE0089">
        <w:t>Existing conditions</w:t>
      </w:r>
      <w:r>
        <w:rPr>
          <w:webHidden/>
        </w:rPr>
        <w:tab/>
        <w:t>21–3</w:t>
      </w:r>
    </w:p>
    <w:p w14:paraId="6FA9EBFF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BE0089">
        <w:t>21.2.1</w:t>
      </w:r>
      <w:r>
        <w:rPr>
          <w:rFonts w:eastAsiaTheme="minorEastAsia"/>
          <w:sz w:val="22"/>
          <w:lang w:eastAsia="en-AU"/>
        </w:rPr>
        <w:tab/>
      </w:r>
      <w:r w:rsidRPr="00BE0089">
        <w:t>Regional setting</w:t>
      </w:r>
      <w:r>
        <w:rPr>
          <w:webHidden/>
        </w:rPr>
        <w:tab/>
        <w:t>21–3</w:t>
      </w:r>
    </w:p>
    <w:p w14:paraId="64CF7DDC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BE0089">
        <w:t>21.2.2</w:t>
      </w:r>
      <w:r>
        <w:rPr>
          <w:rFonts w:eastAsiaTheme="minorEastAsia"/>
          <w:sz w:val="22"/>
          <w:lang w:eastAsia="en-AU"/>
        </w:rPr>
        <w:tab/>
      </w:r>
      <w:r w:rsidRPr="00BE0089">
        <w:t>M80 Ring Road to the northern portal</w:t>
      </w:r>
      <w:r>
        <w:rPr>
          <w:webHidden/>
        </w:rPr>
        <w:tab/>
        <w:t>21–6</w:t>
      </w:r>
    </w:p>
    <w:p w14:paraId="071C543E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BE0089">
        <w:t>21.2.3</w:t>
      </w:r>
      <w:r>
        <w:rPr>
          <w:rFonts w:eastAsiaTheme="minorEastAsia"/>
          <w:sz w:val="22"/>
          <w:lang w:eastAsia="en-AU"/>
        </w:rPr>
        <w:tab/>
      </w:r>
      <w:r w:rsidRPr="00BE0089">
        <w:t>Northern portal to southern portal</w:t>
      </w:r>
      <w:r>
        <w:rPr>
          <w:webHidden/>
        </w:rPr>
        <w:tab/>
        <w:t>21–6</w:t>
      </w:r>
    </w:p>
    <w:p w14:paraId="64D8708A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BE0089">
        <w:t>21.2.4</w:t>
      </w:r>
      <w:r>
        <w:rPr>
          <w:rFonts w:eastAsiaTheme="minorEastAsia"/>
          <w:sz w:val="22"/>
          <w:lang w:eastAsia="en-AU"/>
        </w:rPr>
        <w:tab/>
      </w:r>
      <w:r w:rsidRPr="00BE0089">
        <w:t>Eastern Freeway</w:t>
      </w:r>
      <w:r>
        <w:rPr>
          <w:webHidden/>
        </w:rPr>
        <w:tab/>
        <w:t>21–9</w:t>
      </w:r>
    </w:p>
    <w:p w14:paraId="5E6249CE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BE0089">
        <w:t>21.3</w:t>
      </w:r>
      <w:r>
        <w:rPr>
          <w:rFonts w:eastAsiaTheme="minorEastAsia"/>
          <w:sz w:val="22"/>
          <w:lang w:eastAsia="en-AU"/>
        </w:rPr>
        <w:tab/>
      </w:r>
      <w:r w:rsidRPr="00BE0089">
        <w:t>Construction impact assessment</w:t>
      </w:r>
      <w:r>
        <w:rPr>
          <w:webHidden/>
        </w:rPr>
        <w:tab/>
        <w:t>21–10</w:t>
      </w:r>
    </w:p>
    <w:p w14:paraId="7BB63E5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BE0089">
        <w:t>21.3.1</w:t>
      </w:r>
      <w:r>
        <w:rPr>
          <w:rFonts w:eastAsiaTheme="minorEastAsia"/>
          <w:sz w:val="22"/>
          <w:lang w:eastAsia="en-AU"/>
        </w:rPr>
        <w:tab/>
      </w:r>
      <w:r w:rsidRPr="00BE0089">
        <w:t>Community facilities</w:t>
      </w:r>
      <w:r>
        <w:rPr>
          <w:webHidden/>
        </w:rPr>
        <w:tab/>
        <w:t>21–11</w:t>
      </w:r>
    </w:p>
    <w:p w14:paraId="1982C65C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BE0089">
        <w:t>21.3.2</w:t>
      </w:r>
      <w:r>
        <w:rPr>
          <w:rFonts w:eastAsiaTheme="minorEastAsia"/>
          <w:sz w:val="22"/>
          <w:lang w:eastAsia="en-AU"/>
        </w:rPr>
        <w:tab/>
      </w:r>
      <w:r w:rsidRPr="00BE0089">
        <w:t>Utilities</w:t>
      </w:r>
      <w:r>
        <w:rPr>
          <w:webHidden/>
        </w:rPr>
        <w:tab/>
        <w:t>21–12</w:t>
      </w:r>
    </w:p>
    <w:p w14:paraId="49006BCC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BE0089">
        <w:t>21.3.3</w:t>
      </w:r>
      <w:r>
        <w:rPr>
          <w:rFonts w:eastAsiaTheme="minorEastAsia"/>
          <w:sz w:val="22"/>
          <w:lang w:eastAsia="en-AU"/>
        </w:rPr>
        <w:tab/>
      </w:r>
      <w:r w:rsidRPr="00BE0089">
        <w:t>Environmental features and landscapes</w:t>
      </w:r>
      <w:r>
        <w:rPr>
          <w:webHidden/>
        </w:rPr>
        <w:tab/>
        <w:t>21–16</w:t>
      </w:r>
    </w:p>
    <w:p w14:paraId="303449AD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BE0089">
        <w:t>21.3.4</w:t>
      </w:r>
      <w:r>
        <w:rPr>
          <w:rFonts w:eastAsiaTheme="minorEastAsia"/>
          <w:sz w:val="22"/>
          <w:lang w:eastAsia="en-AU"/>
        </w:rPr>
        <w:tab/>
      </w:r>
      <w:r w:rsidRPr="00BE0089">
        <w:t>Residential</w:t>
      </w:r>
      <w:r>
        <w:rPr>
          <w:webHidden/>
        </w:rPr>
        <w:tab/>
        <w:t>21–17</w:t>
      </w:r>
    </w:p>
    <w:p w14:paraId="60FB4025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BE0089">
        <w:t>21.3.5</w:t>
      </w:r>
      <w:r>
        <w:rPr>
          <w:rFonts w:eastAsiaTheme="minorEastAsia"/>
          <w:sz w:val="22"/>
          <w:lang w:eastAsia="en-AU"/>
        </w:rPr>
        <w:tab/>
      </w:r>
      <w:r w:rsidRPr="00BE0089">
        <w:t>Heritage places</w:t>
      </w:r>
      <w:r>
        <w:rPr>
          <w:webHidden/>
        </w:rPr>
        <w:tab/>
        <w:t>21–20</w:t>
      </w:r>
    </w:p>
    <w:p w14:paraId="21D8C487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BE0089">
        <w:t>21.3.6</w:t>
      </w:r>
      <w:r>
        <w:rPr>
          <w:rFonts w:eastAsiaTheme="minorEastAsia"/>
          <w:sz w:val="22"/>
          <w:lang w:eastAsia="en-AU"/>
        </w:rPr>
        <w:tab/>
      </w:r>
      <w:r w:rsidRPr="00BE0089">
        <w:t>Other built structures</w:t>
      </w:r>
      <w:r>
        <w:rPr>
          <w:webHidden/>
        </w:rPr>
        <w:tab/>
        <w:t>21–22</w:t>
      </w:r>
    </w:p>
    <w:p w14:paraId="13F836E7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BE0089">
        <w:t>21.4</w:t>
      </w:r>
      <w:r>
        <w:rPr>
          <w:rFonts w:eastAsiaTheme="minorEastAsia"/>
          <w:sz w:val="22"/>
          <w:lang w:eastAsia="en-AU"/>
        </w:rPr>
        <w:tab/>
      </w:r>
      <w:r w:rsidRPr="00BE0089">
        <w:t>Operation impact assessment</w:t>
      </w:r>
      <w:r>
        <w:rPr>
          <w:webHidden/>
        </w:rPr>
        <w:tab/>
        <w:t>21–24</w:t>
      </w:r>
    </w:p>
    <w:p w14:paraId="345EF6D0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BE0089">
        <w:t>21.5</w:t>
      </w:r>
      <w:r>
        <w:rPr>
          <w:rFonts w:eastAsiaTheme="minorEastAsia"/>
          <w:sz w:val="22"/>
          <w:lang w:eastAsia="en-AU"/>
        </w:rPr>
        <w:tab/>
      </w:r>
      <w:r w:rsidRPr="00BE0089">
        <w:t>Environmental performance requirements</w:t>
      </w:r>
      <w:r>
        <w:rPr>
          <w:webHidden/>
        </w:rPr>
        <w:tab/>
        <w:t>21–25</w:t>
      </w:r>
    </w:p>
    <w:p w14:paraId="3A2F5A90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BE0089">
        <w:t>21.6</w:t>
      </w:r>
      <w:r>
        <w:rPr>
          <w:rFonts w:eastAsiaTheme="minorEastAsia"/>
          <w:sz w:val="22"/>
          <w:lang w:eastAsia="en-AU"/>
        </w:rPr>
        <w:tab/>
      </w:r>
      <w:r w:rsidRPr="00BE0089">
        <w:t>Conclusion</w:t>
      </w:r>
      <w:r>
        <w:rPr>
          <w:webHidden/>
        </w:rPr>
        <w:tab/>
        <w:t>21–26</w:t>
      </w:r>
    </w:p>
    <w:p w14:paraId="1FB77735" w14:textId="77777777" w:rsidR="002D31F6" w:rsidRDefault="002D31F6" w:rsidP="002D31F6">
      <w:pPr>
        <w:pStyle w:val="TOC1"/>
        <w:pageBreakBefore/>
        <w:rPr>
          <w:rFonts w:eastAsiaTheme="minorEastAsia"/>
          <w:color w:val="auto"/>
          <w:lang w:eastAsia="en-AU"/>
        </w:rPr>
      </w:pPr>
      <w:r w:rsidRPr="00F10F4D">
        <w:lastRenderedPageBreak/>
        <w:t>Chapter 22</w:t>
      </w:r>
      <w:r>
        <w:rPr>
          <w:rFonts w:eastAsiaTheme="minorEastAsia"/>
          <w:color w:val="auto"/>
          <w:lang w:eastAsia="en-AU"/>
        </w:rPr>
        <w:tab/>
      </w:r>
      <w:r w:rsidRPr="00F10F4D">
        <w:t>Groundwater</w:t>
      </w:r>
      <w:r>
        <w:rPr>
          <w:webHidden/>
        </w:rPr>
        <w:tab/>
        <w:t>22–1</w:t>
      </w:r>
    </w:p>
    <w:p w14:paraId="5C64E2BA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10F4D">
        <w:t>22.1</w:t>
      </w:r>
      <w:r>
        <w:rPr>
          <w:rFonts w:eastAsiaTheme="minorEastAsia"/>
          <w:sz w:val="22"/>
          <w:lang w:eastAsia="en-AU"/>
        </w:rPr>
        <w:tab/>
      </w:r>
      <w:r w:rsidRPr="00F10F4D">
        <w:t>Method</w:t>
      </w:r>
      <w:r>
        <w:rPr>
          <w:webHidden/>
        </w:rPr>
        <w:tab/>
        <w:t>22–2</w:t>
      </w:r>
    </w:p>
    <w:p w14:paraId="255AD56F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10F4D">
        <w:t>22.2</w:t>
      </w:r>
      <w:r>
        <w:rPr>
          <w:rFonts w:eastAsiaTheme="minorEastAsia"/>
          <w:sz w:val="22"/>
          <w:lang w:eastAsia="en-AU"/>
        </w:rPr>
        <w:tab/>
      </w:r>
      <w:r w:rsidRPr="00F10F4D">
        <w:t>Existing conditions</w:t>
      </w:r>
      <w:r>
        <w:rPr>
          <w:webHidden/>
        </w:rPr>
        <w:tab/>
        <w:t>22–3</w:t>
      </w:r>
    </w:p>
    <w:p w14:paraId="28BAD154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10F4D">
        <w:t>22.2.1</w:t>
      </w:r>
      <w:r>
        <w:rPr>
          <w:rFonts w:eastAsiaTheme="minorEastAsia"/>
          <w:sz w:val="22"/>
          <w:lang w:eastAsia="en-AU"/>
        </w:rPr>
        <w:tab/>
      </w:r>
      <w:r w:rsidRPr="00F10F4D">
        <w:t>Geological setting</w:t>
      </w:r>
      <w:r>
        <w:rPr>
          <w:webHidden/>
        </w:rPr>
        <w:tab/>
        <w:t>22–3</w:t>
      </w:r>
    </w:p>
    <w:p w14:paraId="21FD3A5E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10F4D">
        <w:t>22.2.2</w:t>
      </w:r>
      <w:r>
        <w:rPr>
          <w:rFonts w:eastAsiaTheme="minorEastAsia"/>
          <w:sz w:val="22"/>
          <w:lang w:eastAsia="en-AU"/>
        </w:rPr>
        <w:tab/>
      </w:r>
      <w:r w:rsidRPr="00F10F4D">
        <w:t>Groundwater quality</w:t>
      </w:r>
      <w:r>
        <w:rPr>
          <w:webHidden/>
        </w:rPr>
        <w:tab/>
        <w:t>22–6</w:t>
      </w:r>
    </w:p>
    <w:p w14:paraId="0AB4DA21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10F4D">
        <w:t>22.2.3</w:t>
      </w:r>
      <w:r>
        <w:rPr>
          <w:rFonts w:eastAsiaTheme="minorEastAsia"/>
          <w:sz w:val="22"/>
          <w:lang w:eastAsia="en-AU"/>
        </w:rPr>
        <w:tab/>
      </w:r>
      <w:r w:rsidRPr="00F10F4D">
        <w:t>Groundwater levels</w:t>
      </w:r>
      <w:r>
        <w:rPr>
          <w:webHidden/>
        </w:rPr>
        <w:tab/>
        <w:t>22–9</w:t>
      </w:r>
    </w:p>
    <w:p w14:paraId="5720DD62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10F4D">
        <w:t>22.2.4</w:t>
      </w:r>
      <w:r>
        <w:rPr>
          <w:rFonts w:eastAsiaTheme="minorEastAsia"/>
          <w:sz w:val="22"/>
          <w:lang w:eastAsia="en-AU"/>
        </w:rPr>
        <w:tab/>
      </w:r>
      <w:r w:rsidRPr="00F10F4D">
        <w:t>Groundwater availability</w:t>
      </w:r>
      <w:r>
        <w:rPr>
          <w:webHidden/>
        </w:rPr>
        <w:tab/>
        <w:t>22–13</w:t>
      </w:r>
    </w:p>
    <w:p w14:paraId="22D9D7B0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10F4D">
        <w:t>22.3</w:t>
      </w:r>
      <w:r>
        <w:rPr>
          <w:rFonts w:eastAsiaTheme="minorEastAsia"/>
          <w:sz w:val="22"/>
          <w:lang w:eastAsia="en-AU"/>
        </w:rPr>
        <w:tab/>
      </w:r>
      <w:r w:rsidRPr="00F10F4D">
        <w:t>Construction impact assessment</w:t>
      </w:r>
      <w:r>
        <w:rPr>
          <w:webHidden/>
        </w:rPr>
        <w:tab/>
        <w:t>22–17</w:t>
      </w:r>
    </w:p>
    <w:p w14:paraId="1A3441AC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10F4D">
        <w:t>22.3.1</w:t>
      </w:r>
      <w:r>
        <w:rPr>
          <w:rFonts w:eastAsiaTheme="minorEastAsia"/>
          <w:sz w:val="22"/>
          <w:lang w:eastAsia="en-AU"/>
        </w:rPr>
        <w:tab/>
      </w:r>
      <w:r w:rsidRPr="00F10F4D">
        <w:t>Predicted changes to groundwater during construction</w:t>
      </w:r>
      <w:r>
        <w:rPr>
          <w:webHidden/>
        </w:rPr>
        <w:tab/>
        <w:t>22–17</w:t>
      </w:r>
    </w:p>
    <w:p w14:paraId="61C828F1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10F4D">
        <w:t>22.3.2</w:t>
      </w:r>
      <w:r>
        <w:rPr>
          <w:rFonts w:eastAsiaTheme="minorEastAsia"/>
          <w:sz w:val="22"/>
          <w:lang w:eastAsia="en-AU"/>
        </w:rPr>
        <w:tab/>
      </w:r>
      <w:r w:rsidRPr="00F10F4D">
        <w:t>Groundwater availability</w:t>
      </w:r>
      <w:r>
        <w:rPr>
          <w:webHidden/>
        </w:rPr>
        <w:tab/>
        <w:t>22–20</w:t>
      </w:r>
    </w:p>
    <w:p w14:paraId="56D78E00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10F4D">
        <w:t>22.3.3</w:t>
      </w:r>
      <w:r>
        <w:rPr>
          <w:rFonts w:eastAsiaTheme="minorEastAsia"/>
          <w:sz w:val="22"/>
          <w:lang w:eastAsia="en-AU"/>
        </w:rPr>
        <w:tab/>
      </w:r>
      <w:r w:rsidRPr="00F10F4D">
        <w:t>Changes to groundwater quality</w:t>
      </w:r>
      <w:r>
        <w:rPr>
          <w:webHidden/>
        </w:rPr>
        <w:tab/>
        <w:t>22–21</w:t>
      </w:r>
    </w:p>
    <w:p w14:paraId="266F77C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10F4D">
        <w:t>22.3.4</w:t>
      </w:r>
      <w:r>
        <w:rPr>
          <w:rFonts w:eastAsiaTheme="minorEastAsia"/>
          <w:sz w:val="22"/>
          <w:lang w:eastAsia="en-AU"/>
        </w:rPr>
        <w:tab/>
      </w:r>
      <w:r w:rsidRPr="00F10F4D">
        <w:t>Disposal of groundwater</w:t>
      </w:r>
      <w:r>
        <w:rPr>
          <w:webHidden/>
        </w:rPr>
        <w:tab/>
        <w:t>22–25</w:t>
      </w:r>
    </w:p>
    <w:p w14:paraId="1D530F12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10F4D">
        <w:t>22.4</w:t>
      </w:r>
      <w:r>
        <w:rPr>
          <w:rFonts w:eastAsiaTheme="minorEastAsia"/>
          <w:sz w:val="22"/>
          <w:lang w:eastAsia="en-AU"/>
        </w:rPr>
        <w:tab/>
      </w:r>
      <w:r w:rsidRPr="00F10F4D">
        <w:t>Operation impact assessment</w:t>
      </w:r>
      <w:r>
        <w:rPr>
          <w:webHidden/>
        </w:rPr>
        <w:tab/>
        <w:t>22–27</w:t>
      </w:r>
    </w:p>
    <w:p w14:paraId="1675F018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10F4D">
        <w:t>22.4.1</w:t>
      </w:r>
      <w:r>
        <w:rPr>
          <w:rFonts w:eastAsiaTheme="minorEastAsia"/>
          <w:sz w:val="22"/>
          <w:lang w:eastAsia="en-AU"/>
        </w:rPr>
        <w:tab/>
      </w:r>
      <w:r w:rsidRPr="00F10F4D">
        <w:t>Predicted changes to groundwater during operation</w:t>
      </w:r>
      <w:r>
        <w:rPr>
          <w:webHidden/>
        </w:rPr>
        <w:tab/>
        <w:t>22–27</w:t>
      </w:r>
    </w:p>
    <w:p w14:paraId="4588984B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10F4D">
        <w:t>22.4.2</w:t>
      </w:r>
      <w:r>
        <w:rPr>
          <w:rFonts w:eastAsiaTheme="minorEastAsia"/>
          <w:sz w:val="22"/>
          <w:lang w:eastAsia="en-AU"/>
        </w:rPr>
        <w:tab/>
      </w:r>
      <w:r w:rsidRPr="00F10F4D">
        <w:t>Groundwater availability</w:t>
      </w:r>
      <w:r>
        <w:rPr>
          <w:webHidden/>
        </w:rPr>
        <w:tab/>
        <w:t>22–30</w:t>
      </w:r>
    </w:p>
    <w:p w14:paraId="24474B57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10F4D">
        <w:t>22.4.3</w:t>
      </w:r>
      <w:r>
        <w:rPr>
          <w:rFonts w:eastAsiaTheme="minorEastAsia"/>
          <w:sz w:val="22"/>
          <w:lang w:eastAsia="en-AU"/>
        </w:rPr>
        <w:tab/>
      </w:r>
      <w:r w:rsidRPr="00F10F4D">
        <w:t>Changes to groundwater quality</w:t>
      </w:r>
      <w:r>
        <w:rPr>
          <w:webHidden/>
        </w:rPr>
        <w:tab/>
        <w:t>22–33</w:t>
      </w:r>
    </w:p>
    <w:p w14:paraId="5E221721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F10F4D">
        <w:t>22.4.4</w:t>
      </w:r>
      <w:r>
        <w:rPr>
          <w:rFonts w:eastAsiaTheme="minorEastAsia"/>
          <w:sz w:val="22"/>
          <w:lang w:eastAsia="en-AU"/>
        </w:rPr>
        <w:tab/>
      </w:r>
      <w:r w:rsidRPr="00F10F4D">
        <w:t>Disposal of groundwater</w:t>
      </w:r>
      <w:r>
        <w:rPr>
          <w:webHidden/>
        </w:rPr>
        <w:tab/>
        <w:t>22–35</w:t>
      </w:r>
    </w:p>
    <w:p w14:paraId="5CDE349D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F10F4D">
        <w:t>22.5</w:t>
      </w:r>
      <w:r>
        <w:rPr>
          <w:rFonts w:eastAsiaTheme="minorEastAsia"/>
          <w:sz w:val="22"/>
          <w:lang w:eastAsia="en-AU"/>
        </w:rPr>
        <w:tab/>
      </w:r>
      <w:r w:rsidRPr="00F10F4D">
        <w:t>Conclusion</w:t>
      </w:r>
      <w:r>
        <w:rPr>
          <w:webHidden/>
        </w:rPr>
        <w:tab/>
        <w:t>22–37</w:t>
      </w:r>
    </w:p>
    <w:p w14:paraId="76E3A5F8" w14:textId="77777777" w:rsidR="002D31F6" w:rsidRDefault="002D31F6" w:rsidP="002D31F6">
      <w:pPr>
        <w:pStyle w:val="TOC1"/>
        <w:rPr>
          <w:rFonts w:eastAsiaTheme="minorEastAsia"/>
          <w:color w:val="auto"/>
          <w:lang w:eastAsia="en-AU"/>
        </w:rPr>
      </w:pPr>
      <w:r w:rsidRPr="0028243C">
        <w:t>Chapter 23</w:t>
      </w:r>
      <w:r>
        <w:rPr>
          <w:rFonts w:eastAsiaTheme="minorEastAsia"/>
          <w:color w:val="auto"/>
          <w:lang w:eastAsia="en-AU"/>
        </w:rPr>
        <w:tab/>
      </w:r>
      <w:r w:rsidRPr="0028243C">
        <w:t>Contamination and soil</w:t>
      </w:r>
      <w:r>
        <w:rPr>
          <w:webHidden/>
        </w:rPr>
        <w:tab/>
        <w:t>23–1</w:t>
      </w:r>
    </w:p>
    <w:p w14:paraId="1663232B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28243C">
        <w:t>23.1</w:t>
      </w:r>
      <w:r>
        <w:rPr>
          <w:rFonts w:eastAsiaTheme="minorEastAsia"/>
          <w:sz w:val="22"/>
          <w:lang w:eastAsia="en-AU"/>
        </w:rPr>
        <w:tab/>
      </w:r>
      <w:r w:rsidRPr="0028243C">
        <w:t>Method</w:t>
      </w:r>
      <w:r>
        <w:rPr>
          <w:webHidden/>
        </w:rPr>
        <w:tab/>
        <w:t>23–2</w:t>
      </w:r>
    </w:p>
    <w:p w14:paraId="7448D6B3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28243C">
        <w:t>23.2</w:t>
      </w:r>
      <w:r>
        <w:rPr>
          <w:rFonts w:eastAsiaTheme="minorEastAsia"/>
          <w:sz w:val="22"/>
          <w:lang w:eastAsia="en-AU"/>
        </w:rPr>
        <w:tab/>
      </w:r>
      <w:r w:rsidRPr="0028243C">
        <w:t>Existing conditions</w:t>
      </w:r>
      <w:r>
        <w:rPr>
          <w:webHidden/>
        </w:rPr>
        <w:tab/>
        <w:t>23–4</w:t>
      </w:r>
    </w:p>
    <w:p w14:paraId="29618611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8243C">
        <w:t>23.2.1</w:t>
      </w:r>
      <w:r>
        <w:rPr>
          <w:rFonts w:eastAsiaTheme="minorEastAsia"/>
          <w:sz w:val="22"/>
          <w:lang w:eastAsia="en-AU"/>
        </w:rPr>
        <w:tab/>
      </w:r>
      <w:r w:rsidRPr="0028243C">
        <w:t>Acid sulfate soil and rock</w:t>
      </w:r>
      <w:r>
        <w:rPr>
          <w:webHidden/>
        </w:rPr>
        <w:tab/>
        <w:t>23–4</w:t>
      </w:r>
    </w:p>
    <w:p w14:paraId="1D610987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8243C">
        <w:t>23.2.2</w:t>
      </w:r>
      <w:r>
        <w:rPr>
          <w:rFonts w:eastAsiaTheme="minorEastAsia"/>
          <w:sz w:val="22"/>
          <w:lang w:eastAsia="en-AU"/>
        </w:rPr>
        <w:tab/>
      </w:r>
      <w:r w:rsidRPr="0028243C">
        <w:t>Existing and historical land use</w:t>
      </w:r>
      <w:r>
        <w:rPr>
          <w:webHidden/>
        </w:rPr>
        <w:tab/>
        <w:t>23–6</w:t>
      </w:r>
    </w:p>
    <w:p w14:paraId="2EB7413B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28243C">
        <w:t>23.3</w:t>
      </w:r>
      <w:r>
        <w:rPr>
          <w:rFonts w:eastAsiaTheme="minorEastAsia"/>
          <w:sz w:val="22"/>
          <w:lang w:eastAsia="en-AU"/>
        </w:rPr>
        <w:tab/>
      </w:r>
      <w:r w:rsidRPr="0028243C">
        <w:t>Construction impact assessment</w:t>
      </w:r>
      <w:r>
        <w:rPr>
          <w:webHidden/>
        </w:rPr>
        <w:tab/>
        <w:t>23–10</w:t>
      </w:r>
    </w:p>
    <w:p w14:paraId="474E4F52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8243C">
        <w:t>23.3.1</w:t>
      </w:r>
      <w:r>
        <w:rPr>
          <w:rFonts w:eastAsiaTheme="minorEastAsia"/>
          <w:sz w:val="22"/>
          <w:lang w:eastAsia="en-AU"/>
        </w:rPr>
        <w:tab/>
      </w:r>
      <w:r w:rsidRPr="0028243C">
        <w:t>Soil and rock</w:t>
      </w:r>
      <w:r>
        <w:rPr>
          <w:webHidden/>
        </w:rPr>
        <w:tab/>
        <w:t>23–11</w:t>
      </w:r>
    </w:p>
    <w:p w14:paraId="2245E34B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8243C">
        <w:t>23.3.2</w:t>
      </w:r>
      <w:r>
        <w:rPr>
          <w:rFonts w:eastAsiaTheme="minorEastAsia"/>
          <w:sz w:val="22"/>
          <w:lang w:eastAsia="en-AU"/>
        </w:rPr>
        <w:tab/>
      </w:r>
      <w:r w:rsidRPr="0028243C">
        <w:t>Asbestos, chemicals and waste</w:t>
      </w:r>
      <w:r>
        <w:rPr>
          <w:webHidden/>
        </w:rPr>
        <w:tab/>
        <w:t>23–15</w:t>
      </w:r>
    </w:p>
    <w:p w14:paraId="6E2D7A4D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8243C">
        <w:t>23.3.3</w:t>
      </w:r>
      <w:r>
        <w:rPr>
          <w:rFonts w:eastAsiaTheme="minorEastAsia"/>
          <w:sz w:val="22"/>
          <w:lang w:eastAsia="en-AU"/>
        </w:rPr>
        <w:tab/>
      </w:r>
      <w:r w:rsidRPr="0028243C">
        <w:t>Odour, gas and vapours</w:t>
      </w:r>
      <w:r>
        <w:rPr>
          <w:webHidden/>
        </w:rPr>
        <w:tab/>
        <w:t>23–17</w:t>
      </w:r>
    </w:p>
    <w:p w14:paraId="61B9D5CE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8243C">
        <w:t>23.3.4</w:t>
      </w:r>
      <w:r>
        <w:rPr>
          <w:rFonts w:eastAsiaTheme="minorEastAsia"/>
          <w:sz w:val="22"/>
          <w:lang w:eastAsia="en-AU"/>
        </w:rPr>
        <w:tab/>
      </w:r>
      <w:r w:rsidRPr="0028243C">
        <w:t>Groundwater</w:t>
      </w:r>
      <w:r>
        <w:rPr>
          <w:webHidden/>
        </w:rPr>
        <w:tab/>
        <w:t>23–19</w:t>
      </w:r>
    </w:p>
    <w:p w14:paraId="314C272A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28243C">
        <w:t>23.4</w:t>
      </w:r>
      <w:r>
        <w:rPr>
          <w:rFonts w:eastAsiaTheme="minorEastAsia"/>
          <w:sz w:val="22"/>
          <w:lang w:eastAsia="en-AU"/>
        </w:rPr>
        <w:tab/>
      </w:r>
      <w:r w:rsidRPr="0028243C">
        <w:t>Operation impact assessment</w:t>
      </w:r>
      <w:r>
        <w:rPr>
          <w:webHidden/>
        </w:rPr>
        <w:tab/>
        <w:t>23–21</w:t>
      </w:r>
    </w:p>
    <w:p w14:paraId="51873C3D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8243C">
        <w:t>23.4.1</w:t>
      </w:r>
      <w:r>
        <w:rPr>
          <w:rFonts w:eastAsiaTheme="minorEastAsia"/>
          <w:sz w:val="22"/>
          <w:lang w:eastAsia="en-AU"/>
        </w:rPr>
        <w:tab/>
      </w:r>
      <w:r w:rsidRPr="0028243C">
        <w:t>Soil and rock</w:t>
      </w:r>
      <w:r>
        <w:rPr>
          <w:webHidden/>
        </w:rPr>
        <w:tab/>
        <w:t>23–21</w:t>
      </w:r>
    </w:p>
    <w:p w14:paraId="4C1EE306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8243C">
        <w:t>23.4.2</w:t>
      </w:r>
      <w:r>
        <w:rPr>
          <w:rFonts w:eastAsiaTheme="minorEastAsia"/>
          <w:sz w:val="22"/>
          <w:lang w:eastAsia="en-AU"/>
        </w:rPr>
        <w:tab/>
      </w:r>
      <w:r w:rsidRPr="0028243C">
        <w:t>Odour, gas and vapours</w:t>
      </w:r>
      <w:r>
        <w:rPr>
          <w:webHidden/>
        </w:rPr>
        <w:tab/>
        <w:t>23–22</w:t>
      </w:r>
    </w:p>
    <w:p w14:paraId="57F8487A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8243C">
        <w:t>23.4.3</w:t>
      </w:r>
      <w:r>
        <w:rPr>
          <w:rFonts w:eastAsiaTheme="minorEastAsia"/>
          <w:sz w:val="22"/>
          <w:lang w:eastAsia="en-AU"/>
        </w:rPr>
        <w:tab/>
      </w:r>
      <w:r w:rsidRPr="0028243C">
        <w:t>Groundwater</w:t>
      </w:r>
      <w:r>
        <w:rPr>
          <w:webHidden/>
        </w:rPr>
        <w:tab/>
        <w:t>23–23</w:t>
      </w:r>
    </w:p>
    <w:p w14:paraId="6B014E5A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28243C">
        <w:t>23.5</w:t>
      </w:r>
      <w:r>
        <w:rPr>
          <w:rFonts w:eastAsiaTheme="minorEastAsia"/>
          <w:sz w:val="22"/>
          <w:lang w:eastAsia="en-AU"/>
        </w:rPr>
        <w:tab/>
      </w:r>
      <w:r w:rsidRPr="0028243C">
        <w:t>Cumulative impact assessment</w:t>
      </w:r>
      <w:r>
        <w:rPr>
          <w:webHidden/>
        </w:rPr>
        <w:tab/>
        <w:t>23–24</w:t>
      </w:r>
    </w:p>
    <w:p w14:paraId="2C27D153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28243C">
        <w:t>23.6</w:t>
      </w:r>
      <w:r>
        <w:rPr>
          <w:rFonts w:eastAsiaTheme="minorEastAsia"/>
          <w:sz w:val="22"/>
          <w:lang w:eastAsia="en-AU"/>
        </w:rPr>
        <w:tab/>
      </w:r>
      <w:r w:rsidRPr="0028243C">
        <w:t>Spoil Management Strategy</w:t>
      </w:r>
      <w:r>
        <w:rPr>
          <w:webHidden/>
        </w:rPr>
        <w:tab/>
        <w:t>23–25</w:t>
      </w:r>
    </w:p>
    <w:p w14:paraId="0E963618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28243C">
        <w:t>23.7</w:t>
      </w:r>
      <w:r>
        <w:rPr>
          <w:rFonts w:eastAsiaTheme="minorEastAsia"/>
          <w:sz w:val="22"/>
          <w:lang w:eastAsia="en-AU"/>
        </w:rPr>
        <w:tab/>
      </w:r>
      <w:r w:rsidRPr="0028243C">
        <w:t>Conclusion</w:t>
      </w:r>
      <w:r>
        <w:rPr>
          <w:webHidden/>
        </w:rPr>
        <w:tab/>
        <w:t>23–27</w:t>
      </w:r>
    </w:p>
    <w:p w14:paraId="1D9363CC" w14:textId="77777777" w:rsidR="002D31F6" w:rsidRPr="00F72A9A" w:rsidRDefault="002D31F6" w:rsidP="002D31F6">
      <w:pPr>
        <w:pStyle w:val="TOC1"/>
        <w:rPr>
          <w:rFonts w:eastAsiaTheme="minorEastAsia"/>
          <w:noProof w:val="0"/>
          <w:color w:val="auto"/>
          <w:lang w:eastAsia="en-AU"/>
        </w:rPr>
      </w:pPr>
      <w:r w:rsidRPr="00F54CAB">
        <w:rPr>
          <w:noProof w:val="0"/>
        </w:rPr>
        <w:lastRenderedPageBreak/>
        <w:t>Chapter 24</w:t>
      </w:r>
      <w:r w:rsidRPr="00F72A9A">
        <w:rPr>
          <w:rFonts w:eastAsiaTheme="minorEastAsia"/>
          <w:noProof w:val="0"/>
          <w:color w:val="auto"/>
          <w:lang w:eastAsia="en-AU"/>
        </w:rPr>
        <w:tab/>
      </w:r>
      <w:r w:rsidRPr="00F54CAB">
        <w:rPr>
          <w:noProof w:val="0"/>
        </w:rPr>
        <w:t>Surface water</w:t>
      </w:r>
      <w:r w:rsidRPr="00F72A9A">
        <w:rPr>
          <w:noProof w:val="0"/>
          <w:webHidden/>
        </w:rPr>
        <w:tab/>
      </w:r>
      <w:r>
        <w:rPr>
          <w:webHidden/>
        </w:rPr>
        <w:t>24–1</w:t>
      </w:r>
    </w:p>
    <w:p w14:paraId="3A684C52" w14:textId="77777777" w:rsidR="002D31F6" w:rsidRPr="00F72A9A" w:rsidRDefault="002D31F6" w:rsidP="002D31F6">
      <w:pPr>
        <w:pStyle w:val="TOC2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24.1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Method</w:t>
      </w:r>
      <w:r w:rsidRPr="00F72A9A">
        <w:rPr>
          <w:noProof w:val="0"/>
          <w:webHidden/>
        </w:rPr>
        <w:tab/>
      </w:r>
      <w:r>
        <w:rPr>
          <w:webHidden/>
        </w:rPr>
        <w:t>24–2</w:t>
      </w:r>
    </w:p>
    <w:p w14:paraId="4E44BD01" w14:textId="77777777" w:rsidR="002D31F6" w:rsidRPr="00F72A9A" w:rsidRDefault="002D31F6" w:rsidP="002D31F6">
      <w:pPr>
        <w:pStyle w:val="TOC2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24.2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Existing conditions</w:t>
      </w:r>
      <w:r w:rsidRPr="00F72A9A">
        <w:rPr>
          <w:noProof w:val="0"/>
          <w:webHidden/>
        </w:rPr>
        <w:tab/>
      </w:r>
      <w:r>
        <w:rPr>
          <w:webHidden/>
        </w:rPr>
        <w:t>24–4</w:t>
      </w:r>
    </w:p>
    <w:p w14:paraId="3E13B9B0" w14:textId="77777777" w:rsidR="002D31F6" w:rsidRPr="00F72A9A" w:rsidRDefault="002D31F6" w:rsidP="002D31F6">
      <w:pPr>
        <w:pStyle w:val="TOC3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24.2.1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Flooding</w:t>
      </w:r>
      <w:r w:rsidRPr="00F72A9A">
        <w:rPr>
          <w:noProof w:val="0"/>
          <w:webHidden/>
        </w:rPr>
        <w:tab/>
      </w:r>
      <w:r>
        <w:rPr>
          <w:webHidden/>
        </w:rPr>
        <w:t>24–5</w:t>
      </w:r>
    </w:p>
    <w:p w14:paraId="15C7651D" w14:textId="77777777" w:rsidR="002D31F6" w:rsidRPr="00F72A9A" w:rsidRDefault="002D31F6" w:rsidP="002D31F6">
      <w:pPr>
        <w:pStyle w:val="TOC3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24.2.2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Water quality</w:t>
      </w:r>
      <w:r w:rsidRPr="00F72A9A">
        <w:rPr>
          <w:noProof w:val="0"/>
          <w:webHidden/>
        </w:rPr>
        <w:tab/>
      </w:r>
      <w:r>
        <w:rPr>
          <w:webHidden/>
        </w:rPr>
        <w:t>24–18</w:t>
      </w:r>
    </w:p>
    <w:p w14:paraId="1D7ECAA6" w14:textId="77777777" w:rsidR="002D31F6" w:rsidRPr="00F72A9A" w:rsidRDefault="002D31F6" w:rsidP="002D31F6">
      <w:pPr>
        <w:pStyle w:val="TOC3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24.2.3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Geomorphology</w:t>
      </w:r>
      <w:r w:rsidRPr="00F72A9A">
        <w:rPr>
          <w:noProof w:val="0"/>
          <w:webHidden/>
        </w:rPr>
        <w:tab/>
      </w:r>
      <w:r>
        <w:rPr>
          <w:webHidden/>
        </w:rPr>
        <w:t>24–19</w:t>
      </w:r>
    </w:p>
    <w:p w14:paraId="2431163A" w14:textId="77777777" w:rsidR="002D31F6" w:rsidRPr="00F72A9A" w:rsidRDefault="002D31F6" w:rsidP="002D31F6">
      <w:pPr>
        <w:pStyle w:val="TOC3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24.2.4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Water supply</w:t>
      </w:r>
      <w:r w:rsidRPr="00F72A9A">
        <w:rPr>
          <w:noProof w:val="0"/>
          <w:webHidden/>
        </w:rPr>
        <w:tab/>
      </w:r>
      <w:r>
        <w:rPr>
          <w:webHidden/>
        </w:rPr>
        <w:t>24–20</w:t>
      </w:r>
    </w:p>
    <w:p w14:paraId="0A2E7355" w14:textId="77777777" w:rsidR="002D31F6" w:rsidRPr="00F72A9A" w:rsidRDefault="002D31F6" w:rsidP="002D31F6">
      <w:pPr>
        <w:pStyle w:val="TOC2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24.3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Construction impact assessment</w:t>
      </w:r>
      <w:r w:rsidRPr="00F72A9A">
        <w:rPr>
          <w:noProof w:val="0"/>
          <w:webHidden/>
        </w:rPr>
        <w:tab/>
      </w:r>
      <w:r>
        <w:rPr>
          <w:webHidden/>
        </w:rPr>
        <w:t>24–21</w:t>
      </w:r>
    </w:p>
    <w:p w14:paraId="330B4990" w14:textId="77777777" w:rsidR="002D31F6" w:rsidRPr="00F72A9A" w:rsidRDefault="002D31F6" w:rsidP="002D31F6">
      <w:pPr>
        <w:pStyle w:val="TOC3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24.3.1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Flooding</w:t>
      </w:r>
      <w:r w:rsidRPr="00F72A9A">
        <w:rPr>
          <w:noProof w:val="0"/>
          <w:webHidden/>
        </w:rPr>
        <w:tab/>
      </w:r>
      <w:r>
        <w:rPr>
          <w:webHidden/>
        </w:rPr>
        <w:t>24–21</w:t>
      </w:r>
    </w:p>
    <w:p w14:paraId="5311F04E" w14:textId="77777777" w:rsidR="002D31F6" w:rsidRPr="00F72A9A" w:rsidRDefault="002D31F6" w:rsidP="002D31F6">
      <w:pPr>
        <w:pStyle w:val="TOC3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24.3.2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Water quality</w:t>
      </w:r>
      <w:r w:rsidRPr="00F72A9A">
        <w:rPr>
          <w:noProof w:val="0"/>
          <w:webHidden/>
        </w:rPr>
        <w:tab/>
      </w:r>
      <w:r>
        <w:rPr>
          <w:webHidden/>
        </w:rPr>
        <w:t>24–24</w:t>
      </w:r>
    </w:p>
    <w:p w14:paraId="723CB5C0" w14:textId="77777777" w:rsidR="002D31F6" w:rsidRPr="00F72A9A" w:rsidRDefault="002D31F6" w:rsidP="002D31F6">
      <w:pPr>
        <w:pStyle w:val="TOC3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24.3.3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Geomorphology</w:t>
      </w:r>
      <w:r w:rsidRPr="00F72A9A">
        <w:rPr>
          <w:noProof w:val="0"/>
          <w:webHidden/>
        </w:rPr>
        <w:tab/>
      </w:r>
      <w:r>
        <w:rPr>
          <w:webHidden/>
        </w:rPr>
        <w:t>24–25</w:t>
      </w:r>
    </w:p>
    <w:p w14:paraId="1E1589A7" w14:textId="77777777" w:rsidR="002D31F6" w:rsidRPr="00F72A9A" w:rsidRDefault="002D31F6" w:rsidP="002D31F6">
      <w:pPr>
        <w:pStyle w:val="TOC3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24.3.4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Water supply</w:t>
      </w:r>
      <w:r w:rsidRPr="00F72A9A">
        <w:rPr>
          <w:noProof w:val="0"/>
          <w:webHidden/>
        </w:rPr>
        <w:tab/>
      </w:r>
      <w:r>
        <w:rPr>
          <w:webHidden/>
        </w:rPr>
        <w:t>24–27</w:t>
      </w:r>
    </w:p>
    <w:p w14:paraId="3B4E8BBB" w14:textId="77777777" w:rsidR="002D31F6" w:rsidRPr="00F72A9A" w:rsidRDefault="002D31F6" w:rsidP="002D31F6">
      <w:pPr>
        <w:pStyle w:val="TOC2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24.4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Operation impact assessment</w:t>
      </w:r>
      <w:r w:rsidRPr="00F72A9A">
        <w:rPr>
          <w:noProof w:val="0"/>
          <w:webHidden/>
        </w:rPr>
        <w:tab/>
      </w:r>
      <w:r>
        <w:rPr>
          <w:webHidden/>
        </w:rPr>
        <w:t>24–28</w:t>
      </w:r>
    </w:p>
    <w:p w14:paraId="4F536A63" w14:textId="77777777" w:rsidR="002D31F6" w:rsidRPr="00F72A9A" w:rsidRDefault="002D31F6" w:rsidP="002D31F6">
      <w:pPr>
        <w:pStyle w:val="TOC3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24.4.1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Flooding</w:t>
      </w:r>
      <w:r w:rsidRPr="00F72A9A">
        <w:rPr>
          <w:noProof w:val="0"/>
          <w:webHidden/>
        </w:rPr>
        <w:tab/>
      </w:r>
      <w:r>
        <w:rPr>
          <w:webHidden/>
        </w:rPr>
        <w:t>24–28</w:t>
      </w:r>
    </w:p>
    <w:p w14:paraId="4E252F8E" w14:textId="77777777" w:rsidR="002D31F6" w:rsidRPr="00F72A9A" w:rsidRDefault="002D31F6" w:rsidP="002D31F6">
      <w:pPr>
        <w:pStyle w:val="TOC3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24.4.2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Water quality</w:t>
      </w:r>
      <w:r w:rsidRPr="00F72A9A">
        <w:rPr>
          <w:noProof w:val="0"/>
          <w:webHidden/>
        </w:rPr>
        <w:tab/>
      </w:r>
      <w:r>
        <w:rPr>
          <w:webHidden/>
        </w:rPr>
        <w:t>24–45</w:t>
      </w:r>
    </w:p>
    <w:p w14:paraId="039E4164" w14:textId="77777777" w:rsidR="002D31F6" w:rsidRPr="00F72A9A" w:rsidRDefault="002D31F6" w:rsidP="002D31F6">
      <w:pPr>
        <w:pStyle w:val="TOC3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24.4.3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Geomorphology</w:t>
      </w:r>
      <w:r w:rsidRPr="00F72A9A">
        <w:rPr>
          <w:noProof w:val="0"/>
          <w:webHidden/>
        </w:rPr>
        <w:tab/>
      </w:r>
      <w:r>
        <w:rPr>
          <w:webHidden/>
        </w:rPr>
        <w:t>24–48</w:t>
      </w:r>
    </w:p>
    <w:p w14:paraId="693F54E5" w14:textId="77777777" w:rsidR="002D31F6" w:rsidRPr="00F72A9A" w:rsidRDefault="002D31F6" w:rsidP="002D31F6">
      <w:pPr>
        <w:pStyle w:val="TOC3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24.4.4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Water supply</w:t>
      </w:r>
      <w:r w:rsidRPr="00F72A9A">
        <w:rPr>
          <w:noProof w:val="0"/>
          <w:webHidden/>
        </w:rPr>
        <w:tab/>
      </w:r>
      <w:r>
        <w:rPr>
          <w:webHidden/>
        </w:rPr>
        <w:t>24–50</w:t>
      </w:r>
    </w:p>
    <w:p w14:paraId="3DA8BE8B" w14:textId="77777777" w:rsidR="002D31F6" w:rsidRPr="00F72A9A" w:rsidRDefault="002D31F6" w:rsidP="002D31F6">
      <w:pPr>
        <w:pStyle w:val="TOC2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24.5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Cumulative impact assessment</w:t>
      </w:r>
      <w:r w:rsidRPr="00F72A9A">
        <w:rPr>
          <w:noProof w:val="0"/>
          <w:webHidden/>
        </w:rPr>
        <w:tab/>
      </w:r>
      <w:r>
        <w:rPr>
          <w:webHidden/>
        </w:rPr>
        <w:t>24–51</w:t>
      </w:r>
    </w:p>
    <w:p w14:paraId="0DA29CD0" w14:textId="77777777" w:rsidR="002D31F6" w:rsidRPr="00F72A9A" w:rsidRDefault="002D31F6" w:rsidP="002D31F6">
      <w:pPr>
        <w:pStyle w:val="TOC2"/>
        <w:rPr>
          <w:rFonts w:eastAsiaTheme="minorEastAsia"/>
          <w:noProof w:val="0"/>
          <w:sz w:val="22"/>
          <w:lang w:eastAsia="en-AU"/>
        </w:rPr>
      </w:pPr>
      <w:r w:rsidRPr="00F54CAB">
        <w:rPr>
          <w:noProof w:val="0"/>
        </w:rPr>
        <w:t>24.6</w:t>
      </w:r>
      <w:r w:rsidRPr="00F72A9A">
        <w:rPr>
          <w:rFonts w:eastAsiaTheme="minorEastAsia"/>
          <w:noProof w:val="0"/>
          <w:sz w:val="22"/>
          <w:lang w:eastAsia="en-AU"/>
        </w:rPr>
        <w:tab/>
      </w:r>
      <w:r w:rsidRPr="00F54CAB">
        <w:rPr>
          <w:noProof w:val="0"/>
        </w:rPr>
        <w:t>Conclusion</w:t>
      </w:r>
      <w:r w:rsidRPr="00F72A9A">
        <w:rPr>
          <w:noProof w:val="0"/>
          <w:webHidden/>
        </w:rPr>
        <w:tab/>
      </w:r>
      <w:r>
        <w:rPr>
          <w:webHidden/>
        </w:rPr>
        <w:t>24–52</w:t>
      </w:r>
    </w:p>
    <w:p w14:paraId="37308047" w14:textId="77777777" w:rsidR="002D31F6" w:rsidRDefault="002D31F6" w:rsidP="002D31F6">
      <w:pPr>
        <w:pStyle w:val="TOC1"/>
        <w:rPr>
          <w:rFonts w:eastAsiaTheme="minorEastAsia"/>
          <w:color w:val="auto"/>
          <w:lang w:eastAsia="en-AU"/>
        </w:rPr>
      </w:pPr>
      <w:r w:rsidRPr="00510CF7">
        <w:t>Chapter 25</w:t>
      </w:r>
      <w:r>
        <w:rPr>
          <w:rFonts w:eastAsiaTheme="minorEastAsia"/>
          <w:color w:val="auto"/>
          <w:lang w:eastAsia="en-AU"/>
        </w:rPr>
        <w:tab/>
      </w:r>
      <w:r w:rsidRPr="00510CF7">
        <w:t>Ecology</w:t>
      </w:r>
      <w:r>
        <w:rPr>
          <w:webHidden/>
        </w:rPr>
        <w:tab/>
        <w:t>25–1</w:t>
      </w:r>
    </w:p>
    <w:p w14:paraId="5AB5FC82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10CF7">
        <w:t>25.1</w:t>
      </w:r>
      <w:r>
        <w:rPr>
          <w:rFonts w:eastAsiaTheme="minorEastAsia"/>
          <w:sz w:val="22"/>
          <w:lang w:eastAsia="en-AU"/>
        </w:rPr>
        <w:tab/>
      </w:r>
      <w:r w:rsidRPr="00510CF7">
        <w:t>Method</w:t>
      </w:r>
      <w:r>
        <w:rPr>
          <w:webHidden/>
        </w:rPr>
        <w:tab/>
        <w:t>25–2</w:t>
      </w:r>
    </w:p>
    <w:p w14:paraId="12A4E377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10CF7">
        <w:t>25.2</w:t>
      </w:r>
      <w:r>
        <w:rPr>
          <w:rFonts w:eastAsiaTheme="minorEastAsia"/>
          <w:sz w:val="22"/>
          <w:lang w:eastAsia="en-AU"/>
        </w:rPr>
        <w:tab/>
      </w:r>
      <w:r w:rsidRPr="00510CF7">
        <w:t>Existing conditions</w:t>
      </w:r>
      <w:r>
        <w:rPr>
          <w:webHidden/>
        </w:rPr>
        <w:tab/>
        <w:t>25–4</w:t>
      </w:r>
    </w:p>
    <w:p w14:paraId="5AB716B5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10CF7">
        <w:t>25.2.1</w:t>
      </w:r>
      <w:r>
        <w:rPr>
          <w:rFonts w:eastAsiaTheme="minorEastAsia"/>
          <w:sz w:val="22"/>
          <w:lang w:eastAsia="en-AU"/>
        </w:rPr>
        <w:tab/>
      </w:r>
      <w:r w:rsidRPr="00510CF7">
        <w:t>Flora and ecological communities</w:t>
      </w:r>
      <w:r>
        <w:rPr>
          <w:webHidden/>
        </w:rPr>
        <w:tab/>
        <w:t>25–4</w:t>
      </w:r>
    </w:p>
    <w:p w14:paraId="3CEF0CB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10CF7">
        <w:t>25.2.2</w:t>
      </w:r>
      <w:r>
        <w:rPr>
          <w:rFonts w:eastAsiaTheme="minorEastAsia"/>
          <w:sz w:val="22"/>
          <w:lang w:eastAsia="en-AU"/>
        </w:rPr>
        <w:tab/>
      </w:r>
      <w:r w:rsidRPr="00510CF7">
        <w:t>Terrestrial fauna</w:t>
      </w:r>
      <w:r>
        <w:rPr>
          <w:webHidden/>
        </w:rPr>
        <w:tab/>
        <w:t>25–11</w:t>
      </w:r>
    </w:p>
    <w:p w14:paraId="39C7EF6C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10CF7">
        <w:t>25.2.3</w:t>
      </w:r>
      <w:r>
        <w:rPr>
          <w:rFonts w:eastAsiaTheme="minorEastAsia"/>
          <w:sz w:val="22"/>
          <w:lang w:eastAsia="en-AU"/>
        </w:rPr>
        <w:tab/>
      </w:r>
      <w:r w:rsidRPr="00510CF7">
        <w:t>Aquatic species and ecosystems</w:t>
      </w:r>
      <w:r>
        <w:rPr>
          <w:webHidden/>
        </w:rPr>
        <w:tab/>
        <w:t>25–19</w:t>
      </w:r>
    </w:p>
    <w:p w14:paraId="4638D062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10CF7">
        <w:t>25.3</w:t>
      </w:r>
      <w:r>
        <w:rPr>
          <w:rFonts w:eastAsiaTheme="minorEastAsia"/>
          <w:sz w:val="22"/>
          <w:lang w:eastAsia="en-AU"/>
        </w:rPr>
        <w:tab/>
      </w:r>
      <w:r w:rsidRPr="00510CF7">
        <w:t>Construction impact assessment</w:t>
      </w:r>
      <w:r>
        <w:rPr>
          <w:webHidden/>
        </w:rPr>
        <w:tab/>
        <w:t>25–24</w:t>
      </w:r>
    </w:p>
    <w:p w14:paraId="0C9F2AC1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10CF7">
        <w:t>25.3.1</w:t>
      </w:r>
      <w:r>
        <w:rPr>
          <w:rFonts w:eastAsiaTheme="minorEastAsia"/>
          <w:sz w:val="22"/>
          <w:lang w:eastAsia="en-AU"/>
        </w:rPr>
        <w:tab/>
      </w:r>
      <w:r w:rsidRPr="00510CF7">
        <w:t>Threatened flora and ecological communities</w:t>
      </w:r>
      <w:r>
        <w:rPr>
          <w:webHidden/>
        </w:rPr>
        <w:tab/>
        <w:t>25–24</w:t>
      </w:r>
    </w:p>
    <w:p w14:paraId="5137D7D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10CF7">
        <w:t>25.3.2</w:t>
      </w:r>
      <w:r>
        <w:rPr>
          <w:rFonts w:eastAsiaTheme="minorEastAsia"/>
          <w:sz w:val="22"/>
          <w:lang w:eastAsia="en-AU"/>
        </w:rPr>
        <w:tab/>
      </w:r>
      <w:r w:rsidRPr="00510CF7">
        <w:t>Non-threatened native flora and ecological communities</w:t>
      </w:r>
      <w:r>
        <w:rPr>
          <w:webHidden/>
        </w:rPr>
        <w:tab/>
        <w:t>25–28</w:t>
      </w:r>
    </w:p>
    <w:p w14:paraId="66608056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10CF7">
        <w:t>25.3.3</w:t>
      </w:r>
      <w:r>
        <w:rPr>
          <w:rFonts w:eastAsiaTheme="minorEastAsia"/>
          <w:sz w:val="22"/>
          <w:lang w:eastAsia="en-AU"/>
        </w:rPr>
        <w:tab/>
      </w:r>
      <w:r w:rsidRPr="00510CF7">
        <w:t>Threatened and migratory terrestrial fauna</w:t>
      </w:r>
      <w:r>
        <w:rPr>
          <w:webHidden/>
        </w:rPr>
        <w:tab/>
        <w:t>25–32</w:t>
      </w:r>
    </w:p>
    <w:p w14:paraId="1F2861A6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10CF7">
        <w:t>25.3.4</w:t>
      </w:r>
      <w:r>
        <w:rPr>
          <w:rFonts w:eastAsiaTheme="minorEastAsia"/>
          <w:sz w:val="22"/>
          <w:lang w:eastAsia="en-AU"/>
        </w:rPr>
        <w:tab/>
      </w:r>
      <w:r w:rsidRPr="00510CF7">
        <w:t>Non-threatened native terrestrial fauna</w:t>
      </w:r>
      <w:r>
        <w:rPr>
          <w:webHidden/>
        </w:rPr>
        <w:tab/>
        <w:t>25–36</w:t>
      </w:r>
    </w:p>
    <w:p w14:paraId="6B36E130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10CF7">
        <w:t>25.3.5</w:t>
      </w:r>
      <w:r>
        <w:rPr>
          <w:rFonts w:eastAsiaTheme="minorEastAsia"/>
          <w:sz w:val="22"/>
          <w:lang w:eastAsia="en-AU"/>
        </w:rPr>
        <w:tab/>
      </w:r>
      <w:r w:rsidRPr="00510CF7">
        <w:t>Aquatic species and ecosystems</w:t>
      </w:r>
      <w:r>
        <w:rPr>
          <w:webHidden/>
        </w:rPr>
        <w:tab/>
        <w:t>25–40</w:t>
      </w:r>
    </w:p>
    <w:p w14:paraId="3369DE02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10CF7">
        <w:t>25.4</w:t>
      </w:r>
      <w:r>
        <w:rPr>
          <w:rFonts w:eastAsiaTheme="minorEastAsia"/>
          <w:sz w:val="22"/>
          <w:lang w:eastAsia="en-AU"/>
        </w:rPr>
        <w:tab/>
      </w:r>
      <w:r w:rsidRPr="00510CF7">
        <w:t>Operation impact assessment</w:t>
      </w:r>
      <w:r>
        <w:rPr>
          <w:webHidden/>
        </w:rPr>
        <w:tab/>
        <w:t>25–44</w:t>
      </w:r>
    </w:p>
    <w:p w14:paraId="7F76B808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10CF7">
        <w:t>25.4.1</w:t>
      </w:r>
      <w:r>
        <w:rPr>
          <w:rFonts w:eastAsiaTheme="minorEastAsia"/>
          <w:sz w:val="22"/>
          <w:lang w:eastAsia="en-AU"/>
        </w:rPr>
        <w:tab/>
      </w:r>
      <w:r w:rsidRPr="00510CF7">
        <w:t>Threatened flora and ecological communities</w:t>
      </w:r>
      <w:r>
        <w:rPr>
          <w:webHidden/>
        </w:rPr>
        <w:tab/>
        <w:t>25–44</w:t>
      </w:r>
    </w:p>
    <w:p w14:paraId="087F0BC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10CF7">
        <w:t>25.4.2</w:t>
      </w:r>
      <w:r>
        <w:rPr>
          <w:rFonts w:eastAsiaTheme="minorEastAsia"/>
          <w:sz w:val="22"/>
          <w:lang w:eastAsia="en-AU"/>
        </w:rPr>
        <w:tab/>
      </w:r>
      <w:r w:rsidRPr="00510CF7">
        <w:t>Non-threatened native flora and ecological communities</w:t>
      </w:r>
      <w:r>
        <w:rPr>
          <w:webHidden/>
        </w:rPr>
        <w:tab/>
        <w:t>25–45</w:t>
      </w:r>
    </w:p>
    <w:p w14:paraId="0CF3E1AF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10CF7">
        <w:t>25.4.3</w:t>
      </w:r>
      <w:r>
        <w:rPr>
          <w:rFonts w:eastAsiaTheme="minorEastAsia"/>
          <w:sz w:val="22"/>
          <w:lang w:eastAsia="en-AU"/>
        </w:rPr>
        <w:tab/>
      </w:r>
      <w:r w:rsidRPr="00510CF7">
        <w:t>Threatened terrestrial fauna</w:t>
      </w:r>
      <w:r>
        <w:rPr>
          <w:webHidden/>
        </w:rPr>
        <w:tab/>
        <w:t>25–47</w:t>
      </w:r>
    </w:p>
    <w:p w14:paraId="0325AAE1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10CF7">
        <w:t>25.4.4</w:t>
      </w:r>
      <w:r>
        <w:rPr>
          <w:rFonts w:eastAsiaTheme="minorEastAsia"/>
          <w:sz w:val="22"/>
          <w:lang w:eastAsia="en-AU"/>
        </w:rPr>
        <w:tab/>
      </w:r>
      <w:r w:rsidRPr="00510CF7">
        <w:t>Non-threatened native terrestrial fauna</w:t>
      </w:r>
      <w:r>
        <w:rPr>
          <w:webHidden/>
        </w:rPr>
        <w:tab/>
        <w:t>25–48</w:t>
      </w:r>
    </w:p>
    <w:p w14:paraId="571924F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510CF7">
        <w:t>25.4.5</w:t>
      </w:r>
      <w:r>
        <w:rPr>
          <w:rFonts w:eastAsiaTheme="minorEastAsia"/>
          <w:sz w:val="22"/>
          <w:lang w:eastAsia="en-AU"/>
        </w:rPr>
        <w:tab/>
      </w:r>
      <w:r w:rsidRPr="00510CF7">
        <w:t>Aquatic species and ecosystems</w:t>
      </w:r>
      <w:r>
        <w:rPr>
          <w:webHidden/>
        </w:rPr>
        <w:tab/>
        <w:t>25–49</w:t>
      </w:r>
    </w:p>
    <w:p w14:paraId="7AAC36E1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510CF7">
        <w:t>25.5</w:t>
      </w:r>
      <w:r>
        <w:rPr>
          <w:rFonts w:eastAsiaTheme="minorEastAsia"/>
          <w:sz w:val="22"/>
          <w:lang w:eastAsia="en-AU"/>
        </w:rPr>
        <w:tab/>
      </w:r>
      <w:r w:rsidRPr="00510CF7">
        <w:t>Conclusion</w:t>
      </w:r>
      <w:r>
        <w:rPr>
          <w:webHidden/>
        </w:rPr>
        <w:tab/>
        <w:t>25–53</w:t>
      </w:r>
    </w:p>
    <w:p w14:paraId="5BBECD84" w14:textId="77777777" w:rsidR="002D31F6" w:rsidRDefault="002D31F6" w:rsidP="002D31F6">
      <w:pPr>
        <w:pStyle w:val="TOC1"/>
        <w:rPr>
          <w:rFonts w:eastAsiaTheme="minorEastAsia"/>
          <w:color w:val="auto"/>
          <w:lang w:eastAsia="en-AU"/>
        </w:rPr>
      </w:pPr>
      <w:r w:rsidRPr="00D8405B">
        <w:lastRenderedPageBreak/>
        <w:t>Chapter 26</w:t>
      </w:r>
      <w:r>
        <w:rPr>
          <w:rFonts w:eastAsiaTheme="minorEastAsia"/>
          <w:color w:val="auto"/>
          <w:lang w:eastAsia="en-AU"/>
        </w:rPr>
        <w:tab/>
      </w:r>
      <w:r w:rsidRPr="00D8405B">
        <w:t>Greenhouse gas</w:t>
      </w:r>
      <w:r>
        <w:rPr>
          <w:webHidden/>
        </w:rPr>
        <w:tab/>
        <w:t>26–1</w:t>
      </w:r>
    </w:p>
    <w:p w14:paraId="41DF2223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D8405B">
        <w:t>26.1</w:t>
      </w:r>
      <w:r>
        <w:rPr>
          <w:rFonts w:eastAsiaTheme="minorEastAsia"/>
          <w:sz w:val="22"/>
          <w:lang w:eastAsia="en-AU"/>
        </w:rPr>
        <w:tab/>
      </w:r>
      <w:r w:rsidRPr="00D8405B">
        <w:t>Method</w:t>
      </w:r>
      <w:r>
        <w:rPr>
          <w:webHidden/>
        </w:rPr>
        <w:tab/>
        <w:t>26–3</w:t>
      </w:r>
    </w:p>
    <w:p w14:paraId="282D62BF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D8405B">
        <w:t>26.2</w:t>
      </w:r>
      <w:r>
        <w:rPr>
          <w:rFonts w:eastAsiaTheme="minorEastAsia"/>
          <w:sz w:val="22"/>
          <w:lang w:eastAsia="en-AU"/>
        </w:rPr>
        <w:tab/>
      </w:r>
      <w:r w:rsidRPr="00D8405B">
        <w:t>Existing conditions</w:t>
      </w:r>
      <w:r>
        <w:rPr>
          <w:webHidden/>
        </w:rPr>
        <w:tab/>
        <w:t>26–4</w:t>
      </w:r>
    </w:p>
    <w:p w14:paraId="7031FE8B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D8405B">
        <w:t>26.3</w:t>
      </w:r>
      <w:r>
        <w:rPr>
          <w:rFonts w:eastAsiaTheme="minorEastAsia"/>
          <w:sz w:val="22"/>
          <w:lang w:eastAsia="en-AU"/>
        </w:rPr>
        <w:tab/>
      </w:r>
      <w:r w:rsidRPr="00D8405B">
        <w:t>Construction impact assessment</w:t>
      </w:r>
      <w:r>
        <w:rPr>
          <w:webHidden/>
        </w:rPr>
        <w:tab/>
        <w:t>26–5</w:t>
      </w:r>
    </w:p>
    <w:p w14:paraId="48FF0D70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D8405B">
        <w:t>26.4</w:t>
      </w:r>
      <w:r>
        <w:rPr>
          <w:rFonts w:eastAsiaTheme="minorEastAsia"/>
          <w:sz w:val="22"/>
          <w:lang w:eastAsia="en-AU"/>
        </w:rPr>
        <w:tab/>
      </w:r>
      <w:r w:rsidRPr="00D8405B">
        <w:t>Operation impact assessment</w:t>
      </w:r>
      <w:r>
        <w:rPr>
          <w:webHidden/>
        </w:rPr>
        <w:tab/>
        <w:t>26–7</w:t>
      </w:r>
    </w:p>
    <w:p w14:paraId="7BB34DBD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D8405B">
        <w:t>26.4.1</w:t>
      </w:r>
      <w:r>
        <w:rPr>
          <w:rFonts w:eastAsiaTheme="minorEastAsia"/>
          <w:sz w:val="22"/>
          <w:lang w:eastAsia="en-AU"/>
        </w:rPr>
        <w:tab/>
      </w:r>
      <w:r w:rsidRPr="00D8405B">
        <w:t>Operation emissions from electricity consumption and maintenance</w:t>
      </w:r>
      <w:r>
        <w:rPr>
          <w:webHidden/>
        </w:rPr>
        <w:tab/>
        <w:t>26–7</w:t>
      </w:r>
    </w:p>
    <w:p w14:paraId="28BA3383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D8405B">
        <w:t>26.4.2</w:t>
      </w:r>
      <w:r>
        <w:rPr>
          <w:rFonts w:eastAsiaTheme="minorEastAsia"/>
          <w:sz w:val="22"/>
          <w:lang w:eastAsia="en-AU"/>
        </w:rPr>
        <w:tab/>
      </w:r>
      <w:r w:rsidRPr="00D8405B">
        <w:t>Operation emissions from vehicle traffic</w:t>
      </w:r>
      <w:r>
        <w:rPr>
          <w:webHidden/>
        </w:rPr>
        <w:tab/>
        <w:t>26–9</w:t>
      </w:r>
    </w:p>
    <w:p w14:paraId="0A56F924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D8405B">
        <w:t>26.4.3</w:t>
      </w:r>
      <w:r>
        <w:rPr>
          <w:rFonts w:eastAsiaTheme="minorEastAsia"/>
          <w:sz w:val="22"/>
          <w:lang w:eastAsia="en-AU"/>
        </w:rPr>
        <w:tab/>
      </w:r>
      <w:r w:rsidRPr="00D8405B">
        <w:t>Contribution to Victorian target</w:t>
      </w:r>
      <w:r>
        <w:rPr>
          <w:webHidden/>
        </w:rPr>
        <w:tab/>
        <w:t>26–11</w:t>
      </w:r>
    </w:p>
    <w:p w14:paraId="45A097AB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D8405B">
        <w:t>26.5</w:t>
      </w:r>
      <w:r>
        <w:rPr>
          <w:rFonts w:eastAsiaTheme="minorEastAsia"/>
          <w:sz w:val="22"/>
          <w:lang w:eastAsia="en-AU"/>
        </w:rPr>
        <w:tab/>
      </w:r>
      <w:r w:rsidRPr="00D8405B">
        <w:t>Environmental performance requirements</w:t>
      </w:r>
      <w:r>
        <w:rPr>
          <w:webHidden/>
        </w:rPr>
        <w:tab/>
        <w:t>26–11</w:t>
      </w:r>
    </w:p>
    <w:p w14:paraId="3CE760CD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D8405B">
        <w:t>26.6</w:t>
      </w:r>
      <w:r>
        <w:rPr>
          <w:rFonts w:eastAsiaTheme="minorEastAsia"/>
          <w:sz w:val="22"/>
          <w:lang w:eastAsia="en-AU"/>
        </w:rPr>
        <w:tab/>
      </w:r>
      <w:r w:rsidRPr="00D8405B">
        <w:t>Conclusion</w:t>
      </w:r>
      <w:r>
        <w:rPr>
          <w:webHidden/>
        </w:rPr>
        <w:tab/>
        <w:t>26–12</w:t>
      </w:r>
    </w:p>
    <w:p w14:paraId="1D5E7617" w14:textId="77777777" w:rsidR="002D31F6" w:rsidRDefault="002D31F6" w:rsidP="002D31F6">
      <w:pPr>
        <w:pStyle w:val="TOC1"/>
        <w:rPr>
          <w:rFonts w:eastAsiaTheme="minorEastAsia"/>
          <w:color w:val="auto"/>
          <w:lang w:eastAsia="en-AU"/>
        </w:rPr>
      </w:pPr>
      <w:r w:rsidRPr="00263584">
        <w:t>Chapter 27</w:t>
      </w:r>
      <w:r>
        <w:rPr>
          <w:rFonts w:eastAsiaTheme="minorEastAsia"/>
          <w:color w:val="auto"/>
          <w:lang w:eastAsia="en-AU"/>
        </w:rPr>
        <w:tab/>
      </w:r>
      <w:r w:rsidRPr="00263584">
        <w:t>Environmental management framework</w:t>
      </w:r>
      <w:r>
        <w:rPr>
          <w:webHidden/>
        </w:rPr>
        <w:tab/>
        <w:t>27–1</w:t>
      </w:r>
    </w:p>
    <w:p w14:paraId="4BE50C13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263584">
        <w:t>27.1</w:t>
      </w:r>
      <w:r>
        <w:rPr>
          <w:rFonts w:eastAsiaTheme="minorEastAsia"/>
          <w:sz w:val="22"/>
          <w:lang w:eastAsia="en-AU"/>
        </w:rPr>
        <w:tab/>
      </w:r>
      <w:r w:rsidRPr="00263584">
        <w:t>Introduction</w:t>
      </w:r>
      <w:r>
        <w:rPr>
          <w:webHidden/>
        </w:rPr>
        <w:tab/>
        <w:t>27–1</w:t>
      </w:r>
    </w:p>
    <w:p w14:paraId="2D0D1154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263584">
        <w:t>27.2</w:t>
      </w:r>
      <w:r>
        <w:rPr>
          <w:rFonts w:eastAsiaTheme="minorEastAsia"/>
          <w:sz w:val="22"/>
          <w:lang w:eastAsia="en-AU"/>
        </w:rPr>
        <w:tab/>
      </w:r>
      <w:r w:rsidRPr="00263584">
        <w:t>Roles and responsibilities</w:t>
      </w:r>
      <w:r>
        <w:rPr>
          <w:webHidden/>
        </w:rPr>
        <w:tab/>
        <w:t>27–2</w:t>
      </w:r>
    </w:p>
    <w:p w14:paraId="695E8C32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263584">
        <w:t>27.3</w:t>
      </w:r>
      <w:r>
        <w:rPr>
          <w:rFonts w:eastAsiaTheme="minorEastAsia"/>
          <w:sz w:val="22"/>
          <w:lang w:eastAsia="en-AU"/>
        </w:rPr>
        <w:tab/>
      </w:r>
      <w:r w:rsidRPr="00263584">
        <w:t>Statutory approvals and consents</w:t>
      </w:r>
      <w:r>
        <w:rPr>
          <w:webHidden/>
        </w:rPr>
        <w:tab/>
        <w:t>27–8</w:t>
      </w:r>
    </w:p>
    <w:p w14:paraId="6B353B58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263584">
        <w:t>27.4</w:t>
      </w:r>
      <w:r>
        <w:rPr>
          <w:rFonts w:eastAsiaTheme="minorEastAsia"/>
          <w:sz w:val="22"/>
          <w:lang w:eastAsia="en-AU"/>
        </w:rPr>
        <w:tab/>
      </w:r>
      <w:r w:rsidRPr="00263584">
        <w:t>Risk assessment</w:t>
      </w:r>
      <w:r>
        <w:rPr>
          <w:webHidden/>
        </w:rPr>
        <w:tab/>
        <w:t>27–8</w:t>
      </w:r>
    </w:p>
    <w:p w14:paraId="74328F5C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263584">
        <w:t>27.5</w:t>
      </w:r>
      <w:r>
        <w:rPr>
          <w:rFonts w:eastAsiaTheme="minorEastAsia"/>
          <w:sz w:val="22"/>
          <w:lang w:eastAsia="en-AU"/>
        </w:rPr>
        <w:tab/>
      </w:r>
      <w:r w:rsidRPr="00263584">
        <w:t>Environmental management documentation</w:t>
      </w:r>
      <w:r>
        <w:rPr>
          <w:webHidden/>
        </w:rPr>
        <w:tab/>
        <w:t>27–9</w:t>
      </w:r>
    </w:p>
    <w:p w14:paraId="52B2A7F1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63584">
        <w:t>27.5.1</w:t>
      </w:r>
      <w:r>
        <w:rPr>
          <w:rFonts w:eastAsiaTheme="minorEastAsia"/>
          <w:sz w:val="22"/>
          <w:lang w:eastAsia="en-AU"/>
        </w:rPr>
        <w:tab/>
      </w:r>
      <w:r w:rsidRPr="00263584">
        <w:t>Environmental management systems</w:t>
      </w:r>
      <w:r>
        <w:rPr>
          <w:webHidden/>
        </w:rPr>
        <w:tab/>
        <w:t>27–11</w:t>
      </w:r>
    </w:p>
    <w:p w14:paraId="2AE1BB91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63584">
        <w:t>27.5.2</w:t>
      </w:r>
      <w:r>
        <w:rPr>
          <w:rFonts w:eastAsiaTheme="minorEastAsia"/>
          <w:sz w:val="22"/>
          <w:lang w:eastAsia="en-AU"/>
        </w:rPr>
        <w:tab/>
      </w:r>
      <w:r w:rsidRPr="00263584">
        <w:t>Environmental management documents</w:t>
      </w:r>
      <w:r>
        <w:rPr>
          <w:webHidden/>
        </w:rPr>
        <w:tab/>
        <w:t>27–12</w:t>
      </w:r>
    </w:p>
    <w:p w14:paraId="30E57C8C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263584">
        <w:t>27.6</w:t>
      </w:r>
      <w:r>
        <w:rPr>
          <w:rFonts w:eastAsiaTheme="minorEastAsia"/>
          <w:sz w:val="22"/>
          <w:lang w:eastAsia="en-AU"/>
        </w:rPr>
        <w:tab/>
      </w:r>
      <w:r w:rsidRPr="00263584">
        <w:t>Evaluating compliance</w:t>
      </w:r>
      <w:r>
        <w:rPr>
          <w:webHidden/>
        </w:rPr>
        <w:tab/>
        <w:t>27–19</w:t>
      </w:r>
    </w:p>
    <w:p w14:paraId="6EE7DCA6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63584">
        <w:t>27.6.1</w:t>
      </w:r>
      <w:r>
        <w:rPr>
          <w:rFonts w:eastAsiaTheme="minorEastAsia"/>
          <w:sz w:val="22"/>
          <w:lang w:eastAsia="en-AU"/>
        </w:rPr>
        <w:tab/>
      </w:r>
      <w:r w:rsidRPr="00263584">
        <w:t>Monitoring</w:t>
      </w:r>
      <w:r>
        <w:rPr>
          <w:webHidden/>
        </w:rPr>
        <w:tab/>
        <w:t>27–19</w:t>
      </w:r>
    </w:p>
    <w:p w14:paraId="5008CBAF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63584">
        <w:t>27.6.2</w:t>
      </w:r>
      <w:r>
        <w:rPr>
          <w:rFonts w:eastAsiaTheme="minorEastAsia"/>
          <w:sz w:val="22"/>
          <w:lang w:eastAsia="en-AU"/>
        </w:rPr>
        <w:tab/>
      </w:r>
      <w:r w:rsidRPr="00263584">
        <w:t>Auditing</w:t>
      </w:r>
      <w:r>
        <w:rPr>
          <w:webHidden/>
        </w:rPr>
        <w:tab/>
        <w:t>27–20</w:t>
      </w:r>
    </w:p>
    <w:p w14:paraId="7C7ACA51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63584">
        <w:t>27.6.3</w:t>
      </w:r>
      <w:r>
        <w:rPr>
          <w:rFonts w:eastAsiaTheme="minorEastAsia"/>
          <w:sz w:val="22"/>
          <w:lang w:eastAsia="en-AU"/>
        </w:rPr>
        <w:tab/>
      </w:r>
      <w:r w:rsidRPr="00263584">
        <w:t>Reporting</w:t>
      </w:r>
      <w:r>
        <w:rPr>
          <w:webHidden/>
        </w:rPr>
        <w:tab/>
        <w:t>27–21</w:t>
      </w:r>
    </w:p>
    <w:p w14:paraId="0DB08C26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263584">
        <w:t>27.7</w:t>
      </w:r>
      <w:r>
        <w:rPr>
          <w:rFonts w:eastAsiaTheme="minorEastAsia"/>
          <w:sz w:val="22"/>
          <w:lang w:eastAsia="en-AU"/>
        </w:rPr>
        <w:tab/>
      </w:r>
      <w:r w:rsidRPr="00263584">
        <w:t>Environmental performance requirements</w:t>
      </w:r>
      <w:r>
        <w:rPr>
          <w:webHidden/>
        </w:rPr>
        <w:tab/>
        <w:t>27–23</w:t>
      </w:r>
    </w:p>
    <w:p w14:paraId="48FD580F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63584">
        <w:t>27.7.1</w:t>
      </w:r>
      <w:r>
        <w:rPr>
          <w:rFonts w:eastAsiaTheme="minorEastAsia"/>
          <w:sz w:val="22"/>
          <w:lang w:eastAsia="en-AU"/>
        </w:rPr>
        <w:tab/>
      </w:r>
      <w:r w:rsidRPr="00263584">
        <w:t>Consultation required by EPRs</w:t>
      </w:r>
      <w:r>
        <w:rPr>
          <w:webHidden/>
        </w:rPr>
        <w:tab/>
        <w:t>27–23</w:t>
      </w:r>
    </w:p>
    <w:p w14:paraId="3A281184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263584">
        <w:t>27.7.2</w:t>
      </w:r>
      <w:r>
        <w:rPr>
          <w:rFonts w:eastAsiaTheme="minorEastAsia"/>
          <w:sz w:val="22"/>
          <w:lang w:eastAsia="en-AU"/>
        </w:rPr>
        <w:tab/>
      </w:r>
      <w:r w:rsidRPr="00263584">
        <w:t>Recommended EPRs</w:t>
      </w:r>
      <w:r>
        <w:rPr>
          <w:webHidden/>
        </w:rPr>
        <w:tab/>
        <w:t>27–24</w:t>
      </w:r>
    </w:p>
    <w:p w14:paraId="0E930FF8" w14:textId="77777777" w:rsidR="002D31F6" w:rsidRDefault="002D31F6" w:rsidP="002D31F6">
      <w:pPr>
        <w:pStyle w:val="TOC1"/>
        <w:pageBreakBefore/>
        <w:rPr>
          <w:rFonts w:eastAsiaTheme="minorEastAsia"/>
          <w:color w:val="auto"/>
          <w:lang w:eastAsia="en-AU"/>
        </w:rPr>
      </w:pPr>
      <w:r w:rsidRPr="00C55E7E">
        <w:lastRenderedPageBreak/>
        <w:t>Chapter 28</w:t>
      </w:r>
      <w:r>
        <w:rPr>
          <w:rFonts w:eastAsiaTheme="minorEastAsia"/>
          <w:color w:val="auto"/>
          <w:lang w:eastAsia="en-AU"/>
        </w:rPr>
        <w:tab/>
      </w:r>
      <w:r w:rsidRPr="00C55E7E">
        <w:t>Conclusion</w:t>
      </w:r>
      <w:r>
        <w:rPr>
          <w:webHidden/>
        </w:rPr>
        <w:tab/>
        <w:t>28–1</w:t>
      </w:r>
    </w:p>
    <w:p w14:paraId="3AD84E06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C55E7E">
        <w:t>28.1</w:t>
      </w:r>
      <w:r>
        <w:rPr>
          <w:rFonts w:eastAsiaTheme="minorEastAsia"/>
          <w:sz w:val="22"/>
          <w:lang w:eastAsia="en-AU"/>
        </w:rPr>
        <w:tab/>
      </w:r>
      <w:r w:rsidRPr="00C55E7E">
        <w:t>Overview</w:t>
      </w:r>
      <w:r>
        <w:rPr>
          <w:webHidden/>
        </w:rPr>
        <w:tab/>
        <w:t>28–1</w:t>
      </w:r>
    </w:p>
    <w:p w14:paraId="1736071C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C55E7E">
        <w:t>28.2</w:t>
      </w:r>
      <w:r>
        <w:rPr>
          <w:rFonts w:eastAsiaTheme="minorEastAsia"/>
          <w:sz w:val="22"/>
          <w:lang w:eastAsia="en-AU"/>
        </w:rPr>
        <w:tab/>
      </w:r>
      <w:r w:rsidRPr="00C55E7E">
        <w:t>Reference design and Environmental Performance Requirements</w:t>
      </w:r>
      <w:r>
        <w:rPr>
          <w:webHidden/>
        </w:rPr>
        <w:tab/>
        <w:t>28–2</w:t>
      </w:r>
    </w:p>
    <w:p w14:paraId="0EBB893A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C55E7E">
        <w:t>28.3</w:t>
      </w:r>
      <w:r>
        <w:rPr>
          <w:rFonts w:eastAsiaTheme="minorEastAsia"/>
          <w:sz w:val="22"/>
          <w:lang w:eastAsia="en-AU"/>
        </w:rPr>
        <w:tab/>
      </w:r>
      <w:r w:rsidRPr="00C55E7E">
        <w:t>Project evaluation against the scoping requirements</w:t>
      </w:r>
      <w:r>
        <w:rPr>
          <w:webHidden/>
        </w:rPr>
        <w:tab/>
        <w:t>28–2</w:t>
      </w:r>
    </w:p>
    <w:p w14:paraId="4B8C378F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55E7E">
        <w:t>28.3.1</w:t>
      </w:r>
      <w:r>
        <w:rPr>
          <w:rFonts w:eastAsiaTheme="minorEastAsia"/>
          <w:sz w:val="22"/>
          <w:lang w:eastAsia="en-AU"/>
        </w:rPr>
        <w:tab/>
      </w:r>
      <w:r w:rsidRPr="00C55E7E">
        <w:t>Transport capacity, connectivity and traffic management</w:t>
      </w:r>
      <w:r>
        <w:rPr>
          <w:webHidden/>
        </w:rPr>
        <w:tab/>
        <w:t>28–2</w:t>
      </w:r>
    </w:p>
    <w:p w14:paraId="5D3C395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55E7E">
        <w:t>28.3.2</w:t>
      </w:r>
      <w:r>
        <w:rPr>
          <w:rFonts w:eastAsiaTheme="minorEastAsia"/>
          <w:sz w:val="22"/>
          <w:lang w:eastAsia="en-AU"/>
        </w:rPr>
        <w:tab/>
      </w:r>
      <w:r w:rsidRPr="00C55E7E">
        <w:t>Health, amenity and environmental quality</w:t>
      </w:r>
      <w:r>
        <w:rPr>
          <w:webHidden/>
        </w:rPr>
        <w:tab/>
        <w:t>28–4</w:t>
      </w:r>
    </w:p>
    <w:p w14:paraId="6A70E159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55E7E">
        <w:t>28.3.3</w:t>
      </w:r>
      <w:r>
        <w:rPr>
          <w:rFonts w:eastAsiaTheme="minorEastAsia"/>
          <w:sz w:val="22"/>
          <w:lang w:eastAsia="en-AU"/>
        </w:rPr>
        <w:tab/>
      </w:r>
      <w:r w:rsidRPr="00C55E7E">
        <w:t>Social, business, land use and infrastructure</w:t>
      </w:r>
      <w:r>
        <w:rPr>
          <w:webHidden/>
        </w:rPr>
        <w:tab/>
        <w:t>28–5</w:t>
      </w:r>
    </w:p>
    <w:p w14:paraId="07820141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55E7E">
        <w:t>28.3.4</w:t>
      </w:r>
      <w:r>
        <w:rPr>
          <w:rFonts w:eastAsiaTheme="minorEastAsia"/>
          <w:sz w:val="22"/>
          <w:lang w:eastAsia="en-AU"/>
        </w:rPr>
        <w:tab/>
      </w:r>
      <w:r w:rsidRPr="00C55E7E">
        <w:t>Landscape, visual and recreational values</w:t>
      </w:r>
      <w:r>
        <w:rPr>
          <w:webHidden/>
        </w:rPr>
        <w:tab/>
        <w:t>28–6</w:t>
      </w:r>
    </w:p>
    <w:p w14:paraId="2176E000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55E7E">
        <w:t>28.3.5</w:t>
      </w:r>
      <w:r>
        <w:rPr>
          <w:rFonts w:eastAsiaTheme="minorEastAsia"/>
          <w:sz w:val="22"/>
          <w:lang w:eastAsia="en-AU"/>
        </w:rPr>
        <w:tab/>
      </w:r>
      <w:r w:rsidRPr="00C55E7E">
        <w:t>Habitat and biodiversity</w:t>
      </w:r>
      <w:r>
        <w:rPr>
          <w:webHidden/>
        </w:rPr>
        <w:tab/>
        <w:t>28–7</w:t>
      </w:r>
    </w:p>
    <w:p w14:paraId="687C1B1E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55E7E">
        <w:t>28.3.6</w:t>
      </w:r>
      <w:r>
        <w:rPr>
          <w:rFonts w:eastAsiaTheme="minorEastAsia"/>
          <w:sz w:val="22"/>
          <w:lang w:eastAsia="en-AU"/>
        </w:rPr>
        <w:tab/>
      </w:r>
      <w:r w:rsidRPr="00C55E7E">
        <w:t>Cultural heritage</w:t>
      </w:r>
      <w:r>
        <w:rPr>
          <w:webHidden/>
        </w:rPr>
        <w:tab/>
        <w:t>28–8</w:t>
      </w:r>
    </w:p>
    <w:p w14:paraId="7C2933CC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55E7E">
        <w:t>28.3.7</w:t>
      </w:r>
      <w:r>
        <w:rPr>
          <w:rFonts w:eastAsiaTheme="minorEastAsia"/>
          <w:sz w:val="22"/>
          <w:lang w:eastAsia="en-AU"/>
        </w:rPr>
        <w:tab/>
      </w:r>
      <w:r w:rsidRPr="00C55E7E">
        <w:t>Land stability</w:t>
      </w:r>
      <w:r>
        <w:rPr>
          <w:webHidden/>
        </w:rPr>
        <w:tab/>
        <w:t>28–9</w:t>
      </w:r>
    </w:p>
    <w:p w14:paraId="53B51A82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55E7E">
        <w:t>28.3.8</w:t>
      </w:r>
      <w:r>
        <w:rPr>
          <w:rFonts w:eastAsiaTheme="minorEastAsia"/>
          <w:sz w:val="22"/>
          <w:lang w:eastAsia="en-AU"/>
        </w:rPr>
        <w:tab/>
      </w:r>
      <w:r w:rsidRPr="00C55E7E">
        <w:t>Waste management</w:t>
      </w:r>
      <w:r>
        <w:rPr>
          <w:webHidden/>
        </w:rPr>
        <w:tab/>
        <w:t>28–10</w:t>
      </w:r>
    </w:p>
    <w:p w14:paraId="65C6E1BD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55E7E">
        <w:t>28.3.9</w:t>
      </w:r>
      <w:r>
        <w:rPr>
          <w:rFonts w:eastAsiaTheme="minorEastAsia"/>
          <w:sz w:val="22"/>
          <w:lang w:eastAsia="en-AU"/>
        </w:rPr>
        <w:tab/>
      </w:r>
      <w:r w:rsidRPr="00C55E7E">
        <w:t>Catchment values</w:t>
      </w:r>
      <w:r>
        <w:rPr>
          <w:webHidden/>
        </w:rPr>
        <w:tab/>
        <w:t>28–10</w:t>
      </w:r>
    </w:p>
    <w:p w14:paraId="19CEFACF" w14:textId="77777777" w:rsidR="002D31F6" w:rsidRDefault="002D31F6" w:rsidP="002D31F6">
      <w:pPr>
        <w:pStyle w:val="TOC3"/>
        <w:rPr>
          <w:rFonts w:eastAsiaTheme="minorEastAsia"/>
          <w:sz w:val="22"/>
          <w:lang w:eastAsia="en-AU"/>
        </w:rPr>
      </w:pPr>
      <w:r w:rsidRPr="00C55E7E">
        <w:t>28.3.10</w:t>
      </w:r>
      <w:r>
        <w:rPr>
          <w:rFonts w:eastAsiaTheme="minorEastAsia"/>
          <w:sz w:val="22"/>
          <w:lang w:eastAsia="en-AU"/>
        </w:rPr>
        <w:tab/>
      </w:r>
      <w:r w:rsidRPr="00C55E7E">
        <w:t>Greenhouse gases</w:t>
      </w:r>
      <w:r>
        <w:rPr>
          <w:webHidden/>
        </w:rPr>
        <w:tab/>
        <w:t>28–11</w:t>
      </w:r>
    </w:p>
    <w:p w14:paraId="3478A74C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C55E7E">
        <w:t>28.4</w:t>
      </w:r>
      <w:r>
        <w:rPr>
          <w:rFonts w:eastAsiaTheme="minorEastAsia"/>
          <w:sz w:val="22"/>
          <w:lang w:eastAsia="en-AU"/>
        </w:rPr>
        <w:tab/>
      </w:r>
      <w:r w:rsidRPr="00C55E7E">
        <w:t>Environmental Management Framework</w:t>
      </w:r>
      <w:r>
        <w:rPr>
          <w:webHidden/>
        </w:rPr>
        <w:tab/>
        <w:t>28–13</w:t>
      </w:r>
    </w:p>
    <w:p w14:paraId="13B6EF1F" w14:textId="77777777" w:rsidR="002D31F6" w:rsidRDefault="002D31F6" w:rsidP="002D31F6">
      <w:pPr>
        <w:pStyle w:val="TOC2"/>
        <w:rPr>
          <w:rFonts w:eastAsiaTheme="minorEastAsia"/>
          <w:sz w:val="22"/>
          <w:lang w:eastAsia="en-AU"/>
        </w:rPr>
      </w:pPr>
      <w:r w:rsidRPr="00C55E7E">
        <w:t>28.5</w:t>
      </w:r>
      <w:r>
        <w:rPr>
          <w:rFonts w:eastAsiaTheme="minorEastAsia"/>
          <w:sz w:val="22"/>
          <w:lang w:eastAsia="en-AU"/>
        </w:rPr>
        <w:tab/>
      </w:r>
      <w:r w:rsidRPr="00C55E7E">
        <w:t>Next steps</w:t>
      </w:r>
      <w:r>
        <w:rPr>
          <w:webHidden/>
        </w:rPr>
        <w:tab/>
        <w:t>28–14</w:t>
      </w:r>
    </w:p>
    <w:p w14:paraId="737CEE54" w14:textId="77777777" w:rsidR="00B972FE" w:rsidRPr="00B972FE" w:rsidRDefault="00B972FE" w:rsidP="00B972FE">
      <w:pPr>
        <w:pStyle w:val="BodyText"/>
      </w:pPr>
    </w:p>
    <w:p w14:paraId="6787B757" w14:textId="77777777" w:rsidR="00E06653" w:rsidRDefault="00E06653" w:rsidP="00E06653">
      <w:pPr>
        <w:pStyle w:val="TOCHeading"/>
      </w:pPr>
      <w:r>
        <w:lastRenderedPageBreak/>
        <w:t>Attachments</w:t>
      </w:r>
    </w:p>
    <w:p w14:paraId="5C918495" w14:textId="77777777" w:rsidR="00E06653" w:rsidRDefault="00E06653" w:rsidP="00E06653">
      <w:pPr>
        <w:pStyle w:val="TOC2"/>
      </w:pPr>
      <w:r>
        <w:t>I</w:t>
      </w:r>
      <w:r>
        <w:tab/>
        <w:t>Urban design strategy</w:t>
      </w:r>
    </w:p>
    <w:p w14:paraId="55982B42" w14:textId="77777777" w:rsidR="00E06653" w:rsidRDefault="00E06653" w:rsidP="00E06653">
      <w:pPr>
        <w:pStyle w:val="TOC2"/>
      </w:pPr>
      <w:r>
        <w:t>II</w:t>
      </w:r>
      <w:r>
        <w:tab/>
        <w:t>Sustainability</w:t>
      </w:r>
    </w:p>
    <w:p w14:paraId="49C068BB" w14:textId="77777777" w:rsidR="00E06653" w:rsidRDefault="00E06653" w:rsidP="00E06653">
      <w:pPr>
        <w:pStyle w:val="TOC2"/>
      </w:pPr>
      <w:r>
        <w:t>III</w:t>
      </w:r>
      <w:r>
        <w:tab/>
        <w:t>Risk report</w:t>
      </w:r>
    </w:p>
    <w:p w14:paraId="757E9B08" w14:textId="77777777" w:rsidR="00E06653" w:rsidRDefault="00E06653" w:rsidP="00E06653">
      <w:pPr>
        <w:pStyle w:val="TOC2"/>
      </w:pPr>
      <w:r>
        <w:t>IV</w:t>
      </w:r>
      <w:r>
        <w:tab/>
        <w:t>Stakeholder consultation report</w:t>
      </w:r>
    </w:p>
    <w:p w14:paraId="150E7E97" w14:textId="77777777" w:rsidR="00E06653" w:rsidRDefault="00E06653" w:rsidP="00E06653">
      <w:pPr>
        <w:pStyle w:val="TOC2"/>
      </w:pPr>
      <w:r>
        <w:t>V</w:t>
      </w:r>
      <w:r>
        <w:tab/>
        <w:t>Planning scheme amendment</w:t>
      </w:r>
    </w:p>
    <w:p w14:paraId="681B23EB" w14:textId="77777777" w:rsidR="00E06653" w:rsidRPr="00E06653" w:rsidRDefault="00E06653" w:rsidP="00E06653">
      <w:pPr>
        <w:pStyle w:val="TOC2"/>
      </w:pPr>
      <w:r>
        <w:t>VI</w:t>
      </w:r>
      <w:r>
        <w:tab/>
        <w:t>Works approval</w:t>
      </w:r>
    </w:p>
    <w:p w14:paraId="3BF2BA42" w14:textId="13FC3628" w:rsidR="00612E6D" w:rsidRDefault="00E06653" w:rsidP="00E06653">
      <w:pPr>
        <w:pStyle w:val="TOCHeading"/>
      </w:pPr>
      <w:r>
        <w:lastRenderedPageBreak/>
        <w:t>Technical reports</w:t>
      </w:r>
    </w:p>
    <w:p w14:paraId="718D9BBA" w14:textId="77777777" w:rsidR="00E06653" w:rsidRDefault="00E06653" w:rsidP="00E06653">
      <w:pPr>
        <w:pStyle w:val="TOC2"/>
      </w:pPr>
      <w:r>
        <w:t>A</w:t>
      </w:r>
      <w:r>
        <w:tab/>
        <w:t>Transport</w:t>
      </w:r>
    </w:p>
    <w:p w14:paraId="609C15F8" w14:textId="77777777" w:rsidR="00E06653" w:rsidRDefault="00E06653" w:rsidP="00E06653">
      <w:pPr>
        <w:pStyle w:val="TOC2"/>
      </w:pPr>
      <w:r>
        <w:t>B</w:t>
      </w:r>
      <w:r>
        <w:tab/>
        <w:t>Air quality</w:t>
      </w:r>
    </w:p>
    <w:p w14:paraId="5F03BE68" w14:textId="77777777" w:rsidR="00E06653" w:rsidRDefault="00E06653" w:rsidP="00E06653">
      <w:pPr>
        <w:pStyle w:val="TOC2"/>
      </w:pPr>
      <w:r>
        <w:t>C</w:t>
      </w:r>
      <w:r>
        <w:tab/>
        <w:t>Surface noise and vibration</w:t>
      </w:r>
    </w:p>
    <w:p w14:paraId="2DAC8A87" w14:textId="77777777" w:rsidR="00E06653" w:rsidRDefault="00E06653" w:rsidP="00E06653">
      <w:pPr>
        <w:pStyle w:val="TOC2"/>
      </w:pPr>
      <w:r>
        <w:t>D</w:t>
      </w:r>
      <w:r>
        <w:tab/>
        <w:t>Tunnel vibration</w:t>
      </w:r>
    </w:p>
    <w:p w14:paraId="4F4B225A" w14:textId="77777777" w:rsidR="00E06653" w:rsidRDefault="00E06653" w:rsidP="00E06653">
      <w:pPr>
        <w:pStyle w:val="TOC2"/>
      </w:pPr>
      <w:r>
        <w:t>E</w:t>
      </w:r>
      <w:r>
        <w:tab/>
        <w:t>Land use planning</w:t>
      </w:r>
    </w:p>
    <w:p w14:paraId="1071B136" w14:textId="77777777" w:rsidR="00E06653" w:rsidRDefault="00E06653" w:rsidP="00E06653">
      <w:pPr>
        <w:pStyle w:val="TOC2"/>
      </w:pPr>
      <w:r>
        <w:t>F</w:t>
      </w:r>
      <w:r>
        <w:tab/>
        <w:t>Business</w:t>
      </w:r>
    </w:p>
    <w:p w14:paraId="74A82846" w14:textId="77777777" w:rsidR="00E06653" w:rsidRDefault="00E06653" w:rsidP="00E06653">
      <w:pPr>
        <w:pStyle w:val="TOC2"/>
      </w:pPr>
      <w:r>
        <w:t>G</w:t>
      </w:r>
      <w:r>
        <w:tab/>
        <w:t>Arboriculture</w:t>
      </w:r>
    </w:p>
    <w:p w14:paraId="721E0674" w14:textId="77777777" w:rsidR="00E06653" w:rsidRDefault="00E06653" w:rsidP="00E06653">
      <w:pPr>
        <w:pStyle w:val="TOC2"/>
      </w:pPr>
      <w:r>
        <w:t>H</w:t>
      </w:r>
      <w:r>
        <w:tab/>
        <w:t>Landscape and visual</w:t>
      </w:r>
    </w:p>
    <w:p w14:paraId="04EA8841" w14:textId="77777777" w:rsidR="00E06653" w:rsidRDefault="00E06653" w:rsidP="00E06653">
      <w:pPr>
        <w:pStyle w:val="TOC2"/>
      </w:pPr>
      <w:r>
        <w:t>I</w:t>
      </w:r>
      <w:r>
        <w:tab/>
        <w:t>Social</w:t>
      </w:r>
    </w:p>
    <w:p w14:paraId="3479DFAF" w14:textId="77777777" w:rsidR="00E06653" w:rsidRDefault="00E06653" w:rsidP="00E06653">
      <w:pPr>
        <w:pStyle w:val="TOC2"/>
      </w:pPr>
      <w:r>
        <w:t>J</w:t>
      </w:r>
      <w:r>
        <w:tab/>
        <w:t>Human health</w:t>
      </w:r>
    </w:p>
    <w:p w14:paraId="42870DA6" w14:textId="77777777" w:rsidR="00E06653" w:rsidRDefault="00E06653" w:rsidP="00E06653">
      <w:pPr>
        <w:pStyle w:val="TOC2"/>
      </w:pPr>
      <w:r>
        <w:t>K</w:t>
      </w:r>
      <w:r>
        <w:tab/>
        <w:t>Historical heritage</w:t>
      </w:r>
    </w:p>
    <w:p w14:paraId="5223614F" w14:textId="77777777" w:rsidR="00E06653" w:rsidRDefault="00E06653" w:rsidP="00E06653">
      <w:pPr>
        <w:pStyle w:val="TOC2"/>
      </w:pPr>
      <w:r>
        <w:t>L</w:t>
      </w:r>
      <w:r>
        <w:tab/>
        <w:t>Aboriginal cultural heritage</w:t>
      </w:r>
    </w:p>
    <w:p w14:paraId="325902E5" w14:textId="77777777" w:rsidR="00E06653" w:rsidRDefault="00E06653" w:rsidP="00E06653">
      <w:pPr>
        <w:pStyle w:val="TOC2"/>
      </w:pPr>
      <w:r>
        <w:t>M</w:t>
      </w:r>
      <w:r>
        <w:tab/>
        <w:t>Ground movement</w:t>
      </w:r>
    </w:p>
    <w:p w14:paraId="1BD0D3F3" w14:textId="77777777" w:rsidR="00E06653" w:rsidRDefault="00E06653" w:rsidP="00E06653">
      <w:pPr>
        <w:pStyle w:val="TOC2"/>
      </w:pPr>
      <w:r>
        <w:t>N</w:t>
      </w:r>
      <w:r>
        <w:tab/>
        <w:t>Ground water</w:t>
      </w:r>
    </w:p>
    <w:p w14:paraId="355FD311" w14:textId="77777777" w:rsidR="00E06653" w:rsidRDefault="00E06653" w:rsidP="00E06653">
      <w:pPr>
        <w:pStyle w:val="TOC2"/>
      </w:pPr>
      <w:r>
        <w:t>O</w:t>
      </w:r>
      <w:r>
        <w:tab/>
        <w:t>Contaminated soil</w:t>
      </w:r>
    </w:p>
    <w:p w14:paraId="3830F916" w14:textId="77777777" w:rsidR="00E06653" w:rsidRDefault="00E06653" w:rsidP="00E06653">
      <w:pPr>
        <w:pStyle w:val="TOC2"/>
      </w:pPr>
      <w:r>
        <w:t>P</w:t>
      </w:r>
      <w:r>
        <w:tab/>
        <w:t>Surface water</w:t>
      </w:r>
    </w:p>
    <w:p w14:paraId="49D08686" w14:textId="77777777" w:rsidR="00E06653" w:rsidRDefault="00E06653" w:rsidP="00E06653">
      <w:pPr>
        <w:pStyle w:val="TOC2"/>
      </w:pPr>
      <w:r>
        <w:t>Q</w:t>
      </w:r>
      <w:r>
        <w:tab/>
        <w:t>Ecology</w:t>
      </w:r>
    </w:p>
    <w:p w14:paraId="4DB66955" w14:textId="5BFCC2CF" w:rsidR="00E06653" w:rsidRDefault="00E06653" w:rsidP="00E06653">
      <w:pPr>
        <w:pStyle w:val="TOC2"/>
      </w:pPr>
      <w:r>
        <w:t>R</w:t>
      </w:r>
      <w:r>
        <w:tab/>
        <w:t>Greenhouse gas</w:t>
      </w:r>
    </w:p>
    <w:sectPr w:rsidR="00E06653" w:rsidSect="00612E6D">
      <w:footerReference w:type="even" r:id="rId16"/>
      <w:footerReference w:type="default" r:id="rId17"/>
      <w:type w:val="oddPage"/>
      <w:pgSz w:w="11906" w:h="16838" w:code="9"/>
      <w:pgMar w:top="1134" w:right="1134" w:bottom="1134" w:left="1134" w:header="567" w:footer="567" w:gutter="567"/>
      <w:pgNumType w:fmt="lowerRoman" w:start="1" w:chapSep="e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AE37F2" w14:textId="77777777" w:rsidR="009B472D" w:rsidRDefault="009B472D" w:rsidP="00A02FC6">
      <w:r>
        <w:separator/>
      </w:r>
    </w:p>
    <w:p w14:paraId="5EA52304" w14:textId="77777777" w:rsidR="009B472D" w:rsidRDefault="009B472D"/>
    <w:p w14:paraId="003D4412" w14:textId="77777777" w:rsidR="009B472D" w:rsidRDefault="009B472D"/>
  </w:endnote>
  <w:endnote w:type="continuationSeparator" w:id="0">
    <w:p w14:paraId="61A76B26" w14:textId="77777777" w:rsidR="009B472D" w:rsidRDefault="009B472D" w:rsidP="00A02FC6">
      <w:r>
        <w:continuationSeparator/>
      </w:r>
    </w:p>
    <w:p w14:paraId="6EC67B33" w14:textId="77777777" w:rsidR="009B472D" w:rsidRDefault="009B472D"/>
    <w:p w14:paraId="4F715108" w14:textId="77777777" w:rsidR="009B472D" w:rsidRDefault="009B47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468D1545-FC09-46A9-861B-1F5CFB56CA46}"/>
    <w:embedBold r:id="rId2" w:fontKey="{4F352E7E-435E-4628-923F-9EE2E30AEF12}"/>
    <w:embedItalic r:id="rId3" w:fontKey="{30A60595-CED1-4ECD-927C-6A1A8482BE73}"/>
  </w:font>
  <w:font w:name="Nunito SemiBold">
    <w:panose1 w:val="00000700000000000000"/>
    <w:charset w:val="00"/>
    <w:family w:val="auto"/>
    <w:pitch w:val="variable"/>
    <w:sig w:usb0="20000007" w:usb1="00000001" w:usb2="00000000" w:usb3="00000000" w:csb0="00000193" w:csb1="00000000"/>
    <w:embedRegular r:id="rId4" w:fontKey="{A083FBD9-69B9-40B4-8181-64D498A3A8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020B53F-B606-422A-9597-6EDD82C86F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98D9A" w14:textId="5E23BBB7" w:rsidR="009B472D" w:rsidRPr="006A7B89" w:rsidRDefault="009B472D" w:rsidP="00AD6412">
    <w:pPr>
      <w:pStyle w:val="Evenfooter"/>
    </w:pPr>
    <w:r w:rsidRPr="006A7B89">
      <w:fldChar w:fldCharType="begin"/>
    </w:r>
    <w:r w:rsidRPr="006A7B89">
      <w:instrText xml:space="preserve"> PAGE   \* MERGEFORMAT </w:instrText>
    </w:r>
    <w:r w:rsidRPr="006A7B89">
      <w:fldChar w:fldCharType="separate"/>
    </w:r>
    <w:r w:rsidRPr="006A7B89">
      <w:t>10</w:t>
    </w:r>
    <w:r w:rsidRPr="006A7B89">
      <w:fldChar w:fldCharType="end"/>
    </w:r>
    <w:r w:rsidRPr="006A7B89">
      <w:t xml:space="preserve"> | </w:t>
    </w:r>
    <w:r>
      <w:rPr>
        <w:lang w:val="en-US"/>
      </w:rPr>
      <w:fldChar w:fldCharType="begin"/>
    </w:r>
    <w:r>
      <w:rPr>
        <w:lang w:val="en-US"/>
      </w:rPr>
      <w:instrText xml:space="preserve"> STYLEREF  "Heading 1" \w  \* MERGEFORMAT </w:instrText>
    </w:r>
    <w:r>
      <w:rPr>
        <w:lang w:val="en-US"/>
      </w:rPr>
      <w:fldChar w:fldCharType="separate"/>
    </w:r>
    <w:r>
      <w:rPr>
        <w:b/>
        <w:bCs/>
        <w:lang w:val="en-US"/>
      </w:rPr>
      <w:t>Error! No text of specified style in document.</w:t>
    </w:r>
    <w:r>
      <w:rPr>
        <w:lang w:val="en-US"/>
      </w:rPr>
      <w:fldChar w:fldCharType="end"/>
    </w:r>
    <w:r w:rsidRPr="006A7B89">
      <w:t xml:space="preserve"> – </w:t>
    </w:r>
    <w:r>
      <w:fldChar w:fldCharType="begin"/>
    </w:r>
    <w:r>
      <w:instrText xml:space="preserve"> STYLEREF  "Heading 1"  \* MERGEFORMAT </w:instrText>
    </w:r>
    <w:r>
      <w:fldChar w:fldCharType="separate"/>
    </w:r>
    <w:r>
      <w:rPr>
        <w:b/>
        <w:bCs/>
        <w:lang w:val="en-US"/>
      </w:rPr>
      <w:t>Error! No text of specified style in document.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F70FB" w14:textId="7782A14D" w:rsidR="009B472D" w:rsidRPr="00AD6412" w:rsidRDefault="009B472D" w:rsidP="00AD6412">
    <w:pPr>
      <w:pStyle w:val="Footer"/>
    </w:pPr>
    <w:r>
      <w:rPr>
        <w:lang w:val="en-US"/>
      </w:rPr>
      <w:fldChar w:fldCharType="begin"/>
    </w:r>
    <w:r>
      <w:rPr>
        <w:lang w:val="en-US"/>
      </w:rPr>
      <w:instrText xml:space="preserve"> STYLEREF  "TOC 1"  \* MERGEFORMAT </w:instrText>
    </w:r>
    <w:r>
      <w:rPr>
        <w:lang w:val="en-US"/>
      </w:rPr>
      <w:fldChar w:fldCharType="separate"/>
    </w:r>
    <w:r w:rsidRPr="00A73E71">
      <w:rPr>
        <w:b/>
        <w:bCs/>
        <w:lang w:val="en-US"/>
      </w:rPr>
      <w:t>A</w:t>
    </w:r>
    <w:r>
      <w:rPr>
        <w:lang w:val="en-US"/>
      </w:rPr>
      <w:t>&amp;G</w:t>
    </w:r>
    <w:r>
      <w:rPr>
        <w:lang w:val="en-US"/>
      </w:rPr>
      <w:tab/>
      <w:t>Abbreviations and glossary</w:t>
    </w:r>
    <w:r>
      <w:rPr>
        <w:lang w:val="en-US"/>
      </w:rPr>
      <w:tab/>
      <w:t>A&amp;G–1</w:t>
    </w:r>
    <w:r>
      <w:rPr>
        <w:lang w:val="en-US"/>
      </w:rPr>
      <w:fldChar w:fldCharType="end"/>
    </w:r>
    <w:r w:rsidRPr="00AD6412">
      <w:t xml:space="preserve"> – </w:t>
    </w:r>
    <w:r>
      <w:fldChar w:fldCharType="begin"/>
    </w:r>
    <w:r>
      <w:instrText xml:space="preserve"> STYLEREF  "Heading 1"  \* MERGEFORMAT </w:instrText>
    </w:r>
    <w:r>
      <w:fldChar w:fldCharType="separate"/>
    </w:r>
    <w:r>
      <w:rPr>
        <w:b/>
        <w:bCs/>
        <w:lang w:val="en-US"/>
      </w:rPr>
      <w:t>Error! No text of specified style in document.</w:t>
    </w:r>
    <w:r>
      <w:fldChar w:fldCharType="end"/>
    </w:r>
    <w:r w:rsidRPr="00AD6412">
      <w:t xml:space="preserve"> | </w:t>
    </w:r>
    <w:r w:rsidRPr="00AD6412">
      <w:fldChar w:fldCharType="begin"/>
    </w:r>
    <w:r w:rsidRPr="00AD6412">
      <w:instrText xml:space="preserve"> PAGE   \* MERGEFORMAT </w:instrText>
    </w:r>
    <w:r w:rsidRPr="00AD6412">
      <w:fldChar w:fldCharType="separate"/>
    </w:r>
    <w:r w:rsidRPr="00AD6412">
      <w:t>11</w:t>
    </w:r>
    <w:r w:rsidRPr="00AD641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32D2A" w14:textId="77777777" w:rsidR="009B472D" w:rsidRPr="00013A54" w:rsidRDefault="009B472D" w:rsidP="00013A54">
    <w:pPr>
      <w:pStyle w:val="Footer"/>
      <w:rPr>
        <w:rStyle w:val="PageNoChar"/>
      </w:rPr>
    </w:pPr>
    <w:r>
      <w:ptab w:relativeTo="margin" w:alignment="right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AFCD1" w14:textId="27DF043D" w:rsidR="009B472D" w:rsidRPr="006A7B89" w:rsidRDefault="009B472D" w:rsidP="00AD6412">
    <w:pPr>
      <w:pStyle w:val="Evenfooter"/>
    </w:pPr>
    <w:r w:rsidRPr="006A7B89">
      <w:fldChar w:fldCharType="begin"/>
    </w:r>
    <w:r w:rsidRPr="006A7B89">
      <w:instrText xml:space="preserve"> PAGE   \* MERGEFORMAT </w:instrText>
    </w:r>
    <w:r w:rsidRPr="006A7B89">
      <w:fldChar w:fldCharType="separate"/>
    </w:r>
    <w:r w:rsidRPr="006A7B89">
      <w:t>10</w:t>
    </w:r>
    <w:r w:rsidRPr="006A7B89">
      <w:fldChar w:fldCharType="end"/>
    </w:r>
    <w:r w:rsidRPr="006A7B89">
      <w:t xml:space="preserve"> | </w:t>
    </w:r>
    <w:r>
      <w:rPr>
        <w:lang w:val="en-US"/>
      </w:rPr>
      <w:t>Contents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9910D" w14:textId="6E9B2A13" w:rsidR="009B472D" w:rsidRPr="00AD6412" w:rsidRDefault="009B472D" w:rsidP="00AD6412">
    <w:pPr>
      <w:pStyle w:val="Footer"/>
    </w:pPr>
    <w:r>
      <w:rPr>
        <w:lang w:val="en-US"/>
      </w:rPr>
      <w:t>Contents</w:t>
    </w:r>
    <w:r w:rsidRPr="00AD6412">
      <w:t xml:space="preserve"> | </w:t>
    </w:r>
    <w:r w:rsidRPr="00AD6412">
      <w:fldChar w:fldCharType="begin"/>
    </w:r>
    <w:r w:rsidRPr="00AD6412">
      <w:instrText xml:space="preserve"> PAGE   \* MERGEFORMAT </w:instrText>
    </w:r>
    <w:r w:rsidRPr="00AD6412">
      <w:fldChar w:fldCharType="separate"/>
    </w:r>
    <w:r w:rsidRPr="00AD6412">
      <w:t>11</w:t>
    </w:r>
    <w:r w:rsidRPr="00AD64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75E00" w14:textId="77777777" w:rsidR="009B472D" w:rsidRDefault="009B472D" w:rsidP="0036083B">
      <w:pPr>
        <w:spacing w:before="360"/>
      </w:pPr>
      <w:r>
        <w:separator/>
      </w:r>
    </w:p>
    <w:p w14:paraId="3AFDE278" w14:textId="77777777" w:rsidR="009B472D" w:rsidRDefault="009B472D"/>
    <w:p w14:paraId="38E5DF79" w14:textId="77777777" w:rsidR="009B472D" w:rsidRDefault="009B472D"/>
  </w:footnote>
  <w:footnote w:type="continuationSeparator" w:id="0">
    <w:p w14:paraId="525D6350" w14:textId="77777777" w:rsidR="009B472D" w:rsidRDefault="009B472D" w:rsidP="0036083B">
      <w:pPr>
        <w:spacing w:before="360"/>
      </w:pPr>
      <w:r>
        <w:continuationSeparator/>
      </w:r>
    </w:p>
    <w:p w14:paraId="63B7E594" w14:textId="77777777" w:rsidR="009B472D" w:rsidRDefault="009B472D"/>
    <w:p w14:paraId="20EF3FBA" w14:textId="77777777" w:rsidR="009B472D" w:rsidRDefault="009B472D"/>
  </w:footnote>
  <w:footnote w:type="continuationNotice" w:id="1">
    <w:p w14:paraId="7D38B92F" w14:textId="77777777" w:rsidR="009B472D" w:rsidRDefault="009B472D" w:rsidP="00A02FC6"/>
    <w:p w14:paraId="042531E5" w14:textId="77777777" w:rsidR="009B472D" w:rsidRDefault="009B472D"/>
    <w:p w14:paraId="21F7CE5F" w14:textId="77777777" w:rsidR="009B472D" w:rsidRDefault="009B47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083DC" w14:textId="77777777" w:rsidR="009B472D" w:rsidRDefault="009B472D" w:rsidP="007C7AD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867EAB" wp14:editId="4FA7CB13">
              <wp:simplePos x="0" y="0"/>
              <wp:positionH relativeFrom="page">
                <wp:posOffset>0</wp:posOffset>
              </wp:positionH>
              <wp:positionV relativeFrom="page">
                <wp:posOffset>1080135</wp:posOffset>
              </wp:positionV>
              <wp:extent cx="15156000" cy="0"/>
              <wp:effectExtent l="0" t="0" r="0" b="0"/>
              <wp:wrapNone/>
              <wp:docPr id="23" name="Straight Connector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156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2E4C3A" id="Straight Connector 2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85.05pt" to="1193.4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k3DgIAAIUEAAAOAAAAZHJzL2Uyb0RvYy54bWysVNuO0zAQfUfiHyy/t0l6zUZNV9uW5QWx&#10;FQsf4HXsxpJvsk0vQvw7Y6dJESBxEQ/xdc7MnDnjrO7PSqIjc14YXeNinGPENDWN0Icaf/r4OCox&#10;8oHohkijWY0vzOP79etXq5Ot2MS0RjbMIXCifXWyNW5DsFWWedoyRfzYWKbhkhunSICtO2SNIyfw&#10;rmQ2yfNFdjKusc5Q5j2c7rpLvE7+OWc0PHHuWUCyxpBbSKNL40scs/WKVAdHbCvoNQ3yD1koIjQE&#10;HVztSCDosxM/uVKCOuMND2NqVGY4F5QlDsCmyH9g89wSyxIXKI63Q5n8/3NL3x/3DommxpMpRpoo&#10;0Og5OCIObUBbozVU0DgEl5EdO4d3PlxXHb8v26Kc7paPi9FmdleOZtPNdHQ3KzejYjkpN/PJw8Pi&#10;zexrRDeMVvAZR4I4sr7YcPJnbK66xzots5sfjI4EtC2iklnKsJ9TptnJ+iqRjC2Rllu9d2Acd97u&#10;XWRz5k7FGfRA59Qcl6E5gDOicFjMi/kiz6GJaH8J8XqkdT68ZUahuKixFDoKRypyhDS61HoTyO8W&#10;O63CRbJoLPUHxkGMGC2h0zNgW+k6koRSpkNPNVlHGBdSDsD898CrfYSy9ET+BjwgUmSjwwBWQhv3&#10;q+jh3KfMO/u+Ah3vWIIX01ySKqk00OtJxOu7jI/p+32C3/4e628AAAD//wMAUEsDBBQABgAIAAAA&#10;IQDMzpa43wAAAAkBAAAPAAAAZHJzL2Rvd25yZXYueG1sTI9RS8NAEITfhf6HYwu+iL202hpiLkWF&#10;0gcrYuMPuOa2SWhuL+QuaeqvdwVBH3dmmJ0vXY+2EQN2vnakYD6LQCAVztRUKvjMN7cxCB80Gd04&#10;QgUX9LDOJlepTow70wcO+1AKLiGfaAVVCG0ipS8qtNrPXIvE3tF1Vgc+u1KaTp+53DZyEUUraXVN&#10;/KHSLb5UWJz2vVWw3Tzj6/LSl/dmuc1vhnz39vUeK3U9HZ8eQQQcw18YfubzdMh408H1ZLxoFDBI&#10;YPUhmoNge3EXrxjl8CvJLJX/CbJvAAAA//8DAFBLAQItABQABgAIAAAAIQC2gziS/gAAAOEBAAAT&#10;AAAAAAAAAAAAAAAAAAAAAABbQ29udGVudF9UeXBlc10ueG1sUEsBAi0AFAAGAAgAAAAhADj9If/W&#10;AAAAlAEAAAsAAAAAAAAAAAAAAAAALwEAAF9yZWxzLy5yZWxzUEsBAi0AFAAGAAgAAAAhAEUIGTcO&#10;AgAAhQQAAA4AAAAAAAAAAAAAAAAALgIAAGRycy9lMm9Eb2MueG1sUEsBAi0AFAAGAAgAAAAhAMzO&#10;lrjfAAAACQEAAA8AAAAAAAAAAAAAAAAAaAQAAGRycy9kb3ducmV2LnhtbFBLBQYAAAAABAAEAPMA&#10;AAB0BQAAAAA=&#10;" strokecolor="#220d5c [3044]">
              <w10:wrap anchorx="page" anchory="page"/>
            </v:line>
          </w:pict>
        </mc:Fallback>
      </mc:AlternateContent>
    </w:r>
    <w:r>
      <w:t>Environment Effects Statement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C0975" w14:textId="77777777" w:rsidR="009B472D" w:rsidRDefault="009B472D" w:rsidP="005810AD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33C39D6C" wp14:editId="35E9332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434400" cy="1080000"/>
          <wp:effectExtent l="0" t="0" r="0" b="635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eader logo and backgroun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2" t="8178" r="2344"/>
                  <a:stretch/>
                </pic:blipFill>
                <pic:spPr bwMode="auto">
                  <a:xfrm>
                    <a:off x="0" y="0"/>
                    <a:ext cx="3434400" cy="10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13B05" w14:textId="6A6DF996" w:rsidR="009B472D" w:rsidRPr="00D3135D" w:rsidRDefault="009B472D" w:rsidP="000C3A8D">
    <w:pPr>
      <w:pStyle w:val="HeaderFirstPage"/>
    </w:pPr>
    <w:r>
      <w:drawing>
        <wp:anchor distT="0" distB="0" distL="114300" distR="114300" simplePos="0" relativeHeight="251663360" behindDoc="0" locked="1" layoutInCell="1" allowOverlap="1" wp14:anchorId="180CF012" wp14:editId="4D35F2E0">
          <wp:simplePos x="0" y="0"/>
          <wp:positionH relativeFrom="column">
            <wp:posOffset>-1080135</wp:posOffset>
          </wp:positionH>
          <wp:positionV relativeFrom="paragraph">
            <wp:posOffset>-360680</wp:posOffset>
          </wp:positionV>
          <wp:extent cx="7561571" cy="10693400"/>
          <wp:effectExtent l="0" t="0" r="1905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 0 To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71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135D">
      <w:t>Environment</w:t>
    </w:r>
    <w:r>
      <w:br/>
    </w:r>
    <w:r w:rsidRPr="00D3135D">
      <w:t>Effects Statement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2FC7A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86F6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469F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3CC25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294A7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E2D1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7261B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54865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18F3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D7D2843"/>
    <w:multiLevelType w:val="multilevel"/>
    <w:tmpl w:val="E6F85C04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18"/>
      </w:rPr>
    </w:lvl>
    <w:lvl w:ilvl="1">
      <w:start w:val="1"/>
      <w:numFmt w:val="bullet"/>
      <w:pStyle w:val="Table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18"/>
      </w:rPr>
    </w:lvl>
    <w:lvl w:ilvl="2">
      <w:start w:val="1"/>
      <w:numFmt w:val="bullet"/>
      <w:pStyle w:val="Table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18"/>
      </w:rPr>
    </w:lvl>
    <w:lvl w:ilvl="3">
      <w:start w:val="1"/>
      <w:numFmt w:val="decimal"/>
      <w:pStyle w:val="Table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Table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TableNumbering3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10" w15:restartNumberingAfterBreak="0">
    <w:nsid w:val="11621637"/>
    <w:multiLevelType w:val="multilevel"/>
    <w:tmpl w:val="471A262A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250E62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250E62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250E62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46F0A77"/>
    <w:multiLevelType w:val="multilevel"/>
    <w:tmpl w:val="F3908CAE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44C35FE"/>
    <w:multiLevelType w:val="multilevel"/>
    <w:tmpl w:val="7DDE2FA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250E62" w:themeColor="accent1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ascii="Arial" w:hAnsi="Arial" w:hint="default"/>
        <w:b w:val="0"/>
        <w:i w:val="0"/>
        <w:color w:val="250E62" w:themeColor="accent1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ascii="Arial" w:hAnsi="Arial" w:hint="default"/>
        <w:b w:val="0"/>
        <w:i w:val="0"/>
        <w:color w:val="250E62" w:themeColor="accent1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13" w15:restartNumberingAfterBreak="0">
    <w:nsid w:val="2C7376B5"/>
    <w:multiLevelType w:val="multilevel"/>
    <w:tmpl w:val="199E09C4"/>
    <w:lvl w:ilvl="0">
      <w:start w:val="1"/>
      <w:numFmt w:val="decimal"/>
      <w:pStyle w:val="Heading1"/>
      <w:lvlText w:val="Chapter %1"/>
      <w:lvlJc w:val="right"/>
      <w:pPr>
        <w:tabs>
          <w:tab w:val="num" w:pos="0"/>
        </w:tabs>
        <w:ind w:left="0" w:firstLine="0"/>
      </w:pPr>
      <w:rPr>
        <w:rFonts w:hint="default"/>
        <w:color w:val="FFFFFF" w:themeColor="background1"/>
        <w:sz w:val="16"/>
      </w:rPr>
    </w:lvl>
    <w:lvl w:ilvl="1">
      <w:start w:val="1"/>
      <w:numFmt w:val="decimal"/>
      <w:pStyle w:val="Heading2"/>
      <w:lvlText w:val="%1.%2"/>
      <w:lvlJc w:val="left"/>
      <w:pPr>
        <w:ind w:left="1418" w:hanging="1418"/>
      </w:pPr>
      <w:rPr>
        <w:rFonts w:hint="default"/>
        <w:color w:val="250E62" w:themeColor="accent1"/>
      </w:rPr>
    </w:lvl>
    <w:lvl w:ilvl="2">
      <w:start w:val="1"/>
      <w:numFmt w:val="decimal"/>
      <w:pStyle w:val="Heading3"/>
      <w:lvlText w:val="%1.%2.%3"/>
      <w:lvlJc w:val="left"/>
      <w:pPr>
        <w:ind w:left="1418" w:hanging="1418"/>
      </w:pPr>
      <w:rPr>
        <w:rFonts w:hint="default"/>
        <w:color w:val="009CA6" w:themeColor="accent2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5">
      <w:start w:val="1"/>
      <w:numFmt w:val="none"/>
      <w:lvlRestart w:val="0"/>
      <w:suff w:val="nothing"/>
      <w:lvlText w:val="%6%4"/>
      <w:lvlJc w:val="left"/>
      <w:pPr>
        <w:ind w:left="0" w:firstLine="0"/>
      </w:pPr>
      <w:rPr>
        <w:rFonts w:hint="default"/>
        <w:color w:val="636569" w:themeColor="text2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</w:abstractNum>
  <w:abstractNum w:abstractNumId="14" w15:restartNumberingAfterBreak="0">
    <w:nsid w:val="2F021BB3"/>
    <w:multiLevelType w:val="multilevel"/>
    <w:tmpl w:val="572829B8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color w:val="250E62" w:themeColor="accent1"/>
      </w:rPr>
    </w:lvl>
    <w:lvl w:ilvl="1">
      <w:start w:val="1"/>
      <w:numFmt w:val="lowerLetter"/>
      <w:lvlText w:val="%2"/>
      <w:lvlJc w:val="left"/>
      <w:pPr>
        <w:ind w:left="680" w:hanging="340"/>
      </w:pPr>
      <w:rPr>
        <w:rFonts w:hint="default"/>
        <w:color w:val="250E62" w:themeColor="accent1"/>
      </w:rPr>
    </w:lvl>
    <w:lvl w:ilvl="2">
      <w:start w:val="1"/>
      <w:numFmt w:val="lowerRoman"/>
      <w:lvlText w:val="%3"/>
      <w:lvlJc w:val="left"/>
      <w:pPr>
        <w:ind w:left="1021" w:hanging="341"/>
      </w:pPr>
      <w:rPr>
        <w:rFonts w:hint="default"/>
        <w:color w:val="250E62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A631707"/>
    <w:multiLevelType w:val="multilevel"/>
    <w:tmpl w:val="315CE1EC"/>
    <w:lvl w:ilvl="0">
      <w:start w:val="1"/>
      <w:numFmt w:val="upperLetter"/>
      <w:lvlText w:val="Appendix %1"/>
      <w:lvlJc w:val="left"/>
      <w:pPr>
        <w:ind w:left="2552" w:hanging="2552"/>
      </w:pPr>
      <w:rPr>
        <w:rFonts w:hint="default"/>
        <w:b w:val="0"/>
        <w:i w:val="0"/>
        <w:color w:val="636569" w:themeColor="text2"/>
        <w:sz w:val="40"/>
        <w:szCs w:val="36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  <w:b w:val="0"/>
        <w:i w:val="0"/>
        <w:color w:val="636569" w:themeColor="text2"/>
        <w:sz w:val="36"/>
        <w:szCs w:val="32"/>
      </w:rPr>
    </w:lvl>
    <w:lvl w:ilvl="2">
      <w:start w:val="1"/>
      <w:numFmt w:val="decimal"/>
      <w:lvlText w:val="%1.%2.%3"/>
      <w:lvlJc w:val="left"/>
      <w:pPr>
        <w:ind w:left="1191" w:hanging="1191"/>
      </w:pPr>
      <w:rPr>
        <w:rFonts w:hint="default"/>
        <w:b w:val="0"/>
        <w:i w:val="0"/>
        <w:color w:val="636569" w:themeColor="text2"/>
        <w:sz w:val="32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636569" w:themeColor="text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636569" w:themeColor="text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636569" w:themeColor="text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color w:val="250E62" w:themeColor="accent1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color w:val="250E62" w:themeColor="accent1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color w:val="250E62" w:themeColor="accent1"/>
        <w:sz w:val="22"/>
      </w:rPr>
    </w:lvl>
  </w:abstractNum>
  <w:abstractNum w:abstractNumId="16" w15:restartNumberingAfterBreak="0">
    <w:nsid w:val="3DBE5503"/>
    <w:multiLevelType w:val="multilevel"/>
    <w:tmpl w:val="B942B65C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F13E44"/>
    <w:multiLevelType w:val="multilevel"/>
    <w:tmpl w:val="BDFAA078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  <w:b w:val="0"/>
        <w:i w:val="0"/>
        <w:color w:val="636569" w:themeColor="text2"/>
        <w:sz w:val="40"/>
        <w:szCs w:val="36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  <w:b w:val="0"/>
        <w:i w:val="0"/>
        <w:color w:val="636569" w:themeColor="text2"/>
        <w:sz w:val="36"/>
        <w:szCs w:val="32"/>
      </w:rPr>
    </w:lvl>
    <w:lvl w:ilvl="2">
      <w:start w:val="1"/>
      <w:numFmt w:val="decimal"/>
      <w:lvlText w:val="%1.%2.%3"/>
      <w:lvlJc w:val="left"/>
      <w:pPr>
        <w:ind w:left="1191" w:hanging="1191"/>
      </w:pPr>
      <w:rPr>
        <w:rFonts w:hint="default"/>
        <w:b w:val="0"/>
        <w:i w:val="0"/>
        <w:color w:val="636569" w:themeColor="text2"/>
        <w:sz w:val="32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636569" w:themeColor="text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636569" w:themeColor="text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636569" w:themeColor="text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color w:val="250E62" w:themeColor="accent1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color w:val="250E62" w:themeColor="accent1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color w:val="250E62" w:themeColor="accent1"/>
        <w:sz w:val="22"/>
      </w:rPr>
    </w:lvl>
  </w:abstractNum>
  <w:abstractNum w:abstractNumId="18" w15:restartNumberingAfterBreak="0">
    <w:nsid w:val="44802F0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9866E13"/>
    <w:multiLevelType w:val="multilevel"/>
    <w:tmpl w:val="6F1AB578"/>
    <w:lvl w:ilvl="0">
      <w:start w:val="1"/>
      <w:numFmt w:val="decimal"/>
      <w:suff w:val="nothing"/>
      <w:lvlText w:val="Chapter %1"/>
      <w:lvlJc w:val="left"/>
      <w:pPr>
        <w:ind w:left="0" w:firstLine="0"/>
      </w:pPr>
      <w:rPr>
        <w:rFonts w:hint="default"/>
        <w:color w:val="009CA6" w:themeColor="accent2"/>
      </w:rPr>
    </w:lvl>
    <w:lvl w:ilvl="1">
      <w:start w:val="1"/>
      <w:numFmt w:val="decimal"/>
      <w:lvlText w:val="%1.%2"/>
      <w:lvlJc w:val="left"/>
      <w:pPr>
        <w:ind w:left="1418" w:hanging="1418"/>
      </w:pPr>
      <w:rPr>
        <w:rFonts w:hint="default"/>
        <w:color w:val="250E62" w:themeColor="accent1"/>
      </w:rPr>
    </w:lvl>
    <w:lvl w:ilvl="2">
      <w:start w:val="1"/>
      <w:numFmt w:val="decimal"/>
      <w:lvlText w:val="%1.%2.%3"/>
      <w:lvlJc w:val="left"/>
      <w:pPr>
        <w:ind w:left="1418" w:hanging="1418"/>
      </w:pPr>
      <w:rPr>
        <w:rFonts w:hint="default"/>
        <w:color w:val="009CA6" w:themeColor="accent2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5">
      <w:start w:val="1"/>
      <w:numFmt w:val="none"/>
      <w:lvlRestart w:val="0"/>
      <w:suff w:val="nothing"/>
      <w:lvlText w:val="%6%4"/>
      <w:lvlJc w:val="left"/>
      <w:pPr>
        <w:ind w:left="0" w:firstLine="0"/>
      </w:pPr>
      <w:rPr>
        <w:rFonts w:hint="default"/>
        <w:color w:val="636569" w:themeColor="text2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</w:abstractNum>
  <w:abstractNum w:abstractNumId="20" w15:restartNumberingAfterBreak="0">
    <w:nsid w:val="49D835B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DA834AF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94B3042"/>
    <w:multiLevelType w:val="multilevel"/>
    <w:tmpl w:val="636C80B0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250E62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250E62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250E62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FF67ADD"/>
    <w:multiLevelType w:val="multilevel"/>
    <w:tmpl w:val="92EC0104"/>
    <w:lvl w:ilvl="0">
      <w:start w:val="1"/>
      <w:numFmt w:val="bullet"/>
      <w:pStyle w:val="Body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pStyle w:val="Body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22"/>
      </w:rPr>
    </w:lvl>
    <w:lvl w:ilvl="2">
      <w:start w:val="1"/>
      <w:numFmt w:val="bullet"/>
      <w:pStyle w:val="Body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22"/>
        <w:szCs w:val="28"/>
      </w:rPr>
    </w:lvl>
    <w:lvl w:ilvl="3">
      <w:start w:val="1"/>
      <w:numFmt w:val="decimal"/>
      <w:pStyle w:val="Body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Body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BodyNumbering3"/>
      <w:lvlText w:val="%6%1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250E62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75CF5E10"/>
    <w:multiLevelType w:val="multilevel"/>
    <w:tmpl w:val="72549E40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  <w:color w:val="636569" w:themeColor="text2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  <w:color w:val="636569" w:themeColor="text2"/>
      </w:rPr>
    </w:lvl>
    <w:lvl w:ilvl="2">
      <w:start w:val="1"/>
      <w:numFmt w:val="decimal"/>
      <w:lvlText w:val="%1.%2.%3"/>
      <w:lvlJc w:val="left"/>
      <w:pPr>
        <w:ind w:left="1418" w:hanging="1418"/>
      </w:pPr>
      <w:rPr>
        <w:rFonts w:hint="default"/>
        <w:color w:val="250E62" w:themeColor="accent1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5">
      <w:start w:val="1"/>
      <w:numFmt w:val="none"/>
      <w:lvlRestart w:val="0"/>
      <w:suff w:val="nothing"/>
      <w:lvlText w:val="%6%4"/>
      <w:lvlJc w:val="left"/>
      <w:pPr>
        <w:ind w:left="0" w:firstLine="0"/>
      </w:pPr>
      <w:rPr>
        <w:rFonts w:hint="default"/>
        <w:color w:val="636569" w:themeColor="text2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</w:abstractNum>
  <w:abstractNum w:abstractNumId="25" w15:restartNumberingAfterBreak="0">
    <w:nsid w:val="78E3007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7"/>
  </w:num>
  <w:num w:numId="8">
    <w:abstractNumId w:val="5"/>
  </w:num>
  <w:num w:numId="9">
    <w:abstractNumId w:val="4"/>
  </w:num>
  <w:num w:numId="10">
    <w:abstractNumId w:val="1"/>
  </w:num>
  <w:num w:numId="11">
    <w:abstractNumId w:val="0"/>
  </w:num>
  <w:num w:numId="12">
    <w:abstractNumId w:val="23"/>
  </w:num>
  <w:num w:numId="13">
    <w:abstractNumId w:val="23"/>
    <w:lvlOverride w:ilvl="0">
      <w:lvl w:ilvl="0">
        <w:start w:val="1"/>
        <w:numFmt w:val="bullet"/>
        <w:pStyle w:val="BodyBullet1"/>
        <w:lvlText w:val=""/>
        <w:lvlJc w:val="left"/>
        <w:pPr>
          <w:ind w:left="34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1">
      <w:lvl w:ilvl="1">
        <w:start w:val="1"/>
        <w:numFmt w:val="bullet"/>
        <w:pStyle w:val="BodyBullet2"/>
        <w:lvlText w:val=""/>
        <w:lvlJc w:val="left"/>
        <w:pPr>
          <w:ind w:left="68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2">
      <w:lvl w:ilvl="2">
        <w:start w:val="1"/>
        <w:numFmt w:val="bullet"/>
        <w:pStyle w:val="BodyBullet3"/>
        <w:lvlText w:val=""/>
        <w:lvlJc w:val="left"/>
        <w:pPr>
          <w:ind w:left="102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3">
      <w:lvl w:ilvl="3">
        <w:start w:val="1"/>
        <w:numFmt w:val="bullet"/>
        <w:pStyle w:val="BodyNumbering1"/>
        <w:lvlText w:val=""/>
        <w:lvlJc w:val="left"/>
        <w:pPr>
          <w:ind w:left="340" w:hanging="34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pStyle w:val="BodyNumbering2"/>
        <w:lvlText w:val=""/>
        <w:lvlJc w:val="left"/>
        <w:pPr>
          <w:ind w:left="680" w:hanging="34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none"/>
        <w:pStyle w:val="BodyNumbering3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</w:num>
  <w:num w:numId="14">
    <w:abstractNumId w:val="23"/>
    <w:lvlOverride w:ilvl="0">
      <w:lvl w:ilvl="0">
        <w:start w:val="1"/>
        <w:numFmt w:val="bullet"/>
        <w:pStyle w:val="BodyBullet1"/>
        <w:lvlText w:val=""/>
        <w:lvlJc w:val="left"/>
        <w:pPr>
          <w:ind w:left="34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1">
      <w:lvl w:ilvl="1">
        <w:start w:val="1"/>
        <w:numFmt w:val="bullet"/>
        <w:pStyle w:val="BodyBullet2"/>
        <w:lvlText w:val=""/>
        <w:lvlJc w:val="left"/>
        <w:pPr>
          <w:ind w:left="68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2">
      <w:lvl w:ilvl="2">
        <w:start w:val="1"/>
        <w:numFmt w:val="bullet"/>
        <w:pStyle w:val="BodyBullet3"/>
        <w:lvlText w:val=""/>
        <w:lvlJc w:val="left"/>
        <w:pPr>
          <w:ind w:left="102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3">
      <w:lvl w:ilvl="3">
        <w:start w:val="1"/>
        <w:numFmt w:val="bullet"/>
        <w:pStyle w:val="BodyNumbering1"/>
        <w:lvlText w:val=""/>
        <w:lvlJc w:val="left"/>
        <w:pPr>
          <w:ind w:left="340" w:hanging="34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pStyle w:val="BodyNumbering2"/>
        <w:lvlText w:val=""/>
        <w:lvlJc w:val="left"/>
        <w:pPr>
          <w:ind w:left="680" w:hanging="34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none"/>
        <w:pStyle w:val="BodyNumbering3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</w:num>
  <w:num w:numId="15">
    <w:abstractNumId w:val="16"/>
  </w:num>
  <w:num w:numId="16">
    <w:abstractNumId w:val="9"/>
  </w:num>
  <w:num w:numId="17">
    <w:abstractNumId w:val="17"/>
  </w:num>
  <w:num w:numId="18">
    <w:abstractNumId w:val="17"/>
  </w:num>
  <w:num w:numId="19">
    <w:abstractNumId w:val="18"/>
  </w:num>
  <w:num w:numId="20">
    <w:abstractNumId w:val="25"/>
  </w:num>
  <w:num w:numId="21">
    <w:abstractNumId w:val="20"/>
  </w:num>
  <w:num w:numId="22">
    <w:abstractNumId w:val="14"/>
  </w:num>
  <w:num w:numId="23">
    <w:abstractNumId w:val="12"/>
  </w:num>
  <w:num w:numId="24">
    <w:abstractNumId w:val="10"/>
  </w:num>
  <w:num w:numId="25">
    <w:abstractNumId w:val="22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24"/>
    <w:lvlOverride w:ilvl="0">
      <w:lvl w:ilvl="0">
        <w:start w:val="1"/>
        <w:numFmt w:val="decimal"/>
        <w:lvlText w:val="%1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1">
      <w:lvl w:ilvl="1">
        <w:start w:val="1"/>
        <w:numFmt w:val="decimal"/>
        <w:lvlRestart w:val="0"/>
        <w:isLgl/>
        <w:lvlText w:val="%1.%2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2">
      <w:lvl w:ilvl="2">
        <w:start w:val="1"/>
        <w:numFmt w:val="decimal"/>
        <w:lvlRestart w:val="0"/>
        <w:isLgl/>
        <w:lvlText w:val="%1.%2.%3"/>
        <w:lvlJc w:val="left"/>
        <w:pPr>
          <w:ind w:left="1021" w:hanging="1021"/>
        </w:pPr>
        <w:rPr>
          <w:rFonts w:hint="default"/>
          <w:color w:val="636569" w:themeColor="text2"/>
        </w:rPr>
      </w:lvl>
    </w:lvlOverride>
    <w:lvlOverride w:ilvl="3">
      <w:lvl w:ilvl="3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7"/>
        <w:lvlJc w:val="left"/>
        <w:pPr>
          <w:ind w:left="340" w:hanging="340"/>
        </w:pPr>
        <w:rPr>
          <w:rFonts w:hint="default"/>
          <w:color w:val="250E62" w:themeColor="accent1"/>
        </w:rPr>
      </w:lvl>
    </w:lvlOverride>
    <w:lvlOverride w:ilvl="7">
      <w:lvl w:ilvl="7">
        <w:start w:val="1"/>
        <w:numFmt w:val="lowerLetter"/>
        <w:lvlText w:val="%8"/>
        <w:lvlJc w:val="left"/>
        <w:pPr>
          <w:ind w:left="680" w:hanging="340"/>
        </w:pPr>
        <w:rPr>
          <w:rFonts w:hint="default"/>
          <w:color w:val="250E62" w:themeColor="accent1"/>
        </w:rPr>
      </w:lvl>
    </w:lvlOverride>
    <w:lvlOverride w:ilvl="8">
      <w:lvl w:ilvl="8">
        <w:start w:val="1"/>
        <w:numFmt w:val="lowerRoman"/>
        <w:lvlText w:val="%9"/>
        <w:lvlJc w:val="left"/>
        <w:pPr>
          <w:ind w:left="1021" w:hanging="341"/>
        </w:pPr>
        <w:rPr>
          <w:rFonts w:hint="default"/>
          <w:color w:val="250E62" w:themeColor="accent1"/>
        </w:rPr>
      </w:lvl>
    </w:lvlOverride>
  </w:num>
  <w:num w:numId="29">
    <w:abstractNumId w:val="21"/>
  </w:num>
  <w:num w:numId="30">
    <w:abstractNumId w:val="24"/>
    <w:lvlOverride w:ilvl="0">
      <w:lvl w:ilvl="0">
        <w:start w:val="1"/>
        <w:numFmt w:val="decimal"/>
        <w:lvlText w:val="%1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021" w:hanging="1021"/>
        </w:pPr>
        <w:rPr>
          <w:rFonts w:hint="default"/>
          <w:color w:val="636569" w:themeColor="text2"/>
        </w:rPr>
      </w:lvl>
    </w:lvlOverride>
    <w:lvlOverride w:ilvl="3">
      <w:lvl w:ilvl="3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4">
      <w:lvl w:ilvl="4">
        <w:start w:val="1"/>
        <w:numFmt w:val="none"/>
        <w:suff w:val="nothing"/>
        <w:lvlText w:val="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5">
      <w:lvl w:ilvl="5">
        <w:start w:val="1"/>
        <w:numFmt w:val="decimal"/>
        <w:suff w:val="nothing"/>
        <w:lvlText w:val="%4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6">
      <w:lvl w:ilvl="6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7">
      <w:lvl w:ilvl="7">
        <w:start w:val="1"/>
        <w:numFmt w:val="decimal"/>
        <w:lvlRestart w:val="0"/>
        <w:suff w:val="nothing"/>
        <w:lvlText w:val="%7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8">
      <w:lvl w:ilvl="8">
        <w:start w:val="1"/>
        <w:numFmt w:val="decimal"/>
        <w:lvlRestart w:val="0"/>
        <w:suff w:val="nothing"/>
        <w:lvlText w:val="%7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>
      <w:lvl w:ilvl="0">
        <w:start w:val="1"/>
        <w:numFmt w:val="decimal"/>
        <w:lvlText w:val="%1"/>
        <w:lvlJc w:val="left"/>
        <w:pPr>
          <w:ind w:left="851" w:hanging="851"/>
        </w:pPr>
        <w:rPr>
          <w:rFonts w:hint="default"/>
          <w:color w:val="B6BE34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021" w:hanging="1021"/>
        </w:pPr>
        <w:rPr>
          <w:rFonts w:hint="default"/>
          <w:color w:val="250E62" w:themeColor="accent1"/>
        </w:rPr>
      </w:lvl>
    </w:lvlOverride>
    <w:lvlOverride w:ilvl="3">
      <w:lvl w:ilvl="3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4">
      <w:lvl w:ilvl="4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5">
      <w:lvl w:ilvl="5">
        <w:start w:val="1"/>
        <w:numFmt w:val="none"/>
        <w:lvlRestart w:val="0"/>
        <w:suff w:val="nothing"/>
        <w:lvlText w:val="%6%4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6">
      <w:lvl w:ilvl="6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7">
      <w:lvl w:ilvl="7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8">
      <w:lvl w:ilvl="8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lvl w:ilvl="0">
        <w:start w:val="10"/>
        <w:numFmt w:val="decimal"/>
        <w:lvlText w:val="%1"/>
        <w:lvlJc w:val="left"/>
        <w:pPr>
          <w:ind w:left="851" w:hanging="851"/>
        </w:pPr>
        <w:rPr>
          <w:rFonts w:hint="default"/>
          <w:color w:val="B6BE34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021" w:hanging="1021"/>
        </w:pPr>
        <w:rPr>
          <w:rFonts w:hint="default"/>
          <w:color w:val="250E62" w:themeColor="accent1"/>
        </w:rPr>
      </w:lvl>
    </w:lvlOverride>
    <w:lvlOverride w:ilvl="3">
      <w:lvl w:ilvl="3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4">
      <w:lvl w:ilvl="4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5">
      <w:lvl w:ilvl="5">
        <w:start w:val="1"/>
        <w:numFmt w:val="none"/>
        <w:lvlRestart w:val="0"/>
        <w:suff w:val="nothing"/>
        <w:lvlText w:val="%6%4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6">
      <w:lvl w:ilvl="6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7">
      <w:lvl w:ilvl="7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8">
      <w:lvl w:ilvl="8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</w:num>
  <w:num w:numId="35">
    <w:abstractNumId w:val="15"/>
  </w:num>
  <w:num w:numId="36">
    <w:abstractNumId w:val="24"/>
    <w:lvlOverride w:ilvl="0">
      <w:startOverride w:val="10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  <w:lvlOverride w:ilvl="0">
      <w:startOverride w:val="10"/>
      <w:lvl w:ilvl="0">
        <w:start w:val="10"/>
        <w:numFmt w:val="decimal"/>
        <w:lvlText w:val="%1"/>
        <w:lvlJc w:val="left"/>
        <w:pPr>
          <w:ind w:left="851" w:hanging="851"/>
        </w:pPr>
        <w:rPr>
          <w:rFonts w:hint="default"/>
          <w:color w:val="B6BE34"/>
        </w:rPr>
      </w:lvl>
    </w:lvlOverride>
    <w:lvlOverride w:ilvl="1">
      <w:startOverride w:val="10"/>
      <w:lvl w:ilvl="1">
        <w:start w:val="10"/>
        <w:numFmt w:val="decimal"/>
        <w:lvlText w:val="%1.%2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2">
      <w:startOverride w:val="10"/>
      <w:lvl w:ilvl="2">
        <w:start w:val="10"/>
        <w:numFmt w:val="decimal"/>
        <w:lvlText w:val="%1.%2.%3"/>
        <w:lvlJc w:val="left"/>
        <w:pPr>
          <w:ind w:left="1021" w:hanging="1021"/>
        </w:pPr>
        <w:rPr>
          <w:rFonts w:hint="default"/>
          <w:color w:val="250E62" w:themeColor="accent1"/>
        </w:rPr>
      </w:lvl>
    </w:lvlOverride>
    <w:lvlOverride w:ilvl="3">
      <w:startOverride w:val="1"/>
      <w:lvl w:ilvl="3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4">
      <w:startOverride w:val="1"/>
      <w:lvl w:ilvl="4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5">
      <w:startOverride w:val="1"/>
      <w:lvl w:ilvl="5">
        <w:start w:val="1"/>
        <w:numFmt w:val="none"/>
        <w:lvlRestart w:val="0"/>
        <w:suff w:val="nothing"/>
        <w:lvlText w:val="%6%4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6">
      <w:startOverride w:val="1"/>
      <w:lvl w:ilvl="6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7">
      <w:startOverride w:val="1"/>
      <w:lvl w:ilvl="7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8">
      <w:startOverride w:val="1"/>
      <w:lvl w:ilvl="8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</w:num>
  <w:num w:numId="38">
    <w:abstractNumId w:val="24"/>
  </w:num>
  <w:num w:numId="39">
    <w:abstractNumId w:val="24"/>
    <w:lvlOverride w:ilvl="0">
      <w:lvl w:ilvl="0">
        <w:start w:val="10"/>
        <w:numFmt w:val="decimal"/>
        <w:lvlText w:val="%1"/>
        <w:lvlJc w:val="left"/>
        <w:pPr>
          <w:ind w:left="851" w:hanging="851"/>
        </w:pPr>
        <w:rPr>
          <w:rFonts w:hint="default"/>
          <w:color w:val="B6BE34"/>
        </w:rPr>
      </w:lvl>
    </w:lvlOverride>
    <w:lvlOverride w:ilvl="1">
      <w:lvl w:ilvl="1">
        <w:start w:val="10"/>
        <w:numFmt w:val="decimal"/>
        <w:lvlText w:val="%1.%2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2">
      <w:lvl w:ilvl="2">
        <w:start w:val="10"/>
        <w:numFmt w:val="decimal"/>
        <w:lvlText w:val="%1.%2.%3"/>
        <w:lvlJc w:val="left"/>
        <w:pPr>
          <w:ind w:left="1361" w:hanging="1361"/>
        </w:pPr>
        <w:rPr>
          <w:rFonts w:hint="default"/>
          <w:color w:val="250E62" w:themeColor="accent1"/>
        </w:rPr>
      </w:lvl>
    </w:lvlOverride>
    <w:lvlOverride w:ilvl="3">
      <w:lvl w:ilvl="3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4">
      <w:lvl w:ilvl="4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5">
      <w:lvl w:ilvl="5">
        <w:start w:val="1"/>
        <w:numFmt w:val="none"/>
        <w:lvlRestart w:val="0"/>
        <w:suff w:val="nothing"/>
        <w:lvlText w:val="%6%4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6">
      <w:lvl w:ilvl="6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7">
      <w:lvl w:ilvl="7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8">
      <w:lvl w:ilvl="8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</w:num>
  <w:num w:numId="40">
    <w:abstractNumId w:val="24"/>
  </w:num>
  <w:num w:numId="41">
    <w:abstractNumId w:val="24"/>
    <w:lvlOverride w:ilvl="0">
      <w:startOverride w:val="1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</w:num>
  <w:num w:numId="43">
    <w:abstractNumId w:val="13"/>
  </w:num>
  <w:num w:numId="44">
    <w:abstractNumId w:val="13"/>
    <w:lvlOverride w:ilvl="0">
      <w:lvl w:ilvl="0">
        <w:start w:val="27"/>
        <w:numFmt w:val="decimal"/>
        <w:pStyle w:val="Heading1"/>
        <w:lvlText w:val="Chapter %1"/>
        <w:lvlJc w:val="left"/>
        <w:pPr>
          <w:tabs>
            <w:tab w:val="num" w:pos="9072"/>
          </w:tabs>
          <w:ind w:left="0" w:firstLine="0"/>
        </w:pPr>
        <w:rPr>
          <w:rFonts w:hint="default"/>
          <w:color w:val="009CA6" w:themeColor="accent2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ind w:left="1418" w:hanging="1418"/>
        </w:pPr>
        <w:rPr>
          <w:rFonts w:hint="default"/>
          <w:color w:val="250E62" w:themeColor="accent1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ind w:left="1418" w:hanging="1418"/>
        </w:pPr>
        <w:rPr>
          <w:rFonts w:hint="default"/>
          <w:color w:val="009CA6" w:themeColor="accent2"/>
        </w:rPr>
      </w:lvl>
    </w:lvlOverride>
    <w:lvlOverride w:ilvl="3">
      <w:lvl w:ilvl="3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4">
      <w:lvl w:ilvl="4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5">
      <w:lvl w:ilvl="5">
        <w:start w:val="1"/>
        <w:numFmt w:val="none"/>
        <w:lvlRestart w:val="0"/>
        <w:suff w:val="nothing"/>
        <w:lvlText w:val="%6%4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6">
      <w:lvl w:ilvl="6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7">
      <w:lvl w:ilvl="7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8">
      <w:lvl w:ilvl="8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</w:num>
  <w:num w:numId="45">
    <w:abstractNumId w:val="19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stylePaneSortMethod w:val="0000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20B"/>
    <w:rsid w:val="00003622"/>
    <w:rsid w:val="00013A54"/>
    <w:rsid w:val="00013C24"/>
    <w:rsid w:val="00014A01"/>
    <w:rsid w:val="00017047"/>
    <w:rsid w:val="00021CEC"/>
    <w:rsid w:val="00023787"/>
    <w:rsid w:val="00025963"/>
    <w:rsid w:val="000267FC"/>
    <w:rsid w:val="00027A10"/>
    <w:rsid w:val="00027AFC"/>
    <w:rsid w:val="00030198"/>
    <w:rsid w:val="000303C6"/>
    <w:rsid w:val="0003047D"/>
    <w:rsid w:val="00035088"/>
    <w:rsid w:val="00036C14"/>
    <w:rsid w:val="00037D07"/>
    <w:rsid w:val="0004094D"/>
    <w:rsid w:val="00044695"/>
    <w:rsid w:val="0004776D"/>
    <w:rsid w:val="00047F4F"/>
    <w:rsid w:val="00050AF0"/>
    <w:rsid w:val="00052CFD"/>
    <w:rsid w:val="00053ED4"/>
    <w:rsid w:val="00056FDF"/>
    <w:rsid w:val="00062416"/>
    <w:rsid w:val="000639E5"/>
    <w:rsid w:val="00070A2B"/>
    <w:rsid w:val="00070DD9"/>
    <w:rsid w:val="0007669C"/>
    <w:rsid w:val="00080123"/>
    <w:rsid w:val="00083077"/>
    <w:rsid w:val="00095E7F"/>
    <w:rsid w:val="000A247E"/>
    <w:rsid w:val="000A2DFD"/>
    <w:rsid w:val="000A4DFB"/>
    <w:rsid w:val="000A554C"/>
    <w:rsid w:val="000A661C"/>
    <w:rsid w:val="000A6F16"/>
    <w:rsid w:val="000B5B9F"/>
    <w:rsid w:val="000B5D48"/>
    <w:rsid w:val="000B7555"/>
    <w:rsid w:val="000C0031"/>
    <w:rsid w:val="000C2020"/>
    <w:rsid w:val="000C2DBD"/>
    <w:rsid w:val="000C3A8D"/>
    <w:rsid w:val="000C4409"/>
    <w:rsid w:val="000C5AB3"/>
    <w:rsid w:val="000C6688"/>
    <w:rsid w:val="000C7A90"/>
    <w:rsid w:val="000D16A5"/>
    <w:rsid w:val="000D255B"/>
    <w:rsid w:val="000D4CE8"/>
    <w:rsid w:val="000D789E"/>
    <w:rsid w:val="000E0B71"/>
    <w:rsid w:val="000E0DC4"/>
    <w:rsid w:val="000E1DAB"/>
    <w:rsid w:val="000E1F0E"/>
    <w:rsid w:val="000F0446"/>
    <w:rsid w:val="000F060A"/>
    <w:rsid w:val="000F1992"/>
    <w:rsid w:val="000F2147"/>
    <w:rsid w:val="000F3515"/>
    <w:rsid w:val="000F42C0"/>
    <w:rsid w:val="000F5477"/>
    <w:rsid w:val="000F6123"/>
    <w:rsid w:val="000F65AF"/>
    <w:rsid w:val="001078E8"/>
    <w:rsid w:val="001130DB"/>
    <w:rsid w:val="0011570F"/>
    <w:rsid w:val="00116DDF"/>
    <w:rsid w:val="00117B0A"/>
    <w:rsid w:val="00120813"/>
    <w:rsid w:val="00120DF1"/>
    <w:rsid w:val="00122255"/>
    <w:rsid w:val="00122FCC"/>
    <w:rsid w:val="00123162"/>
    <w:rsid w:val="001234E9"/>
    <w:rsid w:val="00124A1C"/>
    <w:rsid w:val="0012791D"/>
    <w:rsid w:val="001320D7"/>
    <w:rsid w:val="0013218F"/>
    <w:rsid w:val="001331C9"/>
    <w:rsid w:val="00142291"/>
    <w:rsid w:val="00144BBA"/>
    <w:rsid w:val="00147E56"/>
    <w:rsid w:val="001503D3"/>
    <w:rsid w:val="00150F46"/>
    <w:rsid w:val="00153CF5"/>
    <w:rsid w:val="00154355"/>
    <w:rsid w:val="001574D4"/>
    <w:rsid w:val="00157ECB"/>
    <w:rsid w:val="00161FE6"/>
    <w:rsid w:val="00163CED"/>
    <w:rsid w:val="001668AB"/>
    <w:rsid w:val="00172168"/>
    <w:rsid w:val="00172886"/>
    <w:rsid w:val="00173811"/>
    <w:rsid w:val="00174C76"/>
    <w:rsid w:val="00174E12"/>
    <w:rsid w:val="001775A3"/>
    <w:rsid w:val="00181925"/>
    <w:rsid w:val="00181A7E"/>
    <w:rsid w:val="00192F51"/>
    <w:rsid w:val="0019472B"/>
    <w:rsid w:val="00196EC8"/>
    <w:rsid w:val="001976D2"/>
    <w:rsid w:val="00197EFB"/>
    <w:rsid w:val="001A181E"/>
    <w:rsid w:val="001A7160"/>
    <w:rsid w:val="001A75E1"/>
    <w:rsid w:val="001A76AF"/>
    <w:rsid w:val="001B30F7"/>
    <w:rsid w:val="001B4565"/>
    <w:rsid w:val="001B515C"/>
    <w:rsid w:val="001B7703"/>
    <w:rsid w:val="001C1A26"/>
    <w:rsid w:val="001C1E5B"/>
    <w:rsid w:val="001C3F61"/>
    <w:rsid w:val="001C5EC2"/>
    <w:rsid w:val="001C6171"/>
    <w:rsid w:val="001D15FC"/>
    <w:rsid w:val="001D25DA"/>
    <w:rsid w:val="001D3B17"/>
    <w:rsid w:val="001D5F37"/>
    <w:rsid w:val="001D6464"/>
    <w:rsid w:val="001D6F2D"/>
    <w:rsid w:val="001E013A"/>
    <w:rsid w:val="001E11E4"/>
    <w:rsid w:val="001E2899"/>
    <w:rsid w:val="001E7FC7"/>
    <w:rsid w:val="001F3F88"/>
    <w:rsid w:val="001F571B"/>
    <w:rsid w:val="001F6DF9"/>
    <w:rsid w:val="001F76EB"/>
    <w:rsid w:val="00201900"/>
    <w:rsid w:val="002021BF"/>
    <w:rsid w:val="00204EE2"/>
    <w:rsid w:val="00207206"/>
    <w:rsid w:val="00207F25"/>
    <w:rsid w:val="00212BA8"/>
    <w:rsid w:val="00212E10"/>
    <w:rsid w:val="002134B1"/>
    <w:rsid w:val="00213EDF"/>
    <w:rsid w:val="002142B2"/>
    <w:rsid w:val="00217987"/>
    <w:rsid w:val="00220CDD"/>
    <w:rsid w:val="002215C7"/>
    <w:rsid w:val="00222DEB"/>
    <w:rsid w:val="00224E65"/>
    <w:rsid w:val="00231721"/>
    <w:rsid w:val="00237A77"/>
    <w:rsid w:val="0024199C"/>
    <w:rsid w:val="002428EE"/>
    <w:rsid w:val="00245DF1"/>
    <w:rsid w:val="00247065"/>
    <w:rsid w:val="00247807"/>
    <w:rsid w:val="002500AE"/>
    <w:rsid w:val="0025023D"/>
    <w:rsid w:val="00253B4A"/>
    <w:rsid w:val="0025542C"/>
    <w:rsid w:val="002561AD"/>
    <w:rsid w:val="0025787E"/>
    <w:rsid w:val="002609FD"/>
    <w:rsid w:val="00261F88"/>
    <w:rsid w:val="00265073"/>
    <w:rsid w:val="00271D74"/>
    <w:rsid w:val="0027245C"/>
    <w:rsid w:val="00277AF5"/>
    <w:rsid w:val="002811F9"/>
    <w:rsid w:val="00281BBF"/>
    <w:rsid w:val="00282B57"/>
    <w:rsid w:val="00283B87"/>
    <w:rsid w:val="002867A7"/>
    <w:rsid w:val="00287D24"/>
    <w:rsid w:val="00292D2A"/>
    <w:rsid w:val="0029345C"/>
    <w:rsid w:val="00294914"/>
    <w:rsid w:val="0029614E"/>
    <w:rsid w:val="002A05B1"/>
    <w:rsid w:val="002A4AF1"/>
    <w:rsid w:val="002B282F"/>
    <w:rsid w:val="002B4B77"/>
    <w:rsid w:val="002B65E9"/>
    <w:rsid w:val="002B6EF0"/>
    <w:rsid w:val="002C1713"/>
    <w:rsid w:val="002C21D5"/>
    <w:rsid w:val="002C2990"/>
    <w:rsid w:val="002C555F"/>
    <w:rsid w:val="002C6E43"/>
    <w:rsid w:val="002C77FE"/>
    <w:rsid w:val="002D1CB1"/>
    <w:rsid w:val="002D22B9"/>
    <w:rsid w:val="002D310F"/>
    <w:rsid w:val="002D31F6"/>
    <w:rsid w:val="002D3A61"/>
    <w:rsid w:val="002D6B00"/>
    <w:rsid w:val="002D6BA2"/>
    <w:rsid w:val="002E0392"/>
    <w:rsid w:val="002E2BC7"/>
    <w:rsid w:val="002E3267"/>
    <w:rsid w:val="002E3E20"/>
    <w:rsid w:val="002E6F57"/>
    <w:rsid w:val="002F12AE"/>
    <w:rsid w:val="002F2EB9"/>
    <w:rsid w:val="002F30E8"/>
    <w:rsid w:val="002F4826"/>
    <w:rsid w:val="00302352"/>
    <w:rsid w:val="00302F49"/>
    <w:rsid w:val="003103FD"/>
    <w:rsid w:val="003108F5"/>
    <w:rsid w:val="003109B3"/>
    <w:rsid w:val="00312040"/>
    <w:rsid w:val="0031364F"/>
    <w:rsid w:val="00315FBA"/>
    <w:rsid w:val="0031787A"/>
    <w:rsid w:val="00320991"/>
    <w:rsid w:val="00320D25"/>
    <w:rsid w:val="00321B47"/>
    <w:rsid w:val="00322D89"/>
    <w:rsid w:val="00323E9D"/>
    <w:rsid w:val="00330D1A"/>
    <w:rsid w:val="0033435B"/>
    <w:rsid w:val="00335809"/>
    <w:rsid w:val="003365C1"/>
    <w:rsid w:val="00341E0F"/>
    <w:rsid w:val="00344BFD"/>
    <w:rsid w:val="00345701"/>
    <w:rsid w:val="003461B7"/>
    <w:rsid w:val="003524A6"/>
    <w:rsid w:val="00353BBB"/>
    <w:rsid w:val="003547C0"/>
    <w:rsid w:val="00355BCD"/>
    <w:rsid w:val="00355C68"/>
    <w:rsid w:val="003565B0"/>
    <w:rsid w:val="00356F63"/>
    <w:rsid w:val="0036083B"/>
    <w:rsid w:val="00370C55"/>
    <w:rsid w:val="003727C6"/>
    <w:rsid w:val="003759DA"/>
    <w:rsid w:val="00376061"/>
    <w:rsid w:val="0037677C"/>
    <w:rsid w:val="00377F14"/>
    <w:rsid w:val="00380F3F"/>
    <w:rsid w:val="00383BEB"/>
    <w:rsid w:val="00390E2D"/>
    <w:rsid w:val="00393047"/>
    <w:rsid w:val="003975FE"/>
    <w:rsid w:val="003A004E"/>
    <w:rsid w:val="003A3039"/>
    <w:rsid w:val="003A3A68"/>
    <w:rsid w:val="003A7F4E"/>
    <w:rsid w:val="003B1121"/>
    <w:rsid w:val="003B21EE"/>
    <w:rsid w:val="003B2660"/>
    <w:rsid w:val="003B34B4"/>
    <w:rsid w:val="003C0DA8"/>
    <w:rsid w:val="003C1A84"/>
    <w:rsid w:val="003C5558"/>
    <w:rsid w:val="003D10B7"/>
    <w:rsid w:val="003D266F"/>
    <w:rsid w:val="003D303F"/>
    <w:rsid w:val="003D4975"/>
    <w:rsid w:val="003D71C8"/>
    <w:rsid w:val="003D7E5A"/>
    <w:rsid w:val="003E1380"/>
    <w:rsid w:val="003E15AE"/>
    <w:rsid w:val="003E1CBD"/>
    <w:rsid w:val="003E7DA4"/>
    <w:rsid w:val="003F1CA7"/>
    <w:rsid w:val="003F420F"/>
    <w:rsid w:val="003F47AB"/>
    <w:rsid w:val="003F6A1C"/>
    <w:rsid w:val="003F7E5E"/>
    <w:rsid w:val="00402D0A"/>
    <w:rsid w:val="00402D84"/>
    <w:rsid w:val="0040469E"/>
    <w:rsid w:val="00405331"/>
    <w:rsid w:val="00406CA3"/>
    <w:rsid w:val="00406CDC"/>
    <w:rsid w:val="00411981"/>
    <w:rsid w:val="00411AF1"/>
    <w:rsid w:val="00415AEA"/>
    <w:rsid w:val="00417616"/>
    <w:rsid w:val="00421148"/>
    <w:rsid w:val="0042310B"/>
    <w:rsid w:val="004242AE"/>
    <w:rsid w:val="00424A7C"/>
    <w:rsid w:val="00426DFE"/>
    <w:rsid w:val="00432957"/>
    <w:rsid w:val="00433825"/>
    <w:rsid w:val="00443EA8"/>
    <w:rsid w:val="00444EF7"/>
    <w:rsid w:val="00445489"/>
    <w:rsid w:val="004466F3"/>
    <w:rsid w:val="00446C4A"/>
    <w:rsid w:val="00446F27"/>
    <w:rsid w:val="00446F35"/>
    <w:rsid w:val="0044779F"/>
    <w:rsid w:val="00447F9D"/>
    <w:rsid w:val="00452575"/>
    <w:rsid w:val="00455F4F"/>
    <w:rsid w:val="00462270"/>
    <w:rsid w:val="00464C15"/>
    <w:rsid w:val="00464C87"/>
    <w:rsid w:val="004655E6"/>
    <w:rsid w:val="004700A2"/>
    <w:rsid w:val="004733D1"/>
    <w:rsid w:val="0047403B"/>
    <w:rsid w:val="00477850"/>
    <w:rsid w:val="00483363"/>
    <w:rsid w:val="004837F4"/>
    <w:rsid w:val="00483C20"/>
    <w:rsid w:val="00483FAB"/>
    <w:rsid w:val="00485503"/>
    <w:rsid w:val="00485C9D"/>
    <w:rsid w:val="00486313"/>
    <w:rsid w:val="00486F0E"/>
    <w:rsid w:val="00487846"/>
    <w:rsid w:val="00495B17"/>
    <w:rsid w:val="00497842"/>
    <w:rsid w:val="004A1755"/>
    <w:rsid w:val="004A1A93"/>
    <w:rsid w:val="004A25A9"/>
    <w:rsid w:val="004A32BF"/>
    <w:rsid w:val="004A505C"/>
    <w:rsid w:val="004A55F8"/>
    <w:rsid w:val="004A635F"/>
    <w:rsid w:val="004A71F6"/>
    <w:rsid w:val="004B02C2"/>
    <w:rsid w:val="004B3FD8"/>
    <w:rsid w:val="004B4494"/>
    <w:rsid w:val="004B5A0E"/>
    <w:rsid w:val="004B6B78"/>
    <w:rsid w:val="004C02F1"/>
    <w:rsid w:val="004C1CD1"/>
    <w:rsid w:val="004C3157"/>
    <w:rsid w:val="004C3C0E"/>
    <w:rsid w:val="004C5028"/>
    <w:rsid w:val="004C6EBF"/>
    <w:rsid w:val="004C72D8"/>
    <w:rsid w:val="004D3D6E"/>
    <w:rsid w:val="004D5078"/>
    <w:rsid w:val="004D56AE"/>
    <w:rsid w:val="004D5DF5"/>
    <w:rsid w:val="004D7600"/>
    <w:rsid w:val="004D7995"/>
    <w:rsid w:val="004E3A1F"/>
    <w:rsid w:val="004E4524"/>
    <w:rsid w:val="004E593B"/>
    <w:rsid w:val="004F359C"/>
    <w:rsid w:val="004F487D"/>
    <w:rsid w:val="004F6FF0"/>
    <w:rsid w:val="004F7D42"/>
    <w:rsid w:val="00501622"/>
    <w:rsid w:val="00504BC3"/>
    <w:rsid w:val="00505DE8"/>
    <w:rsid w:val="00506AF3"/>
    <w:rsid w:val="00507661"/>
    <w:rsid w:val="00514AD3"/>
    <w:rsid w:val="00514F08"/>
    <w:rsid w:val="005151D9"/>
    <w:rsid w:val="0051542F"/>
    <w:rsid w:val="005210AD"/>
    <w:rsid w:val="00521453"/>
    <w:rsid w:val="005217F5"/>
    <w:rsid w:val="005248A1"/>
    <w:rsid w:val="00526B45"/>
    <w:rsid w:val="00526CCC"/>
    <w:rsid w:val="00530CE8"/>
    <w:rsid w:val="00533A6E"/>
    <w:rsid w:val="00536EAB"/>
    <w:rsid w:val="005469E6"/>
    <w:rsid w:val="00546B28"/>
    <w:rsid w:val="00546C0D"/>
    <w:rsid w:val="005479BA"/>
    <w:rsid w:val="00551DB1"/>
    <w:rsid w:val="00553022"/>
    <w:rsid w:val="005555EB"/>
    <w:rsid w:val="00557167"/>
    <w:rsid w:val="00560C70"/>
    <w:rsid w:val="0056128E"/>
    <w:rsid w:val="00561EE9"/>
    <w:rsid w:val="00562578"/>
    <w:rsid w:val="00564ED5"/>
    <w:rsid w:val="005667A7"/>
    <w:rsid w:val="00570CCB"/>
    <w:rsid w:val="005726F5"/>
    <w:rsid w:val="005769EB"/>
    <w:rsid w:val="00577E17"/>
    <w:rsid w:val="005804B5"/>
    <w:rsid w:val="005810AD"/>
    <w:rsid w:val="00584114"/>
    <w:rsid w:val="005850C2"/>
    <w:rsid w:val="0059127D"/>
    <w:rsid w:val="00593B97"/>
    <w:rsid w:val="0059442A"/>
    <w:rsid w:val="0059789D"/>
    <w:rsid w:val="005A1F81"/>
    <w:rsid w:val="005A4ABD"/>
    <w:rsid w:val="005A4F3A"/>
    <w:rsid w:val="005A70AD"/>
    <w:rsid w:val="005B4698"/>
    <w:rsid w:val="005C0108"/>
    <w:rsid w:val="005C0ABF"/>
    <w:rsid w:val="005C2F2C"/>
    <w:rsid w:val="005C3AB9"/>
    <w:rsid w:val="005C40D6"/>
    <w:rsid w:val="005C44B4"/>
    <w:rsid w:val="005C4602"/>
    <w:rsid w:val="005C50AF"/>
    <w:rsid w:val="005C65BD"/>
    <w:rsid w:val="005D0C80"/>
    <w:rsid w:val="005D1392"/>
    <w:rsid w:val="005D222A"/>
    <w:rsid w:val="005D4B62"/>
    <w:rsid w:val="005D57B1"/>
    <w:rsid w:val="005D5C68"/>
    <w:rsid w:val="005D699B"/>
    <w:rsid w:val="005D6F64"/>
    <w:rsid w:val="005E3F1B"/>
    <w:rsid w:val="005E4B51"/>
    <w:rsid w:val="005E5AA8"/>
    <w:rsid w:val="005F0552"/>
    <w:rsid w:val="005F06E7"/>
    <w:rsid w:val="005F21D1"/>
    <w:rsid w:val="005F323C"/>
    <w:rsid w:val="005F4F6C"/>
    <w:rsid w:val="005F5C12"/>
    <w:rsid w:val="00602D49"/>
    <w:rsid w:val="00603A97"/>
    <w:rsid w:val="0060421B"/>
    <w:rsid w:val="00606B19"/>
    <w:rsid w:val="00612E6D"/>
    <w:rsid w:val="00615C9A"/>
    <w:rsid w:val="006162DA"/>
    <w:rsid w:val="00616446"/>
    <w:rsid w:val="006165E2"/>
    <w:rsid w:val="006174CB"/>
    <w:rsid w:val="00617D69"/>
    <w:rsid w:val="00620023"/>
    <w:rsid w:val="00622B87"/>
    <w:rsid w:val="006234D0"/>
    <w:rsid w:val="00626895"/>
    <w:rsid w:val="006274A2"/>
    <w:rsid w:val="00635CCF"/>
    <w:rsid w:val="006402D5"/>
    <w:rsid w:val="0064197D"/>
    <w:rsid w:val="0064233F"/>
    <w:rsid w:val="00644D15"/>
    <w:rsid w:val="00646BE7"/>
    <w:rsid w:val="00646ECA"/>
    <w:rsid w:val="006515EA"/>
    <w:rsid w:val="006524A6"/>
    <w:rsid w:val="00653D67"/>
    <w:rsid w:val="00654459"/>
    <w:rsid w:val="00655970"/>
    <w:rsid w:val="00655CD5"/>
    <w:rsid w:val="00656541"/>
    <w:rsid w:val="0065700B"/>
    <w:rsid w:val="006631EA"/>
    <w:rsid w:val="00664BB6"/>
    <w:rsid w:val="00665069"/>
    <w:rsid w:val="0066659B"/>
    <w:rsid w:val="00666B0A"/>
    <w:rsid w:val="00667E68"/>
    <w:rsid w:val="006706F1"/>
    <w:rsid w:val="00671047"/>
    <w:rsid w:val="0067178E"/>
    <w:rsid w:val="00681821"/>
    <w:rsid w:val="00685655"/>
    <w:rsid w:val="006873EF"/>
    <w:rsid w:val="0069118A"/>
    <w:rsid w:val="00691591"/>
    <w:rsid w:val="00691E3B"/>
    <w:rsid w:val="006920C8"/>
    <w:rsid w:val="006953AF"/>
    <w:rsid w:val="006A000F"/>
    <w:rsid w:val="006A39BE"/>
    <w:rsid w:val="006A5BC5"/>
    <w:rsid w:val="006A616C"/>
    <w:rsid w:val="006A76CA"/>
    <w:rsid w:val="006A7B89"/>
    <w:rsid w:val="006B113C"/>
    <w:rsid w:val="006B2BBF"/>
    <w:rsid w:val="006B310A"/>
    <w:rsid w:val="006B3813"/>
    <w:rsid w:val="006B475B"/>
    <w:rsid w:val="006B4EBB"/>
    <w:rsid w:val="006B5506"/>
    <w:rsid w:val="006C0F69"/>
    <w:rsid w:val="006C3C2E"/>
    <w:rsid w:val="006C6A18"/>
    <w:rsid w:val="006C6A97"/>
    <w:rsid w:val="006D1AD8"/>
    <w:rsid w:val="006D28B3"/>
    <w:rsid w:val="006D2A06"/>
    <w:rsid w:val="006D4E71"/>
    <w:rsid w:val="006E1AA6"/>
    <w:rsid w:val="006E2B12"/>
    <w:rsid w:val="006E3512"/>
    <w:rsid w:val="006E6FF6"/>
    <w:rsid w:val="006E7C63"/>
    <w:rsid w:val="006F6275"/>
    <w:rsid w:val="006F7967"/>
    <w:rsid w:val="006F7E01"/>
    <w:rsid w:val="00702EE7"/>
    <w:rsid w:val="00702F7E"/>
    <w:rsid w:val="0070496E"/>
    <w:rsid w:val="0071013B"/>
    <w:rsid w:val="00711873"/>
    <w:rsid w:val="00711895"/>
    <w:rsid w:val="00712AC1"/>
    <w:rsid w:val="007149BB"/>
    <w:rsid w:val="00715BAA"/>
    <w:rsid w:val="00716F0D"/>
    <w:rsid w:val="0072195F"/>
    <w:rsid w:val="00721A8F"/>
    <w:rsid w:val="007234F3"/>
    <w:rsid w:val="00723F50"/>
    <w:rsid w:val="00725095"/>
    <w:rsid w:val="00725229"/>
    <w:rsid w:val="00726DE4"/>
    <w:rsid w:val="007310BC"/>
    <w:rsid w:val="007355DF"/>
    <w:rsid w:val="00741C47"/>
    <w:rsid w:val="00743987"/>
    <w:rsid w:val="00744227"/>
    <w:rsid w:val="00746949"/>
    <w:rsid w:val="0074720F"/>
    <w:rsid w:val="00750425"/>
    <w:rsid w:val="00757D65"/>
    <w:rsid w:val="007606DC"/>
    <w:rsid w:val="00761A4B"/>
    <w:rsid w:val="00761B1C"/>
    <w:rsid w:val="00763BE2"/>
    <w:rsid w:val="007642D3"/>
    <w:rsid w:val="0076637A"/>
    <w:rsid w:val="007704B8"/>
    <w:rsid w:val="00770981"/>
    <w:rsid w:val="00771205"/>
    <w:rsid w:val="00771FF4"/>
    <w:rsid w:val="007767A6"/>
    <w:rsid w:val="00780259"/>
    <w:rsid w:val="00780E00"/>
    <w:rsid w:val="007830DB"/>
    <w:rsid w:val="007838AF"/>
    <w:rsid w:val="007913F5"/>
    <w:rsid w:val="007931FE"/>
    <w:rsid w:val="0079341F"/>
    <w:rsid w:val="00793760"/>
    <w:rsid w:val="00793BE0"/>
    <w:rsid w:val="007A0505"/>
    <w:rsid w:val="007A4768"/>
    <w:rsid w:val="007A4B3B"/>
    <w:rsid w:val="007A63FE"/>
    <w:rsid w:val="007A6909"/>
    <w:rsid w:val="007A708E"/>
    <w:rsid w:val="007B0A75"/>
    <w:rsid w:val="007B1248"/>
    <w:rsid w:val="007B127D"/>
    <w:rsid w:val="007B1C66"/>
    <w:rsid w:val="007B35DB"/>
    <w:rsid w:val="007B59AF"/>
    <w:rsid w:val="007B76AD"/>
    <w:rsid w:val="007C20B1"/>
    <w:rsid w:val="007C45F9"/>
    <w:rsid w:val="007C4D71"/>
    <w:rsid w:val="007C7ADA"/>
    <w:rsid w:val="007D167B"/>
    <w:rsid w:val="007D61D9"/>
    <w:rsid w:val="007E1530"/>
    <w:rsid w:val="007E157D"/>
    <w:rsid w:val="007E343E"/>
    <w:rsid w:val="007E6CAC"/>
    <w:rsid w:val="007F008C"/>
    <w:rsid w:val="007F13D0"/>
    <w:rsid w:val="007F5380"/>
    <w:rsid w:val="007F7872"/>
    <w:rsid w:val="00800505"/>
    <w:rsid w:val="00801F81"/>
    <w:rsid w:val="00804DC5"/>
    <w:rsid w:val="00805A32"/>
    <w:rsid w:val="00807365"/>
    <w:rsid w:val="0081374A"/>
    <w:rsid w:val="008150C4"/>
    <w:rsid w:val="00815685"/>
    <w:rsid w:val="008170C3"/>
    <w:rsid w:val="00817212"/>
    <w:rsid w:val="008206F9"/>
    <w:rsid w:val="008207E8"/>
    <w:rsid w:val="008213EB"/>
    <w:rsid w:val="00821F0A"/>
    <w:rsid w:val="00823DC4"/>
    <w:rsid w:val="00824E4B"/>
    <w:rsid w:val="00825B8D"/>
    <w:rsid w:val="008277B6"/>
    <w:rsid w:val="00830076"/>
    <w:rsid w:val="008300D1"/>
    <w:rsid w:val="00835370"/>
    <w:rsid w:val="00835859"/>
    <w:rsid w:val="0083670B"/>
    <w:rsid w:val="00836EA3"/>
    <w:rsid w:val="008374CF"/>
    <w:rsid w:val="0084174D"/>
    <w:rsid w:val="0084205A"/>
    <w:rsid w:val="0084307D"/>
    <w:rsid w:val="00845449"/>
    <w:rsid w:val="0084698F"/>
    <w:rsid w:val="00850AB0"/>
    <w:rsid w:val="00850FAD"/>
    <w:rsid w:val="00851BB7"/>
    <w:rsid w:val="0085261C"/>
    <w:rsid w:val="00853623"/>
    <w:rsid w:val="00853807"/>
    <w:rsid w:val="00855449"/>
    <w:rsid w:val="00860178"/>
    <w:rsid w:val="008632CB"/>
    <w:rsid w:val="00864B28"/>
    <w:rsid w:val="00864C2A"/>
    <w:rsid w:val="00872159"/>
    <w:rsid w:val="0087697F"/>
    <w:rsid w:val="008821C2"/>
    <w:rsid w:val="0088751D"/>
    <w:rsid w:val="008912F0"/>
    <w:rsid w:val="0089291A"/>
    <w:rsid w:val="00892BBD"/>
    <w:rsid w:val="00893314"/>
    <w:rsid w:val="0089785B"/>
    <w:rsid w:val="008978E0"/>
    <w:rsid w:val="008A6602"/>
    <w:rsid w:val="008A6729"/>
    <w:rsid w:val="008A7A62"/>
    <w:rsid w:val="008B0140"/>
    <w:rsid w:val="008B14FC"/>
    <w:rsid w:val="008B15B0"/>
    <w:rsid w:val="008B2733"/>
    <w:rsid w:val="008B7C2E"/>
    <w:rsid w:val="008C22A7"/>
    <w:rsid w:val="008C22EF"/>
    <w:rsid w:val="008C277F"/>
    <w:rsid w:val="008C27F7"/>
    <w:rsid w:val="008C46D9"/>
    <w:rsid w:val="008C4729"/>
    <w:rsid w:val="008C5248"/>
    <w:rsid w:val="008D0AF7"/>
    <w:rsid w:val="008D14E7"/>
    <w:rsid w:val="008D1A44"/>
    <w:rsid w:val="008D1B5A"/>
    <w:rsid w:val="008D2F19"/>
    <w:rsid w:val="008E3694"/>
    <w:rsid w:val="008E4249"/>
    <w:rsid w:val="008E70EE"/>
    <w:rsid w:val="008E746F"/>
    <w:rsid w:val="008E78B4"/>
    <w:rsid w:val="008F0161"/>
    <w:rsid w:val="008F1C78"/>
    <w:rsid w:val="008F3EDC"/>
    <w:rsid w:val="008F6AD5"/>
    <w:rsid w:val="008F6C75"/>
    <w:rsid w:val="008F705C"/>
    <w:rsid w:val="00902548"/>
    <w:rsid w:val="00902DB7"/>
    <w:rsid w:val="00903886"/>
    <w:rsid w:val="0090405B"/>
    <w:rsid w:val="009049B4"/>
    <w:rsid w:val="009061AD"/>
    <w:rsid w:val="0090765B"/>
    <w:rsid w:val="009105B7"/>
    <w:rsid w:val="00912409"/>
    <w:rsid w:val="00913058"/>
    <w:rsid w:val="0091346B"/>
    <w:rsid w:val="0091417F"/>
    <w:rsid w:val="0092081B"/>
    <w:rsid w:val="009255E3"/>
    <w:rsid w:val="009260C9"/>
    <w:rsid w:val="00930539"/>
    <w:rsid w:val="009311BB"/>
    <w:rsid w:val="00931C71"/>
    <w:rsid w:val="00935367"/>
    <w:rsid w:val="009372CC"/>
    <w:rsid w:val="00943408"/>
    <w:rsid w:val="00943FAB"/>
    <w:rsid w:val="00944625"/>
    <w:rsid w:val="00945112"/>
    <w:rsid w:val="009468A1"/>
    <w:rsid w:val="00946D02"/>
    <w:rsid w:val="00951032"/>
    <w:rsid w:val="00951AD0"/>
    <w:rsid w:val="00953922"/>
    <w:rsid w:val="0095520B"/>
    <w:rsid w:val="0096036F"/>
    <w:rsid w:val="00961505"/>
    <w:rsid w:val="00962732"/>
    <w:rsid w:val="00963E90"/>
    <w:rsid w:val="00965114"/>
    <w:rsid w:val="00965C20"/>
    <w:rsid w:val="0096644F"/>
    <w:rsid w:val="0097006C"/>
    <w:rsid w:val="00971D9E"/>
    <w:rsid w:val="009731D8"/>
    <w:rsid w:val="00974944"/>
    <w:rsid w:val="009754A5"/>
    <w:rsid w:val="009755D0"/>
    <w:rsid w:val="00975971"/>
    <w:rsid w:val="00975F6A"/>
    <w:rsid w:val="009775A5"/>
    <w:rsid w:val="00982F42"/>
    <w:rsid w:val="009831DE"/>
    <w:rsid w:val="00986734"/>
    <w:rsid w:val="009879B9"/>
    <w:rsid w:val="00990209"/>
    <w:rsid w:val="0099022A"/>
    <w:rsid w:val="00991215"/>
    <w:rsid w:val="009A0854"/>
    <w:rsid w:val="009A2890"/>
    <w:rsid w:val="009A3A36"/>
    <w:rsid w:val="009A44C4"/>
    <w:rsid w:val="009B2312"/>
    <w:rsid w:val="009B282F"/>
    <w:rsid w:val="009B472D"/>
    <w:rsid w:val="009B4B26"/>
    <w:rsid w:val="009B5232"/>
    <w:rsid w:val="009B588C"/>
    <w:rsid w:val="009C0DE0"/>
    <w:rsid w:val="009C1260"/>
    <w:rsid w:val="009C1824"/>
    <w:rsid w:val="009C4301"/>
    <w:rsid w:val="009C6336"/>
    <w:rsid w:val="009C739D"/>
    <w:rsid w:val="009C7B60"/>
    <w:rsid w:val="009D283F"/>
    <w:rsid w:val="009D4306"/>
    <w:rsid w:val="009E2A05"/>
    <w:rsid w:val="009E3121"/>
    <w:rsid w:val="009E34A7"/>
    <w:rsid w:val="009E7EA5"/>
    <w:rsid w:val="009F1726"/>
    <w:rsid w:val="009F183C"/>
    <w:rsid w:val="009F1D4F"/>
    <w:rsid w:val="009F2E9A"/>
    <w:rsid w:val="009F3608"/>
    <w:rsid w:val="009F472C"/>
    <w:rsid w:val="009F59A0"/>
    <w:rsid w:val="009F5A57"/>
    <w:rsid w:val="009F69AD"/>
    <w:rsid w:val="009F72C5"/>
    <w:rsid w:val="00A00706"/>
    <w:rsid w:val="00A00F62"/>
    <w:rsid w:val="00A0110B"/>
    <w:rsid w:val="00A02194"/>
    <w:rsid w:val="00A02FC6"/>
    <w:rsid w:val="00A058C4"/>
    <w:rsid w:val="00A064E5"/>
    <w:rsid w:val="00A11179"/>
    <w:rsid w:val="00A12388"/>
    <w:rsid w:val="00A12627"/>
    <w:rsid w:val="00A145AF"/>
    <w:rsid w:val="00A15D84"/>
    <w:rsid w:val="00A224A4"/>
    <w:rsid w:val="00A22B98"/>
    <w:rsid w:val="00A22C7B"/>
    <w:rsid w:val="00A25A03"/>
    <w:rsid w:val="00A31D20"/>
    <w:rsid w:val="00A3469A"/>
    <w:rsid w:val="00A349B2"/>
    <w:rsid w:val="00A36DC4"/>
    <w:rsid w:val="00A373C6"/>
    <w:rsid w:val="00A40693"/>
    <w:rsid w:val="00A41067"/>
    <w:rsid w:val="00A43503"/>
    <w:rsid w:val="00A4391C"/>
    <w:rsid w:val="00A43F61"/>
    <w:rsid w:val="00A45887"/>
    <w:rsid w:val="00A47194"/>
    <w:rsid w:val="00A527A9"/>
    <w:rsid w:val="00A63B36"/>
    <w:rsid w:val="00A642EE"/>
    <w:rsid w:val="00A653D2"/>
    <w:rsid w:val="00A65917"/>
    <w:rsid w:val="00A70753"/>
    <w:rsid w:val="00A72141"/>
    <w:rsid w:val="00A73E71"/>
    <w:rsid w:val="00A81785"/>
    <w:rsid w:val="00A81E86"/>
    <w:rsid w:val="00A821E5"/>
    <w:rsid w:val="00A82CC6"/>
    <w:rsid w:val="00A86B9C"/>
    <w:rsid w:val="00A92DA5"/>
    <w:rsid w:val="00A930EC"/>
    <w:rsid w:val="00A93576"/>
    <w:rsid w:val="00A93C5B"/>
    <w:rsid w:val="00A94885"/>
    <w:rsid w:val="00A9687B"/>
    <w:rsid w:val="00A97DCF"/>
    <w:rsid w:val="00AA0467"/>
    <w:rsid w:val="00AA19B7"/>
    <w:rsid w:val="00AA2126"/>
    <w:rsid w:val="00AA2C45"/>
    <w:rsid w:val="00AA3AFE"/>
    <w:rsid w:val="00AA59D2"/>
    <w:rsid w:val="00AB3193"/>
    <w:rsid w:val="00AB5E9C"/>
    <w:rsid w:val="00AB7CED"/>
    <w:rsid w:val="00AC177A"/>
    <w:rsid w:val="00AC1D86"/>
    <w:rsid w:val="00AC1FE8"/>
    <w:rsid w:val="00AC2835"/>
    <w:rsid w:val="00AC2BA8"/>
    <w:rsid w:val="00AC6DDB"/>
    <w:rsid w:val="00AC7E2F"/>
    <w:rsid w:val="00AD2646"/>
    <w:rsid w:val="00AD2928"/>
    <w:rsid w:val="00AD3E8C"/>
    <w:rsid w:val="00AD5EF7"/>
    <w:rsid w:val="00AD6412"/>
    <w:rsid w:val="00AE1F6B"/>
    <w:rsid w:val="00AE5454"/>
    <w:rsid w:val="00AE5928"/>
    <w:rsid w:val="00AE5F6E"/>
    <w:rsid w:val="00AE60DC"/>
    <w:rsid w:val="00AE6E88"/>
    <w:rsid w:val="00AE7158"/>
    <w:rsid w:val="00AE7A21"/>
    <w:rsid w:val="00AE7C9A"/>
    <w:rsid w:val="00AF186F"/>
    <w:rsid w:val="00AF6F27"/>
    <w:rsid w:val="00AF6FF1"/>
    <w:rsid w:val="00B004F3"/>
    <w:rsid w:val="00B0199D"/>
    <w:rsid w:val="00B02E61"/>
    <w:rsid w:val="00B0327D"/>
    <w:rsid w:val="00B0331B"/>
    <w:rsid w:val="00B03B71"/>
    <w:rsid w:val="00B11BFA"/>
    <w:rsid w:val="00B14267"/>
    <w:rsid w:val="00B170BB"/>
    <w:rsid w:val="00B20B0F"/>
    <w:rsid w:val="00B22782"/>
    <w:rsid w:val="00B27B52"/>
    <w:rsid w:val="00B30404"/>
    <w:rsid w:val="00B31244"/>
    <w:rsid w:val="00B31931"/>
    <w:rsid w:val="00B31985"/>
    <w:rsid w:val="00B3796B"/>
    <w:rsid w:val="00B414DB"/>
    <w:rsid w:val="00B41887"/>
    <w:rsid w:val="00B4291F"/>
    <w:rsid w:val="00B44102"/>
    <w:rsid w:val="00B46926"/>
    <w:rsid w:val="00B50D5E"/>
    <w:rsid w:val="00B50F40"/>
    <w:rsid w:val="00B516CC"/>
    <w:rsid w:val="00B55784"/>
    <w:rsid w:val="00B558CD"/>
    <w:rsid w:val="00B55B2F"/>
    <w:rsid w:val="00B55DE3"/>
    <w:rsid w:val="00B660DC"/>
    <w:rsid w:val="00B6636D"/>
    <w:rsid w:val="00B66BAE"/>
    <w:rsid w:val="00B71618"/>
    <w:rsid w:val="00B71C7C"/>
    <w:rsid w:val="00B74694"/>
    <w:rsid w:val="00B76314"/>
    <w:rsid w:val="00B77254"/>
    <w:rsid w:val="00B826DD"/>
    <w:rsid w:val="00B86E9C"/>
    <w:rsid w:val="00B968DA"/>
    <w:rsid w:val="00B972FE"/>
    <w:rsid w:val="00B976EE"/>
    <w:rsid w:val="00BA10E3"/>
    <w:rsid w:val="00BA263A"/>
    <w:rsid w:val="00BA2CC4"/>
    <w:rsid w:val="00BA3CB2"/>
    <w:rsid w:val="00BA576B"/>
    <w:rsid w:val="00BB001C"/>
    <w:rsid w:val="00BB1B4D"/>
    <w:rsid w:val="00BB23F4"/>
    <w:rsid w:val="00BB35C0"/>
    <w:rsid w:val="00BB476A"/>
    <w:rsid w:val="00BB5448"/>
    <w:rsid w:val="00BB5CE8"/>
    <w:rsid w:val="00BB69A8"/>
    <w:rsid w:val="00BB7411"/>
    <w:rsid w:val="00BC1690"/>
    <w:rsid w:val="00BC4C43"/>
    <w:rsid w:val="00BC59F3"/>
    <w:rsid w:val="00BC7099"/>
    <w:rsid w:val="00BD01DC"/>
    <w:rsid w:val="00BD04E8"/>
    <w:rsid w:val="00BD126F"/>
    <w:rsid w:val="00BD1EB4"/>
    <w:rsid w:val="00BD4684"/>
    <w:rsid w:val="00BD530F"/>
    <w:rsid w:val="00BD5C44"/>
    <w:rsid w:val="00BE00B4"/>
    <w:rsid w:val="00BE3D55"/>
    <w:rsid w:val="00BF4334"/>
    <w:rsid w:val="00BF76FE"/>
    <w:rsid w:val="00C017E3"/>
    <w:rsid w:val="00C02937"/>
    <w:rsid w:val="00C03FBD"/>
    <w:rsid w:val="00C0420B"/>
    <w:rsid w:val="00C0430C"/>
    <w:rsid w:val="00C15EFF"/>
    <w:rsid w:val="00C219C7"/>
    <w:rsid w:val="00C263F9"/>
    <w:rsid w:val="00C26C2F"/>
    <w:rsid w:val="00C26D10"/>
    <w:rsid w:val="00C31352"/>
    <w:rsid w:val="00C31356"/>
    <w:rsid w:val="00C3356C"/>
    <w:rsid w:val="00C33647"/>
    <w:rsid w:val="00C3526C"/>
    <w:rsid w:val="00C353C9"/>
    <w:rsid w:val="00C37580"/>
    <w:rsid w:val="00C40841"/>
    <w:rsid w:val="00C42B66"/>
    <w:rsid w:val="00C44A77"/>
    <w:rsid w:val="00C46BED"/>
    <w:rsid w:val="00C47080"/>
    <w:rsid w:val="00C472F3"/>
    <w:rsid w:val="00C518D7"/>
    <w:rsid w:val="00C52836"/>
    <w:rsid w:val="00C534AA"/>
    <w:rsid w:val="00C55312"/>
    <w:rsid w:val="00C5571C"/>
    <w:rsid w:val="00C55C67"/>
    <w:rsid w:val="00C6162E"/>
    <w:rsid w:val="00C6187C"/>
    <w:rsid w:val="00C62B71"/>
    <w:rsid w:val="00C62EA3"/>
    <w:rsid w:val="00C71F85"/>
    <w:rsid w:val="00C72B3A"/>
    <w:rsid w:val="00C72FF6"/>
    <w:rsid w:val="00C76305"/>
    <w:rsid w:val="00C800CB"/>
    <w:rsid w:val="00C83CC9"/>
    <w:rsid w:val="00C85043"/>
    <w:rsid w:val="00C85399"/>
    <w:rsid w:val="00C85590"/>
    <w:rsid w:val="00C85E67"/>
    <w:rsid w:val="00C91D01"/>
    <w:rsid w:val="00C95375"/>
    <w:rsid w:val="00CB1EE3"/>
    <w:rsid w:val="00CB5811"/>
    <w:rsid w:val="00CC0064"/>
    <w:rsid w:val="00CC2F28"/>
    <w:rsid w:val="00CC34A3"/>
    <w:rsid w:val="00CD120F"/>
    <w:rsid w:val="00CD15BB"/>
    <w:rsid w:val="00CD444B"/>
    <w:rsid w:val="00CD717E"/>
    <w:rsid w:val="00CE122C"/>
    <w:rsid w:val="00CE2600"/>
    <w:rsid w:val="00CE4C15"/>
    <w:rsid w:val="00CE7B18"/>
    <w:rsid w:val="00CF0ED3"/>
    <w:rsid w:val="00CF2FBA"/>
    <w:rsid w:val="00CF5F56"/>
    <w:rsid w:val="00CF6C30"/>
    <w:rsid w:val="00CF7D0F"/>
    <w:rsid w:val="00D00064"/>
    <w:rsid w:val="00D0045F"/>
    <w:rsid w:val="00D00BEF"/>
    <w:rsid w:val="00D01359"/>
    <w:rsid w:val="00D02B32"/>
    <w:rsid w:val="00D02C8C"/>
    <w:rsid w:val="00D035F4"/>
    <w:rsid w:val="00D05E04"/>
    <w:rsid w:val="00D13FC1"/>
    <w:rsid w:val="00D16013"/>
    <w:rsid w:val="00D171C1"/>
    <w:rsid w:val="00D17D99"/>
    <w:rsid w:val="00D208C0"/>
    <w:rsid w:val="00D3135D"/>
    <w:rsid w:val="00D3233E"/>
    <w:rsid w:val="00D356F0"/>
    <w:rsid w:val="00D35F46"/>
    <w:rsid w:val="00D36A22"/>
    <w:rsid w:val="00D41B83"/>
    <w:rsid w:val="00D420A3"/>
    <w:rsid w:val="00D47176"/>
    <w:rsid w:val="00D51252"/>
    <w:rsid w:val="00D514CE"/>
    <w:rsid w:val="00D51805"/>
    <w:rsid w:val="00D52CCE"/>
    <w:rsid w:val="00D53835"/>
    <w:rsid w:val="00D552DD"/>
    <w:rsid w:val="00D55ED4"/>
    <w:rsid w:val="00D57DCB"/>
    <w:rsid w:val="00D6069A"/>
    <w:rsid w:val="00D606B9"/>
    <w:rsid w:val="00D63B9D"/>
    <w:rsid w:val="00D63E2C"/>
    <w:rsid w:val="00D65832"/>
    <w:rsid w:val="00D674DB"/>
    <w:rsid w:val="00D67A35"/>
    <w:rsid w:val="00D67BCF"/>
    <w:rsid w:val="00D705B9"/>
    <w:rsid w:val="00D765E3"/>
    <w:rsid w:val="00D77C17"/>
    <w:rsid w:val="00D77E74"/>
    <w:rsid w:val="00D80906"/>
    <w:rsid w:val="00D85F45"/>
    <w:rsid w:val="00D8735A"/>
    <w:rsid w:val="00D87450"/>
    <w:rsid w:val="00D9174B"/>
    <w:rsid w:val="00D929EC"/>
    <w:rsid w:val="00D9689F"/>
    <w:rsid w:val="00DA10CC"/>
    <w:rsid w:val="00DA41C9"/>
    <w:rsid w:val="00DA48B1"/>
    <w:rsid w:val="00DA499F"/>
    <w:rsid w:val="00DA5177"/>
    <w:rsid w:val="00DB3A07"/>
    <w:rsid w:val="00DB71E4"/>
    <w:rsid w:val="00DB7F1B"/>
    <w:rsid w:val="00DC6C94"/>
    <w:rsid w:val="00DD2341"/>
    <w:rsid w:val="00DD3DED"/>
    <w:rsid w:val="00DD73FD"/>
    <w:rsid w:val="00DD7808"/>
    <w:rsid w:val="00DE0B43"/>
    <w:rsid w:val="00DE3A99"/>
    <w:rsid w:val="00DE4F55"/>
    <w:rsid w:val="00DE5836"/>
    <w:rsid w:val="00DE7485"/>
    <w:rsid w:val="00DF7376"/>
    <w:rsid w:val="00DF7D0D"/>
    <w:rsid w:val="00E01A5B"/>
    <w:rsid w:val="00E01B62"/>
    <w:rsid w:val="00E054C4"/>
    <w:rsid w:val="00E06653"/>
    <w:rsid w:val="00E0740A"/>
    <w:rsid w:val="00E13C03"/>
    <w:rsid w:val="00E1418C"/>
    <w:rsid w:val="00E14641"/>
    <w:rsid w:val="00E14828"/>
    <w:rsid w:val="00E16027"/>
    <w:rsid w:val="00E170F8"/>
    <w:rsid w:val="00E171FE"/>
    <w:rsid w:val="00E21BC5"/>
    <w:rsid w:val="00E21E1D"/>
    <w:rsid w:val="00E244B6"/>
    <w:rsid w:val="00E24F7B"/>
    <w:rsid w:val="00E2632C"/>
    <w:rsid w:val="00E27BC8"/>
    <w:rsid w:val="00E30143"/>
    <w:rsid w:val="00E31A95"/>
    <w:rsid w:val="00E34258"/>
    <w:rsid w:val="00E3664A"/>
    <w:rsid w:val="00E41D1C"/>
    <w:rsid w:val="00E42F92"/>
    <w:rsid w:val="00E4320F"/>
    <w:rsid w:val="00E43A9F"/>
    <w:rsid w:val="00E450CA"/>
    <w:rsid w:val="00E451D4"/>
    <w:rsid w:val="00E4751B"/>
    <w:rsid w:val="00E509EA"/>
    <w:rsid w:val="00E50D72"/>
    <w:rsid w:val="00E52808"/>
    <w:rsid w:val="00E54238"/>
    <w:rsid w:val="00E551D8"/>
    <w:rsid w:val="00E6021A"/>
    <w:rsid w:val="00E636D7"/>
    <w:rsid w:val="00E63D65"/>
    <w:rsid w:val="00E6411A"/>
    <w:rsid w:val="00E64CD7"/>
    <w:rsid w:val="00E65AB8"/>
    <w:rsid w:val="00E661CA"/>
    <w:rsid w:val="00E67B55"/>
    <w:rsid w:val="00E7001F"/>
    <w:rsid w:val="00E701BE"/>
    <w:rsid w:val="00E73B5A"/>
    <w:rsid w:val="00E778D8"/>
    <w:rsid w:val="00E834A5"/>
    <w:rsid w:val="00E845A2"/>
    <w:rsid w:val="00E8589D"/>
    <w:rsid w:val="00E86E6A"/>
    <w:rsid w:val="00E90A97"/>
    <w:rsid w:val="00E93884"/>
    <w:rsid w:val="00E9526C"/>
    <w:rsid w:val="00E96AF4"/>
    <w:rsid w:val="00EA112B"/>
    <w:rsid w:val="00EA209C"/>
    <w:rsid w:val="00EA3D6B"/>
    <w:rsid w:val="00EA695F"/>
    <w:rsid w:val="00EA6CE1"/>
    <w:rsid w:val="00EB43A9"/>
    <w:rsid w:val="00EB4513"/>
    <w:rsid w:val="00EC0BA5"/>
    <w:rsid w:val="00EC1F16"/>
    <w:rsid w:val="00EC3F5C"/>
    <w:rsid w:val="00EC41C4"/>
    <w:rsid w:val="00EC51A2"/>
    <w:rsid w:val="00EC77F8"/>
    <w:rsid w:val="00EC7CD5"/>
    <w:rsid w:val="00ED1245"/>
    <w:rsid w:val="00ED2E64"/>
    <w:rsid w:val="00EE0090"/>
    <w:rsid w:val="00EE2212"/>
    <w:rsid w:val="00EE3896"/>
    <w:rsid w:val="00EE4B79"/>
    <w:rsid w:val="00EE6105"/>
    <w:rsid w:val="00EE7CFF"/>
    <w:rsid w:val="00EF1E4A"/>
    <w:rsid w:val="00EF7BDE"/>
    <w:rsid w:val="00F000CC"/>
    <w:rsid w:val="00F018A9"/>
    <w:rsid w:val="00F01A68"/>
    <w:rsid w:val="00F01E1E"/>
    <w:rsid w:val="00F0229E"/>
    <w:rsid w:val="00F04956"/>
    <w:rsid w:val="00F053BA"/>
    <w:rsid w:val="00F05CDD"/>
    <w:rsid w:val="00F06100"/>
    <w:rsid w:val="00F069AB"/>
    <w:rsid w:val="00F070A0"/>
    <w:rsid w:val="00F0745E"/>
    <w:rsid w:val="00F07A50"/>
    <w:rsid w:val="00F1004A"/>
    <w:rsid w:val="00F11BA0"/>
    <w:rsid w:val="00F1235B"/>
    <w:rsid w:val="00F14A08"/>
    <w:rsid w:val="00F152AB"/>
    <w:rsid w:val="00F166B0"/>
    <w:rsid w:val="00F176BD"/>
    <w:rsid w:val="00F20BA4"/>
    <w:rsid w:val="00F232BA"/>
    <w:rsid w:val="00F2340A"/>
    <w:rsid w:val="00F2534A"/>
    <w:rsid w:val="00F2620E"/>
    <w:rsid w:val="00F27836"/>
    <w:rsid w:val="00F32D28"/>
    <w:rsid w:val="00F335D9"/>
    <w:rsid w:val="00F3468F"/>
    <w:rsid w:val="00F3643C"/>
    <w:rsid w:val="00F41845"/>
    <w:rsid w:val="00F41A2D"/>
    <w:rsid w:val="00F428BE"/>
    <w:rsid w:val="00F4467A"/>
    <w:rsid w:val="00F449E9"/>
    <w:rsid w:val="00F45A48"/>
    <w:rsid w:val="00F47F1C"/>
    <w:rsid w:val="00F503CA"/>
    <w:rsid w:val="00F53939"/>
    <w:rsid w:val="00F53DD8"/>
    <w:rsid w:val="00F56B64"/>
    <w:rsid w:val="00F56DB8"/>
    <w:rsid w:val="00F61252"/>
    <w:rsid w:val="00F616D0"/>
    <w:rsid w:val="00F627A5"/>
    <w:rsid w:val="00F64FBB"/>
    <w:rsid w:val="00F664CC"/>
    <w:rsid w:val="00F66D7C"/>
    <w:rsid w:val="00F67188"/>
    <w:rsid w:val="00F70D1C"/>
    <w:rsid w:val="00F71F41"/>
    <w:rsid w:val="00F73B05"/>
    <w:rsid w:val="00F75DD5"/>
    <w:rsid w:val="00F764FA"/>
    <w:rsid w:val="00F77296"/>
    <w:rsid w:val="00F776F9"/>
    <w:rsid w:val="00F80A47"/>
    <w:rsid w:val="00F81F87"/>
    <w:rsid w:val="00F8238B"/>
    <w:rsid w:val="00F82746"/>
    <w:rsid w:val="00F833ED"/>
    <w:rsid w:val="00F856EC"/>
    <w:rsid w:val="00F864E8"/>
    <w:rsid w:val="00F92394"/>
    <w:rsid w:val="00F92F0B"/>
    <w:rsid w:val="00F955B8"/>
    <w:rsid w:val="00F95622"/>
    <w:rsid w:val="00F95FF6"/>
    <w:rsid w:val="00F97413"/>
    <w:rsid w:val="00FA3721"/>
    <w:rsid w:val="00FA6E7C"/>
    <w:rsid w:val="00FA7C0A"/>
    <w:rsid w:val="00FB0BE2"/>
    <w:rsid w:val="00FB48E9"/>
    <w:rsid w:val="00FB5AC1"/>
    <w:rsid w:val="00FC4237"/>
    <w:rsid w:val="00FC7288"/>
    <w:rsid w:val="00FC78D9"/>
    <w:rsid w:val="00FD3805"/>
    <w:rsid w:val="00FD6446"/>
    <w:rsid w:val="00FE1263"/>
    <w:rsid w:val="00FE5491"/>
    <w:rsid w:val="00FE6536"/>
    <w:rsid w:val="00FF0A56"/>
    <w:rsid w:val="00FF18A8"/>
    <w:rsid w:val="00FF1B49"/>
    <w:rsid w:val="00FF4D41"/>
    <w:rsid w:val="00FF4D98"/>
    <w:rsid w:val="00FF5CB7"/>
    <w:rsid w:val="00FF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745F98C"/>
  <w15:docId w15:val="{B6D01575-B36C-40EE-B5E2-CF6E8B63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uiPriority="6" w:qFormat="1"/>
    <w:lsdException w:name="heading 3" w:uiPriority="6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iPriority="11" w:unhideWhenUsed="1" w:qFormat="1"/>
    <w:lsdException w:name="heading 7" w:semiHidden="1" w:uiPriority="12" w:unhideWhenUsed="1"/>
    <w:lsdException w:name="heading 8" w:semiHidden="1" w:uiPriority="12" w:unhideWhenUsed="1" w:qFormat="1"/>
    <w:lsdException w:name="heading 9" w:semiHidden="1" w:uiPriority="1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"/>
    <w:qFormat/>
    <w:rsid w:val="007C7ADA"/>
    <w:pPr>
      <w:spacing w:before="240" w:after="120" w:line="240" w:lineRule="atLeast"/>
    </w:pPr>
    <w:rPr>
      <w:sz w:val="20"/>
    </w:rPr>
  </w:style>
  <w:style w:type="paragraph" w:styleId="Heading1">
    <w:name w:val="heading 1"/>
    <w:next w:val="BodyText"/>
    <w:link w:val="Heading1Char"/>
    <w:uiPriority w:val="6"/>
    <w:qFormat/>
    <w:rsid w:val="005C4602"/>
    <w:pPr>
      <w:keepNext/>
      <w:keepLines/>
      <w:numPr>
        <w:numId w:val="46"/>
      </w:numPr>
      <w:spacing w:after="360" w:line="264" w:lineRule="auto"/>
      <w:outlineLvl w:val="0"/>
    </w:pPr>
    <w:rPr>
      <w:rFonts w:asciiTheme="majorHAnsi" w:eastAsiaTheme="majorEastAsia" w:hAnsiTheme="majorHAnsi" w:cstheme="majorBidi"/>
      <w:bCs/>
      <w:color w:val="009EA0"/>
      <w:sz w:val="72"/>
      <w:szCs w:val="40"/>
    </w:rPr>
  </w:style>
  <w:style w:type="paragraph" w:styleId="Heading2">
    <w:name w:val="heading 2"/>
    <w:basedOn w:val="Heading1"/>
    <w:next w:val="BodyText"/>
    <w:link w:val="Heading2Char"/>
    <w:uiPriority w:val="6"/>
    <w:qFormat/>
    <w:rsid w:val="00C46BED"/>
    <w:pPr>
      <w:numPr>
        <w:ilvl w:val="1"/>
      </w:numPr>
      <w:spacing w:before="360" w:after="240"/>
      <w:outlineLvl w:val="1"/>
    </w:pPr>
    <w:rPr>
      <w:b/>
      <w:bCs w:val="0"/>
      <w:color w:val="250E62" w:themeColor="accent1"/>
      <w:sz w:val="48"/>
      <w:szCs w:val="32"/>
    </w:rPr>
  </w:style>
  <w:style w:type="paragraph" w:styleId="Heading3">
    <w:name w:val="heading 3"/>
    <w:basedOn w:val="Heading2"/>
    <w:next w:val="BodyText"/>
    <w:link w:val="Heading3Char"/>
    <w:uiPriority w:val="6"/>
    <w:qFormat/>
    <w:rsid w:val="00744227"/>
    <w:pPr>
      <w:numPr>
        <w:ilvl w:val="2"/>
      </w:numPr>
      <w:outlineLvl w:val="2"/>
    </w:pPr>
    <w:rPr>
      <w:bCs/>
      <w:color w:val="009CA6" w:themeColor="accent2"/>
      <w:sz w:val="32"/>
      <w:szCs w:val="28"/>
    </w:rPr>
  </w:style>
  <w:style w:type="paragraph" w:styleId="Heading4">
    <w:name w:val="heading 4"/>
    <w:basedOn w:val="Heading3"/>
    <w:next w:val="BodyText"/>
    <w:link w:val="Heading4Char"/>
    <w:uiPriority w:val="7"/>
    <w:qFormat/>
    <w:rsid w:val="00744227"/>
    <w:pPr>
      <w:numPr>
        <w:ilvl w:val="0"/>
        <w:numId w:val="0"/>
      </w:numPr>
      <w:outlineLvl w:val="3"/>
    </w:pPr>
    <w:rPr>
      <w:bCs w:val="0"/>
      <w:iCs/>
      <w:color w:val="636569" w:themeColor="text2"/>
      <w:sz w:val="28"/>
    </w:rPr>
  </w:style>
  <w:style w:type="paragraph" w:styleId="Heading5">
    <w:name w:val="heading 5"/>
    <w:basedOn w:val="Heading4"/>
    <w:next w:val="BodyText"/>
    <w:link w:val="Heading5Char"/>
    <w:uiPriority w:val="7"/>
    <w:qFormat/>
    <w:rsid w:val="00744227"/>
    <w:pPr>
      <w:numPr>
        <w:ilvl w:val="4"/>
      </w:numPr>
      <w:outlineLvl w:val="4"/>
    </w:pPr>
    <w:rPr>
      <w:rFonts w:cstheme="minorHAnsi"/>
      <w:color w:val="009CA6" w:themeColor="accent2"/>
      <w:sz w:val="24"/>
      <w:szCs w:val="24"/>
    </w:rPr>
  </w:style>
  <w:style w:type="paragraph" w:styleId="Heading6">
    <w:name w:val="heading 6"/>
    <w:basedOn w:val="Heading5"/>
    <w:next w:val="BodyText"/>
    <w:link w:val="Heading6Char"/>
    <w:uiPriority w:val="7"/>
    <w:semiHidden/>
    <w:qFormat/>
    <w:rsid w:val="00E7001F"/>
    <w:pPr>
      <w:numPr>
        <w:ilvl w:val="5"/>
      </w:numPr>
      <w:outlineLvl w:val="5"/>
    </w:pPr>
    <w:rPr>
      <w:b w:val="0"/>
      <w:iCs w:val="0"/>
      <w:szCs w:val="22"/>
    </w:rPr>
  </w:style>
  <w:style w:type="paragraph" w:styleId="Heading7">
    <w:name w:val="heading 7"/>
    <w:basedOn w:val="Heading1"/>
    <w:next w:val="BodyText"/>
    <w:link w:val="Heading7Char"/>
    <w:uiPriority w:val="8"/>
    <w:semiHidden/>
    <w:rsid w:val="00B02E61"/>
    <w:pPr>
      <w:numPr>
        <w:numId w:val="0"/>
      </w:numPr>
      <w:tabs>
        <w:tab w:val="left" w:pos="2552"/>
      </w:tabs>
      <w:outlineLvl w:val="6"/>
    </w:pPr>
    <w:rPr>
      <w:iCs/>
    </w:rPr>
  </w:style>
  <w:style w:type="paragraph" w:styleId="Heading8">
    <w:name w:val="heading 8"/>
    <w:basedOn w:val="Heading7"/>
    <w:next w:val="BodyText"/>
    <w:link w:val="Heading8Char"/>
    <w:uiPriority w:val="8"/>
    <w:semiHidden/>
    <w:qFormat/>
    <w:rsid w:val="0029614E"/>
    <w:pPr>
      <w:tabs>
        <w:tab w:val="clear" w:pos="2552"/>
      </w:tabs>
      <w:spacing w:after="240"/>
      <w:outlineLvl w:val="7"/>
    </w:pPr>
    <w:rPr>
      <w:szCs w:val="20"/>
    </w:rPr>
  </w:style>
  <w:style w:type="paragraph" w:styleId="Heading9">
    <w:name w:val="heading 9"/>
    <w:basedOn w:val="Heading8"/>
    <w:next w:val="BodyText"/>
    <w:link w:val="Heading9Char"/>
    <w:uiPriority w:val="8"/>
    <w:semiHidden/>
    <w:qFormat/>
    <w:rsid w:val="0029614E"/>
    <w:pPr>
      <w:outlineLvl w:val="8"/>
    </w:pPr>
    <w:rPr>
      <w:iCs w:val="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5C4602"/>
    <w:rPr>
      <w:rFonts w:asciiTheme="majorHAnsi" w:eastAsiaTheme="majorEastAsia" w:hAnsiTheme="majorHAnsi" w:cstheme="majorBidi"/>
      <w:bCs/>
      <w:color w:val="009EA0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C46BED"/>
    <w:rPr>
      <w:rFonts w:asciiTheme="majorHAnsi" w:eastAsiaTheme="majorEastAsia" w:hAnsiTheme="majorHAnsi" w:cstheme="majorBidi"/>
      <w:b/>
      <w:color w:val="250E62" w:themeColor="accent1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6"/>
    <w:rsid w:val="00744227"/>
    <w:rPr>
      <w:rFonts w:asciiTheme="majorHAnsi" w:eastAsiaTheme="majorEastAsia" w:hAnsiTheme="majorHAnsi" w:cstheme="majorBidi"/>
      <w:b/>
      <w:bCs/>
      <w:color w:val="009CA6" w:themeColor="accent2"/>
      <w:sz w:val="32"/>
      <w:szCs w:val="28"/>
    </w:rPr>
  </w:style>
  <w:style w:type="paragraph" w:styleId="Caption">
    <w:name w:val="caption"/>
    <w:basedOn w:val="Normal"/>
    <w:next w:val="Object"/>
    <w:uiPriority w:val="4"/>
    <w:qFormat/>
    <w:rsid w:val="00823DC4"/>
    <w:pPr>
      <w:keepNext/>
      <w:keepLines/>
      <w:spacing w:before="360" w:after="240"/>
      <w:ind w:left="1134" w:hanging="1134"/>
    </w:pPr>
    <w:rPr>
      <w:bCs/>
      <w:color w:val="636569" w:themeColor="text2"/>
      <w:sz w:val="18"/>
      <w:szCs w:val="20"/>
    </w:rPr>
  </w:style>
  <w:style w:type="paragraph" w:styleId="BodyText">
    <w:name w:val="Body Text"/>
    <w:basedOn w:val="Normal"/>
    <w:link w:val="BodyTextChar"/>
    <w:qFormat/>
    <w:rsid w:val="00951AD0"/>
    <w:pPr>
      <w:keepLines/>
    </w:pPr>
  </w:style>
  <w:style w:type="character" w:customStyle="1" w:styleId="BodyTextChar">
    <w:name w:val="Body Text Char"/>
    <w:basedOn w:val="DefaultParagraphFont"/>
    <w:link w:val="BodyText"/>
    <w:rsid w:val="00951AD0"/>
    <w:rPr>
      <w:sz w:val="20"/>
    </w:rPr>
  </w:style>
  <w:style w:type="paragraph" w:styleId="TOC1">
    <w:name w:val="toc 1"/>
    <w:basedOn w:val="Normal"/>
    <w:next w:val="BodyText"/>
    <w:uiPriority w:val="39"/>
    <w:rsid w:val="0079341F"/>
    <w:pPr>
      <w:keepLines/>
      <w:tabs>
        <w:tab w:val="left" w:pos="1418"/>
        <w:tab w:val="right" w:leader="dot" w:pos="9044"/>
      </w:tabs>
      <w:spacing w:before="720" w:after="80" w:line="260" w:lineRule="atLeast"/>
      <w:ind w:left="1418" w:right="1134" w:hanging="1418"/>
    </w:pPr>
    <w:rPr>
      <w:noProof/>
      <w:color w:val="9BAE00" w:themeColor="accent3" w:themeShade="BF"/>
      <w:sz w:val="22"/>
    </w:rPr>
  </w:style>
  <w:style w:type="paragraph" w:styleId="TOC2">
    <w:name w:val="toc 2"/>
    <w:basedOn w:val="TOC1"/>
    <w:next w:val="BodyText"/>
    <w:uiPriority w:val="39"/>
    <w:rsid w:val="0079341F"/>
    <w:pPr>
      <w:keepLines w:val="0"/>
      <w:tabs>
        <w:tab w:val="clear" w:pos="1418"/>
        <w:tab w:val="left" w:pos="851"/>
      </w:tabs>
      <w:spacing w:before="80" w:after="40" w:line="240" w:lineRule="atLeast"/>
      <w:ind w:left="851" w:hanging="851"/>
    </w:pPr>
    <w:rPr>
      <w:color w:val="auto"/>
      <w:sz w:val="20"/>
    </w:rPr>
  </w:style>
  <w:style w:type="paragraph" w:styleId="TOC3">
    <w:name w:val="toc 3"/>
    <w:basedOn w:val="TOC2"/>
    <w:next w:val="BodyText"/>
    <w:uiPriority w:val="39"/>
    <w:rsid w:val="00B6636D"/>
    <w:pPr>
      <w:tabs>
        <w:tab w:val="clear" w:pos="851"/>
        <w:tab w:val="left" w:pos="1985"/>
      </w:tabs>
      <w:spacing w:before="40" w:line="220" w:lineRule="atLeast"/>
      <w:ind w:left="1985" w:hanging="1134"/>
    </w:pPr>
    <w:rPr>
      <w:sz w:val="18"/>
    </w:rPr>
  </w:style>
  <w:style w:type="paragraph" w:styleId="TOC4">
    <w:name w:val="toc 4"/>
    <w:basedOn w:val="TOC1"/>
    <w:next w:val="BodyText"/>
    <w:uiPriority w:val="99"/>
    <w:rsid w:val="00B6636D"/>
    <w:pPr>
      <w:spacing w:after="240"/>
      <w:ind w:left="0" w:firstLine="0"/>
    </w:pPr>
  </w:style>
  <w:style w:type="paragraph" w:styleId="TOC5">
    <w:name w:val="toc 5"/>
    <w:basedOn w:val="TOC2"/>
    <w:next w:val="BodyText"/>
    <w:uiPriority w:val="99"/>
    <w:rsid w:val="00B6636D"/>
  </w:style>
  <w:style w:type="paragraph" w:styleId="TOC6">
    <w:name w:val="toc 6"/>
    <w:basedOn w:val="TOC3"/>
    <w:next w:val="BodyText"/>
    <w:uiPriority w:val="99"/>
    <w:rsid w:val="00B6636D"/>
  </w:style>
  <w:style w:type="character" w:customStyle="1" w:styleId="Heading4Char">
    <w:name w:val="Heading 4 Char"/>
    <w:basedOn w:val="DefaultParagraphFont"/>
    <w:link w:val="Heading4"/>
    <w:uiPriority w:val="7"/>
    <w:rsid w:val="00744227"/>
    <w:rPr>
      <w:rFonts w:asciiTheme="majorHAnsi" w:eastAsiaTheme="majorEastAsia" w:hAnsiTheme="majorHAnsi" w:cstheme="majorBidi"/>
      <w:b/>
      <w:iCs/>
      <w:color w:val="636569" w:themeColor="text2"/>
      <w:sz w:val="28"/>
      <w:szCs w:val="28"/>
    </w:rPr>
  </w:style>
  <w:style w:type="paragraph" w:styleId="TOC7">
    <w:name w:val="toc 7"/>
    <w:basedOn w:val="TOC1"/>
    <w:next w:val="BodyText"/>
    <w:uiPriority w:val="39"/>
    <w:rsid w:val="00B6636D"/>
  </w:style>
  <w:style w:type="character" w:customStyle="1" w:styleId="Heading5Char">
    <w:name w:val="Heading 5 Char"/>
    <w:basedOn w:val="DefaultParagraphFont"/>
    <w:link w:val="Heading5"/>
    <w:uiPriority w:val="7"/>
    <w:rsid w:val="00744227"/>
    <w:rPr>
      <w:rFonts w:asciiTheme="majorHAnsi" w:eastAsiaTheme="majorEastAsia" w:hAnsiTheme="majorHAnsi" w:cstheme="minorHAnsi"/>
      <w:b/>
      <w:iCs/>
      <w:color w:val="009CA6" w:themeColor="accent2"/>
      <w:sz w:val="24"/>
      <w:szCs w:val="24"/>
    </w:rPr>
  </w:style>
  <w:style w:type="paragraph" w:styleId="TOC8">
    <w:name w:val="toc 8"/>
    <w:basedOn w:val="TOC7"/>
    <w:next w:val="BodyText"/>
    <w:uiPriority w:val="39"/>
    <w:rsid w:val="00B6636D"/>
    <w:pPr>
      <w:tabs>
        <w:tab w:val="left" w:pos="851"/>
      </w:tabs>
      <w:spacing w:before="60"/>
      <w:ind w:left="850" w:hanging="510"/>
    </w:pPr>
    <w:rPr>
      <w:color w:val="636569" w:themeColor="text2"/>
    </w:rPr>
  </w:style>
  <w:style w:type="character" w:customStyle="1" w:styleId="Heading6Char">
    <w:name w:val="Heading 6 Char"/>
    <w:basedOn w:val="DefaultParagraphFont"/>
    <w:link w:val="Heading6"/>
    <w:uiPriority w:val="7"/>
    <w:semiHidden/>
    <w:rsid w:val="00E054C4"/>
    <w:rPr>
      <w:rFonts w:ascii="Arial" w:eastAsiaTheme="majorEastAsia" w:hAnsi="Arial" w:cstheme="minorHAnsi"/>
      <w:b/>
      <w:color w:val="250E62" w:themeColor="accent1"/>
      <w:sz w:val="24"/>
    </w:rPr>
  </w:style>
  <w:style w:type="paragraph" w:styleId="TOC9">
    <w:name w:val="toc 9"/>
    <w:basedOn w:val="TOC8"/>
    <w:next w:val="BodyText"/>
    <w:uiPriority w:val="39"/>
    <w:rsid w:val="00B6636D"/>
    <w:pPr>
      <w:tabs>
        <w:tab w:val="clear" w:pos="851"/>
        <w:tab w:val="left" w:pos="1531"/>
      </w:tabs>
      <w:ind w:left="1531" w:hanging="680"/>
    </w:pPr>
  </w:style>
  <w:style w:type="paragraph" w:styleId="TOCHeading">
    <w:name w:val="TOC Heading"/>
    <w:basedOn w:val="Heading1"/>
    <w:next w:val="BodyText"/>
    <w:uiPriority w:val="99"/>
    <w:qFormat/>
    <w:rsid w:val="005C4602"/>
    <w:pPr>
      <w:pageBreakBefore/>
      <w:numPr>
        <w:numId w:val="0"/>
      </w:numPr>
      <w:outlineLvl w:val="9"/>
    </w:pPr>
    <w:rPr>
      <w:color w:val="009CA6" w:themeColor="accent2"/>
    </w:rPr>
  </w:style>
  <w:style w:type="paragraph" w:customStyle="1" w:styleId="BodyIndent2">
    <w:name w:val="Body Indent 2"/>
    <w:basedOn w:val="BodyBullet2"/>
    <w:uiPriority w:val="9"/>
    <w:qFormat/>
    <w:rsid w:val="00D47176"/>
    <w:pPr>
      <w:numPr>
        <w:ilvl w:val="0"/>
        <w:numId w:val="0"/>
      </w:numPr>
      <w:ind w:left="680"/>
    </w:pPr>
  </w:style>
  <w:style w:type="paragraph" w:customStyle="1" w:styleId="BodyIndent3">
    <w:name w:val="Body Indent 3"/>
    <w:basedOn w:val="BodyBullet3"/>
    <w:uiPriority w:val="9"/>
    <w:qFormat/>
    <w:rsid w:val="00D47176"/>
    <w:pPr>
      <w:numPr>
        <w:ilvl w:val="0"/>
        <w:numId w:val="0"/>
      </w:numPr>
      <w:ind w:left="1021"/>
    </w:pPr>
  </w:style>
  <w:style w:type="character" w:styleId="EndnoteReference">
    <w:name w:val="endnote reference"/>
    <w:basedOn w:val="DefaultParagraphFont"/>
    <w:uiPriority w:val="14"/>
    <w:qFormat/>
    <w:rsid w:val="006B2BBF"/>
    <w:rPr>
      <w:rFonts w:asciiTheme="minorHAnsi" w:hAnsiTheme="minorHAnsi"/>
      <w:vertAlign w:val="superscript"/>
    </w:rPr>
  </w:style>
  <w:style w:type="paragraph" w:styleId="ListBullet">
    <w:name w:val="List Bullet"/>
    <w:basedOn w:val="BodyText"/>
    <w:uiPriority w:val="99"/>
    <w:semiHidden/>
    <w:rsid w:val="005C0ABF"/>
    <w:pPr>
      <w:numPr>
        <w:numId w:val="1"/>
      </w:numPr>
      <w:spacing w:before="120"/>
      <w:contextualSpacing/>
    </w:pPr>
  </w:style>
  <w:style w:type="table" w:styleId="TableGrid">
    <w:name w:val="Table Grid"/>
    <w:basedOn w:val="TableNormal"/>
    <w:uiPriority w:val="59"/>
    <w:rsid w:val="00F42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rce">
    <w:name w:val="Source"/>
    <w:basedOn w:val="Caption"/>
    <w:next w:val="BodyText"/>
    <w:uiPriority w:val="9"/>
    <w:qFormat/>
    <w:rsid w:val="00FB0BE2"/>
    <w:pPr>
      <w:keepNext w:val="0"/>
      <w:spacing w:before="120" w:after="360"/>
      <w:ind w:left="0" w:firstLine="0"/>
    </w:pPr>
    <w:rPr>
      <w:color w:val="A4A2A4" w:themeColor="background2"/>
      <w:szCs w:val="18"/>
    </w:rPr>
  </w:style>
  <w:style w:type="paragraph" w:styleId="ListBullet2">
    <w:name w:val="List Bullet 2"/>
    <w:basedOn w:val="ListBullet"/>
    <w:uiPriority w:val="99"/>
    <w:semiHidden/>
    <w:rsid w:val="00147E56"/>
    <w:pPr>
      <w:numPr>
        <w:ilvl w:val="1"/>
      </w:numPr>
    </w:pPr>
  </w:style>
  <w:style w:type="paragraph" w:customStyle="1" w:styleId="TableText">
    <w:name w:val="Table Text"/>
    <w:basedOn w:val="Normal"/>
    <w:uiPriority w:val="3"/>
    <w:qFormat/>
    <w:rsid w:val="00C55312"/>
    <w:pPr>
      <w:numPr>
        <w:numId w:val="25"/>
      </w:numPr>
      <w:spacing w:before="60" w:after="60" w:line="240" w:lineRule="auto"/>
    </w:pPr>
    <w:rPr>
      <w:sz w:val="18"/>
      <w:szCs w:val="20"/>
    </w:rPr>
  </w:style>
  <w:style w:type="paragraph" w:styleId="EndnoteText">
    <w:name w:val="endnote text"/>
    <w:basedOn w:val="Normal"/>
    <w:link w:val="EndnoteTextChar"/>
    <w:uiPriority w:val="14"/>
    <w:qFormat/>
    <w:rsid w:val="00951AD0"/>
    <w:pPr>
      <w:ind w:left="340" w:hanging="340"/>
    </w:pPr>
    <w:rPr>
      <w:sz w:val="18"/>
      <w:szCs w:val="18"/>
    </w:rPr>
  </w:style>
  <w:style w:type="paragraph" w:styleId="ListBullet3">
    <w:name w:val="List Bullet 3"/>
    <w:basedOn w:val="ListBullet2"/>
    <w:uiPriority w:val="99"/>
    <w:semiHidden/>
    <w:rsid w:val="00147E56"/>
    <w:pPr>
      <w:numPr>
        <w:ilvl w:val="2"/>
      </w:numPr>
    </w:pPr>
  </w:style>
  <w:style w:type="character" w:customStyle="1" w:styleId="EndnoteTextChar">
    <w:name w:val="Endnote Text Char"/>
    <w:basedOn w:val="DefaultParagraphFont"/>
    <w:link w:val="EndnoteText"/>
    <w:uiPriority w:val="14"/>
    <w:rsid w:val="00951AD0"/>
    <w:rPr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951AD0"/>
    <w:pPr>
      <w:spacing w:before="600"/>
      <w:jc w:val="right"/>
    </w:pPr>
    <w:rPr>
      <w:rFonts w:cstheme="minorHAnsi"/>
      <w:noProof/>
      <w:color w:val="636569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51AD0"/>
    <w:rPr>
      <w:rFonts w:cstheme="minorHAnsi"/>
      <w:noProof/>
      <w:color w:val="636569" w:themeColor="text2"/>
      <w:sz w:val="18"/>
      <w:szCs w:val="18"/>
    </w:rPr>
  </w:style>
  <w:style w:type="character" w:styleId="FootnoteReference">
    <w:name w:val="footnote reference"/>
    <w:basedOn w:val="DefaultParagraphFont"/>
    <w:uiPriority w:val="10"/>
    <w:qFormat/>
    <w:rsid w:val="00147E56"/>
    <w:rPr>
      <w:vertAlign w:val="superscript"/>
    </w:rPr>
  </w:style>
  <w:style w:type="paragraph" w:styleId="FootnoteText">
    <w:name w:val="footnote text"/>
    <w:basedOn w:val="Normal"/>
    <w:link w:val="FootnoteTextChar"/>
    <w:uiPriority w:val="10"/>
    <w:qFormat/>
    <w:rsid w:val="00951AD0"/>
    <w:pPr>
      <w:ind w:left="340" w:hanging="34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10"/>
    <w:rsid w:val="00951AD0"/>
    <w:rPr>
      <w:sz w:val="18"/>
      <w:szCs w:val="18"/>
    </w:rPr>
  </w:style>
  <w:style w:type="paragraph" w:styleId="Header">
    <w:name w:val="header"/>
    <w:basedOn w:val="Normal"/>
    <w:link w:val="HeaderChar"/>
    <w:uiPriority w:val="99"/>
    <w:qFormat/>
    <w:rsid w:val="007C7ADA"/>
    <w:pPr>
      <w:spacing w:before="80" w:after="1800" w:line="280" w:lineRule="atLeast"/>
    </w:pPr>
    <w:rPr>
      <w:color w:val="009CA6" w:themeColor="accent2"/>
      <w:sz w:val="24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7ADA"/>
    <w:rPr>
      <w:color w:val="009CA6" w:themeColor="accent2"/>
      <w:sz w:val="24"/>
      <w:szCs w:val="18"/>
    </w:rPr>
  </w:style>
  <w:style w:type="character" w:styleId="Hyperlink">
    <w:name w:val="Hyperlink"/>
    <w:basedOn w:val="DefaultParagraphFont"/>
    <w:uiPriority w:val="99"/>
    <w:qFormat/>
    <w:rsid w:val="005C4602"/>
    <w:rPr>
      <w:color w:val="250E62" w:themeColor="accent1"/>
    </w:rPr>
  </w:style>
  <w:style w:type="paragraph" w:styleId="ListNumber">
    <w:name w:val="List Number"/>
    <w:basedOn w:val="BodyText"/>
    <w:uiPriority w:val="99"/>
    <w:semiHidden/>
    <w:rsid w:val="00147E56"/>
    <w:pPr>
      <w:numPr>
        <w:numId w:val="4"/>
      </w:numPr>
      <w:contextualSpacing/>
    </w:pPr>
  </w:style>
  <w:style w:type="paragraph" w:styleId="ListNumber2">
    <w:name w:val="List Number 2"/>
    <w:basedOn w:val="ListNumber"/>
    <w:uiPriority w:val="99"/>
    <w:semiHidden/>
    <w:rsid w:val="00147E56"/>
    <w:pPr>
      <w:numPr>
        <w:numId w:val="5"/>
      </w:numPr>
    </w:pPr>
  </w:style>
  <w:style w:type="paragraph" w:styleId="ListNumber3">
    <w:name w:val="List Number 3"/>
    <w:basedOn w:val="List2"/>
    <w:uiPriority w:val="99"/>
    <w:semiHidden/>
    <w:rsid w:val="00147E56"/>
    <w:pPr>
      <w:numPr>
        <w:numId w:val="6"/>
      </w:numPr>
    </w:pPr>
  </w:style>
  <w:style w:type="character" w:styleId="PageNumber">
    <w:name w:val="page number"/>
    <w:basedOn w:val="DefaultParagraphFont"/>
    <w:uiPriority w:val="99"/>
    <w:semiHidden/>
    <w:rsid w:val="00147E56"/>
  </w:style>
  <w:style w:type="paragraph" w:styleId="List2">
    <w:name w:val="List 2"/>
    <w:basedOn w:val="Normal"/>
    <w:uiPriority w:val="99"/>
    <w:semiHidden/>
    <w:rsid w:val="00147E56"/>
    <w:pPr>
      <w:ind w:left="566" w:hanging="283"/>
      <w:contextualSpacing/>
    </w:pPr>
  </w:style>
  <w:style w:type="paragraph" w:styleId="TableofFigures">
    <w:name w:val="table of figures"/>
    <w:basedOn w:val="TOC1"/>
    <w:next w:val="BodyText"/>
    <w:uiPriority w:val="99"/>
    <w:rsid w:val="00B6636D"/>
    <w:pPr>
      <w:spacing w:before="60"/>
    </w:pPr>
    <w:rPr>
      <w:color w:val="000000" w:themeColor="text1"/>
      <w:sz w:val="20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8C22EF"/>
    <w:rPr>
      <w:rFonts w:ascii="Arial" w:eastAsiaTheme="majorEastAsia" w:hAnsi="Arial" w:cstheme="majorBidi"/>
      <w:bCs/>
      <w:iCs/>
      <w:color w:val="A4A2A4" w:themeColor="background2"/>
      <w:sz w:val="40"/>
      <w:szCs w:val="40"/>
    </w:rPr>
  </w:style>
  <w:style w:type="paragraph" w:customStyle="1" w:styleId="TableBullet1">
    <w:name w:val="Table Bullet 1"/>
    <w:basedOn w:val="TableText"/>
    <w:uiPriority w:val="3"/>
    <w:qFormat/>
    <w:rsid w:val="00C219C7"/>
    <w:pPr>
      <w:numPr>
        <w:numId w:val="16"/>
      </w:numPr>
    </w:pPr>
  </w:style>
  <w:style w:type="paragraph" w:customStyle="1" w:styleId="TableBullet2">
    <w:name w:val="Table Bullet 2"/>
    <w:basedOn w:val="TableBullet1"/>
    <w:uiPriority w:val="3"/>
    <w:qFormat/>
    <w:rsid w:val="00C219C7"/>
    <w:pPr>
      <w:numPr>
        <w:ilvl w:val="1"/>
      </w:numPr>
    </w:pPr>
  </w:style>
  <w:style w:type="paragraph" w:customStyle="1" w:styleId="BodyNumbering1">
    <w:name w:val="Body Numbering 1"/>
    <w:basedOn w:val="BodyBullet1"/>
    <w:uiPriority w:val="99"/>
    <w:qFormat/>
    <w:rsid w:val="00320D25"/>
    <w:pPr>
      <w:numPr>
        <w:ilvl w:val="3"/>
      </w:numPr>
    </w:pPr>
  </w:style>
  <w:style w:type="paragraph" w:customStyle="1" w:styleId="BodyNumbering2">
    <w:name w:val="Body Numbering 2"/>
    <w:basedOn w:val="BodyNumbering1"/>
    <w:uiPriority w:val="99"/>
    <w:qFormat/>
    <w:rsid w:val="00E43A9F"/>
    <w:pPr>
      <w:numPr>
        <w:ilvl w:val="4"/>
      </w:numPr>
    </w:pPr>
  </w:style>
  <w:style w:type="paragraph" w:customStyle="1" w:styleId="BodyBullet1">
    <w:name w:val="Body Bullet 1"/>
    <w:basedOn w:val="BodyText"/>
    <w:uiPriority w:val="1"/>
    <w:qFormat/>
    <w:rsid w:val="00E14641"/>
    <w:pPr>
      <w:numPr>
        <w:numId w:val="12"/>
      </w:numPr>
      <w:spacing w:before="120"/>
    </w:pPr>
  </w:style>
  <w:style w:type="paragraph" w:customStyle="1" w:styleId="BodyBullet2">
    <w:name w:val="Body Bullet 2"/>
    <w:basedOn w:val="BodyBullet1"/>
    <w:uiPriority w:val="1"/>
    <w:qFormat/>
    <w:rsid w:val="00464C87"/>
    <w:pPr>
      <w:numPr>
        <w:ilvl w:val="1"/>
      </w:numPr>
    </w:pPr>
  </w:style>
  <w:style w:type="paragraph" w:customStyle="1" w:styleId="BodyBullet3">
    <w:name w:val="Body Bullet 3"/>
    <w:basedOn w:val="BodyBullet2"/>
    <w:uiPriority w:val="1"/>
    <w:qFormat/>
    <w:rsid w:val="00464C87"/>
    <w:pPr>
      <w:numPr>
        <w:ilvl w:val="2"/>
      </w:numPr>
    </w:pPr>
  </w:style>
  <w:style w:type="paragraph" w:customStyle="1" w:styleId="BodyNumbering3">
    <w:name w:val="Body Numbering 3"/>
    <w:basedOn w:val="BodyNumbering2"/>
    <w:uiPriority w:val="99"/>
    <w:qFormat/>
    <w:rsid w:val="00E43A9F"/>
    <w:pPr>
      <w:numPr>
        <w:ilvl w:val="5"/>
      </w:numPr>
    </w:pPr>
  </w:style>
  <w:style w:type="paragraph" w:customStyle="1" w:styleId="BodyIndent1">
    <w:name w:val="Body Indent 1"/>
    <w:basedOn w:val="BodyBullet1"/>
    <w:uiPriority w:val="9"/>
    <w:qFormat/>
    <w:rsid w:val="00D47176"/>
    <w:pPr>
      <w:numPr>
        <w:numId w:val="0"/>
      </w:numPr>
      <w:ind w:left="340"/>
    </w:pPr>
  </w:style>
  <w:style w:type="paragraph" w:customStyle="1" w:styleId="TableBullet3">
    <w:name w:val="Table Bullet 3"/>
    <w:basedOn w:val="TableBullet2"/>
    <w:uiPriority w:val="3"/>
    <w:qFormat/>
    <w:rsid w:val="00C219C7"/>
    <w:pPr>
      <w:numPr>
        <w:ilvl w:val="2"/>
      </w:numPr>
    </w:pPr>
  </w:style>
  <w:style w:type="paragraph" w:customStyle="1" w:styleId="TableNumbering1">
    <w:name w:val="Table Numbering 1"/>
    <w:basedOn w:val="TableBullet1"/>
    <w:uiPriority w:val="9"/>
    <w:qFormat/>
    <w:rsid w:val="005C44B4"/>
    <w:pPr>
      <w:numPr>
        <w:ilvl w:val="3"/>
      </w:numPr>
    </w:pPr>
  </w:style>
  <w:style w:type="paragraph" w:customStyle="1" w:styleId="TableNumbering2">
    <w:name w:val="Table Numbering 2"/>
    <w:basedOn w:val="TableNumbering1"/>
    <w:uiPriority w:val="9"/>
    <w:qFormat/>
    <w:rsid w:val="005C44B4"/>
    <w:pPr>
      <w:numPr>
        <w:ilvl w:val="4"/>
      </w:numPr>
    </w:pPr>
  </w:style>
  <w:style w:type="paragraph" w:customStyle="1" w:styleId="TableNumbering3">
    <w:name w:val="Table Numbering 3"/>
    <w:basedOn w:val="TableNumbering2"/>
    <w:uiPriority w:val="9"/>
    <w:qFormat/>
    <w:rsid w:val="005C44B4"/>
    <w:pPr>
      <w:numPr>
        <w:ilvl w:val="5"/>
      </w:numPr>
    </w:pPr>
  </w:style>
  <w:style w:type="paragraph" w:customStyle="1" w:styleId="TableIndent1">
    <w:name w:val="Table Indent 1"/>
    <w:basedOn w:val="TableBullet1"/>
    <w:uiPriority w:val="9"/>
    <w:qFormat/>
    <w:rsid w:val="007913F5"/>
    <w:pPr>
      <w:numPr>
        <w:numId w:val="0"/>
      </w:numPr>
      <w:ind w:left="340"/>
    </w:pPr>
  </w:style>
  <w:style w:type="paragraph" w:customStyle="1" w:styleId="TableIndent2">
    <w:name w:val="Table Indent 2"/>
    <w:basedOn w:val="TableBullet2"/>
    <w:uiPriority w:val="9"/>
    <w:qFormat/>
    <w:rsid w:val="007913F5"/>
    <w:pPr>
      <w:numPr>
        <w:ilvl w:val="0"/>
        <w:numId w:val="0"/>
      </w:numPr>
      <w:ind w:left="680"/>
    </w:pPr>
  </w:style>
  <w:style w:type="paragraph" w:customStyle="1" w:styleId="TableIndent3">
    <w:name w:val="Table Indent 3"/>
    <w:basedOn w:val="TableBullet3"/>
    <w:uiPriority w:val="9"/>
    <w:qFormat/>
    <w:rsid w:val="007913F5"/>
    <w:pPr>
      <w:numPr>
        <w:ilvl w:val="0"/>
        <w:numId w:val="0"/>
      </w:numPr>
      <w:ind w:left="1021"/>
    </w:pPr>
  </w:style>
  <w:style w:type="table" w:customStyle="1" w:styleId="MainTableStyle">
    <w:name w:val="Main Table Style"/>
    <w:basedOn w:val="TableNormal"/>
    <w:uiPriority w:val="99"/>
    <w:rsid w:val="00A97DCF"/>
    <w:pPr>
      <w:spacing w:after="0" w:line="240" w:lineRule="auto"/>
    </w:pPr>
    <w:rPr>
      <w:sz w:val="20"/>
    </w:rPr>
    <w:tblPr>
      <w:tblBorders>
        <w:top w:val="single" w:sz="4" w:space="0" w:color="636569" w:themeColor="text2"/>
        <w:bottom w:val="single" w:sz="4" w:space="0" w:color="636569" w:themeColor="text2"/>
        <w:insideH w:val="single" w:sz="4" w:space="0" w:color="636569" w:themeColor="text2"/>
        <w:insideV w:val="single" w:sz="4" w:space="0" w:color="636569" w:themeColor="text2"/>
      </w:tblBorders>
    </w:tblPr>
    <w:tblStylePr w:type="firstRow">
      <w:pPr>
        <w:keepNext/>
        <w:keepLines/>
        <w:widowControl/>
        <w:wordWrap/>
        <w:jc w:val="left"/>
      </w:pPr>
      <w:rPr>
        <w:b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36569" w:themeColor="text2"/>
          <w:left w:val="nil"/>
          <w:bottom w:val="single" w:sz="4" w:space="0" w:color="636569" w:themeColor="text2"/>
          <w:right w:val="nil"/>
          <w:insideH w:val="nil"/>
          <w:insideV w:val="single" w:sz="4" w:space="0" w:color="636569" w:themeColor="text2"/>
          <w:tl2br w:val="nil"/>
          <w:tr2bl w:val="nil"/>
        </w:tcBorders>
        <w:shd w:val="clear" w:color="auto" w:fill="009CA6" w:themeFill="accent2"/>
        <w:vAlign w:val="bottom"/>
      </w:tcPr>
    </w:tblStylePr>
    <w:tblStylePr w:type="lastRow">
      <w:pPr>
        <w:keepLines/>
        <w:widowControl/>
        <w:wordWrap/>
        <w:jc w:val="left"/>
      </w:pPr>
      <w:rPr>
        <w:b/>
      </w:rPr>
      <w:tblPr/>
      <w:tcPr>
        <w:tcBorders>
          <w:top w:val="single" w:sz="4" w:space="0" w:color="250E62" w:themeColor="accent1"/>
          <w:left w:val="nil"/>
          <w:bottom w:val="single" w:sz="4" w:space="0" w:color="250E62" w:themeColor="accent1"/>
          <w:right w:val="nil"/>
          <w:insideH w:val="nil"/>
          <w:insideV w:val="single" w:sz="4" w:space="0" w:color="250E62" w:themeColor="accent1"/>
          <w:tl2br w:val="nil"/>
          <w:tr2bl w:val="nil"/>
        </w:tcBorders>
        <w:shd w:val="clear" w:color="auto" w:fill="E9EFF7"/>
      </w:tcPr>
    </w:tblStylePr>
    <w:tblStylePr w:type="firstCol">
      <w:tblPr/>
      <w:tcPr>
        <w:tcBorders>
          <w:top w:val="single" w:sz="4" w:space="0" w:color="250E62" w:themeColor="accent1"/>
          <w:left w:val="nil"/>
          <w:bottom w:val="single" w:sz="4" w:space="0" w:color="250E62" w:themeColor="accent1"/>
          <w:right w:val="nil"/>
          <w:insideH w:val="single" w:sz="4" w:space="0" w:color="250E62" w:themeColor="accent1"/>
          <w:insideV w:val="nil"/>
          <w:tl2br w:val="nil"/>
          <w:tr2bl w:val="nil"/>
        </w:tcBorders>
        <w:shd w:val="clear" w:color="auto" w:fill="E1F4F5"/>
      </w:tcPr>
    </w:tblStylePr>
  </w:style>
  <w:style w:type="paragraph" w:customStyle="1" w:styleId="BodyTextSingleSpacing">
    <w:name w:val="Body Text Single Spacing"/>
    <w:basedOn w:val="BodyText"/>
    <w:uiPriority w:val="14"/>
    <w:qFormat/>
    <w:rsid w:val="00E06653"/>
    <w:pPr>
      <w:spacing w:before="0" w:after="0" w:line="240" w:lineRule="auto"/>
    </w:pPr>
  </w:style>
  <w:style w:type="table" w:customStyle="1" w:styleId="RowMainTableStyle">
    <w:name w:val="Row Main Table Style"/>
    <w:basedOn w:val="TableNormal"/>
    <w:uiPriority w:val="99"/>
    <w:rsid w:val="00A70753"/>
    <w:pPr>
      <w:spacing w:after="0" w:line="240" w:lineRule="auto"/>
    </w:pPr>
    <w:rPr>
      <w:sz w:val="20"/>
    </w:rPr>
    <w:tblPr>
      <w:tblBorders>
        <w:top w:val="single" w:sz="4" w:space="0" w:color="636569" w:themeColor="text2"/>
        <w:bottom w:val="single" w:sz="4" w:space="0" w:color="636569" w:themeColor="text2"/>
        <w:insideH w:val="single" w:sz="4" w:space="0" w:color="636569" w:themeColor="text2"/>
        <w:insideV w:val="single" w:sz="4" w:space="0" w:color="636569" w:themeColor="text2"/>
      </w:tblBorders>
    </w:tblPr>
    <w:tblStylePr w:type="firstRow">
      <w:pPr>
        <w:keepNext/>
        <w:keepLines/>
        <w:widowControl/>
        <w:wordWrap/>
        <w:jc w:val="left"/>
      </w:pPr>
      <w:rPr>
        <w:color w:val="009CA6" w:themeColor="accent2"/>
      </w:rPr>
      <w:tblPr/>
      <w:trPr>
        <w:cantSplit/>
        <w:tblHeader/>
      </w:trPr>
      <w:tcPr>
        <w:tcBorders>
          <w:top w:val="nil"/>
          <w:left w:val="nil"/>
          <w:bottom w:val="single" w:sz="12" w:space="0" w:color="009CA6" w:themeColor="accen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bottom"/>
      </w:tcPr>
    </w:tblStylePr>
    <w:tblStylePr w:type="lastRow">
      <w:pPr>
        <w:keepNext w:val="0"/>
        <w:keepLines/>
        <w:widowControl/>
        <w:wordWrap/>
      </w:pPr>
      <w:rPr>
        <w:b/>
      </w:rPr>
      <w:tblPr/>
      <w:tcPr>
        <w:tcBorders>
          <w:top w:val="single" w:sz="4" w:space="0" w:color="636569" w:themeColor="text2"/>
          <w:left w:val="nil"/>
          <w:bottom w:val="single" w:sz="4" w:space="0" w:color="636569" w:themeColor="text2"/>
          <w:right w:val="nil"/>
          <w:insideH w:val="nil"/>
          <w:insideV w:val="single" w:sz="4" w:space="0" w:color="636569" w:themeColor="text2"/>
          <w:tl2br w:val="nil"/>
          <w:tr2bl w:val="nil"/>
        </w:tcBorders>
        <w:shd w:val="clear" w:color="auto" w:fill="E9EFF7"/>
      </w:tcPr>
    </w:tblStylePr>
    <w:tblStylePr w:type="firstCol">
      <w:pPr>
        <w:keepLines w:val="0"/>
        <w:widowControl/>
        <w:wordWrap/>
      </w:pPr>
      <w:rPr>
        <w:b w:val="0"/>
        <w:i w:val="0"/>
        <w:color w:val="FFFFFF" w:themeColor="background1"/>
      </w:rPr>
      <w:tblPr/>
      <w:tcPr>
        <w:tcBorders>
          <w:top w:val="single" w:sz="4" w:space="0" w:color="636569" w:themeColor="text2"/>
          <w:left w:val="nil"/>
          <w:bottom w:val="single" w:sz="4" w:space="0" w:color="636569" w:themeColor="text2"/>
          <w:right w:val="nil"/>
          <w:insideH w:val="single" w:sz="4" w:space="0" w:color="636569" w:themeColor="text2"/>
          <w:insideV w:val="nil"/>
          <w:tl2br w:val="nil"/>
          <w:tr2bl w:val="nil"/>
        </w:tcBorders>
        <w:shd w:val="clear" w:color="auto" w:fill="009CA6" w:themeFill="accent2"/>
      </w:tcPr>
    </w:tblStylePr>
    <w:tblStylePr w:type="swCell">
      <w:rPr>
        <w:b/>
        <w:i w:val="0"/>
        <w:color w:val="auto"/>
      </w:rPr>
      <w:tblPr/>
      <w:tcPr>
        <w:tcBorders>
          <w:top w:val="single" w:sz="4" w:space="0" w:color="636569" w:themeColor="text2"/>
          <w:left w:val="nil"/>
          <w:bottom w:val="single" w:sz="4" w:space="0" w:color="636569" w:themeColor="text2"/>
          <w:right w:val="single" w:sz="4" w:space="0" w:color="636569" w:themeColor="text2"/>
          <w:insideH w:val="nil"/>
          <w:insideV w:val="nil"/>
          <w:tl2br w:val="nil"/>
          <w:tr2bl w:val="nil"/>
        </w:tcBorders>
        <w:shd w:val="clear" w:color="auto" w:fill="E9EFF7"/>
      </w:tcPr>
    </w:tblStylePr>
  </w:style>
  <w:style w:type="character" w:customStyle="1" w:styleId="CharacterStyle-BaseColour">
    <w:name w:val="Character Style - Base Colour"/>
    <w:basedOn w:val="DefaultParagraphFont"/>
    <w:uiPriority w:val="5"/>
    <w:qFormat/>
    <w:rsid w:val="009B2312"/>
    <w:rPr>
      <w:color w:val="250E62" w:themeColor="accent1"/>
    </w:rPr>
  </w:style>
  <w:style w:type="character" w:customStyle="1" w:styleId="CharacterStyle-BrightColour">
    <w:name w:val="Character Style - Bright Colour"/>
    <w:uiPriority w:val="5"/>
    <w:qFormat/>
    <w:rsid w:val="004F487D"/>
    <w:rPr>
      <w:color w:val="009CA6" w:themeColor="accent2"/>
    </w:rPr>
  </w:style>
  <w:style w:type="paragraph" w:customStyle="1" w:styleId="CalloutHeader">
    <w:name w:val="Callout Header"/>
    <w:basedOn w:val="TableText"/>
    <w:uiPriority w:val="9"/>
    <w:qFormat/>
    <w:rsid w:val="005850C2"/>
    <w:pPr>
      <w:keepNext/>
      <w:keepLines/>
      <w:numPr>
        <w:numId w:val="0"/>
      </w:numPr>
      <w:spacing w:before="0"/>
    </w:pPr>
    <w:rPr>
      <w:rFonts w:ascii="Nunito SemiBold" w:hAnsi="Nunito SemiBold"/>
      <w:color w:val="009CA6" w:themeColor="accent2"/>
      <w:sz w:val="24"/>
    </w:rPr>
  </w:style>
  <w:style w:type="paragraph" w:customStyle="1" w:styleId="Spacer">
    <w:name w:val="Spacer"/>
    <w:basedOn w:val="BodyTextSingleSpacing"/>
    <w:uiPriority w:val="9"/>
    <w:qFormat/>
    <w:rsid w:val="00EC3F5C"/>
  </w:style>
  <w:style w:type="paragraph" w:styleId="BalloonText">
    <w:name w:val="Balloon Text"/>
    <w:basedOn w:val="Normal"/>
    <w:link w:val="BalloonTextChar"/>
    <w:uiPriority w:val="99"/>
    <w:semiHidden/>
    <w:rsid w:val="009124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409"/>
    <w:rPr>
      <w:rFonts w:ascii="Tahoma" w:hAnsi="Tahoma" w:cs="Tahoma"/>
      <w:sz w:val="16"/>
      <w:szCs w:val="16"/>
    </w:rPr>
  </w:style>
  <w:style w:type="paragraph" w:styleId="Date">
    <w:name w:val="Date"/>
    <w:basedOn w:val="BodyText"/>
    <w:next w:val="BodyTextSingleSpacing"/>
    <w:link w:val="DateChar"/>
    <w:uiPriority w:val="99"/>
    <w:semiHidden/>
    <w:rsid w:val="00F47F1C"/>
    <w:pPr>
      <w:pageBreakBefore/>
      <w:spacing w:after="720"/>
    </w:pPr>
  </w:style>
  <w:style w:type="character" w:customStyle="1" w:styleId="DateChar">
    <w:name w:val="Date Char"/>
    <w:basedOn w:val="DefaultParagraphFont"/>
    <w:link w:val="Date"/>
    <w:uiPriority w:val="99"/>
    <w:semiHidden/>
    <w:rsid w:val="00622B87"/>
    <w:rPr>
      <w:rFonts w:ascii="Arial" w:hAnsi="Arial"/>
      <w:color w:val="000000" w:themeColor="text1"/>
    </w:rPr>
  </w:style>
  <w:style w:type="paragraph" w:styleId="Signature">
    <w:name w:val="Signature"/>
    <w:basedOn w:val="BodyText"/>
    <w:next w:val="BodyTextSingleSpacing"/>
    <w:link w:val="SignatureChar"/>
    <w:uiPriority w:val="99"/>
    <w:semiHidden/>
    <w:rsid w:val="007F7872"/>
    <w:pPr>
      <w:keepNext/>
      <w:spacing w:before="360" w:after="36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22B87"/>
    <w:rPr>
      <w:rFonts w:ascii="Arial" w:hAnsi="Arial"/>
      <w:color w:val="000000" w:themeColor="text1"/>
    </w:rPr>
  </w:style>
  <w:style w:type="paragraph" w:customStyle="1" w:styleId="SubjectLine">
    <w:name w:val="Subject Line"/>
    <w:basedOn w:val="BodyText"/>
    <w:next w:val="BodyText"/>
    <w:semiHidden/>
    <w:rsid w:val="00A12388"/>
    <w:rPr>
      <w:b/>
      <w:caps/>
    </w:rPr>
  </w:style>
  <w:style w:type="paragraph" w:customStyle="1" w:styleId="Yourssincerely">
    <w:name w:val="Yours sincerely"/>
    <w:basedOn w:val="BodyText"/>
    <w:next w:val="Signature"/>
    <w:uiPriority w:val="99"/>
    <w:semiHidden/>
    <w:rsid w:val="00462270"/>
    <w:pPr>
      <w:keepNext/>
    </w:pPr>
  </w:style>
  <w:style w:type="paragraph" w:customStyle="1" w:styleId="Disclaimer">
    <w:name w:val="Disclaimer"/>
    <w:basedOn w:val="Normal"/>
    <w:next w:val="BodyText"/>
    <w:semiHidden/>
    <w:rsid w:val="00606B19"/>
    <w:pPr>
      <w:spacing w:before="3000" w:line="240" w:lineRule="auto"/>
    </w:pPr>
    <w:rPr>
      <w:sz w:val="16"/>
      <w:szCs w:val="16"/>
    </w:rPr>
  </w:style>
  <w:style w:type="paragraph" w:styleId="TableofAuthorities">
    <w:name w:val="table of authorities"/>
    <w:basedOn w:val="TableofFigures"/>
    <w:next w:val="BodyText"/>
    <w:uiPriority w:val="99"/>
    <w:semiHidden/>
    <w:rsid w:val="00C52836"/>
  </w:style>
  <w:style w:type="character" w:customStyle="1" w:styleId="Heading8Char">
    <w:name w:val="Heading 8 Char"/>
    <w:basedOn w:val="DefaultParagraphFont"/>
    <w:link w:val="Heading8"/>
    <w:uiPriority w:val="8"/>
    <w:semiHidden/>
    <w:rsid w:val="008C22EF"/>
    <w:rPr>
      <w:rFonts w:asciiTheme="majorHAnsi" w:eastAsiaTheme="majorEastAsia" w:hAnsiTheme="majorHAnsi" w:cstheme="majorBidi"/>
      <w:bCs/>
      <w:iCs/>
      <w:color w:val="A4A2A4" w:themeColor="background2"/>
      <w:sz w:val="36"/>
      <w:szCs w:val="20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8C22EF"/>
    <w:rPr>
      <w:rFonts w:asciiTheme="majorHAnsi" w:eastAsiaTheme="majorEastAsia" w:hAnsiTheme="majorHAnsi" w:cstheme="majorBidi"/>
      <w:bCs/>
      <w:color w:val="A4A2A4" w:themeColor="background2"/>
      <w:sz w:val="32"/>
      <w:szCs w:val="20"/>
    </w:rPr>
  </w:style>
  <w:style w:type="paragraph" w:customStyle="1" w:styleId="Object">
    <w:name w:val="Object"/>
    <w:basedOn w:val="BodyText"/>
    <w:next w:val="Source"/>
    <w:uiPriority w:val="4"/>
    <w:qFormat/>
    <w:rsid w:val="009F1726"/>
    <w:pPr>
      <w:keepNext/>
      <w:spacing w:before="360" w:after="240" w:line="240" w:lineRule="auto"/>
    </w:pPr>
  </w:style>
  <w:style w:type="character" w:styleId="PlaceholderText">
    <w:name w:val="Placeholder Text"/>
    <w:basedOn w:val="DefaultParagraphFont"/>
    <w:uiPriority w:val="99"/>
    <w:rsid w:val="006B2BBF"/>
    <w:rPr>
      <w:rFonts w:asciiTheme="minorHAnsi" w:hAnsiTheme="minorHAnsi"/>
      <w:vanish w:val="0"/>
      <w:color w:val="808080"/>
    </w:rPr>
  </w:style>
  <w:style w:type="paragraph" w:styleId="Quote">
    <w:name w:val="Quote"/>
    <w:basedOn w:val="BodyText"/>
    <w:next w:val="BodyText"/>
    <w:link w:val="QuoteChar"/>
    <w:uiPriority w:val="29"/>
    <w:qFormat/>
    <w:rsid w:val="00FB0BE2"/>
    <w:pPr>
      <w:pBdr>
        <w:top w:val="thickThinMediumGap" w:sz="18" w:space="6" w:color="250E62" w:themeColor="accent1"/>
        <w:bottom w:val="thinThickMediumGap" w:sz="18" w:space="6" w:color="250E62" w:themeColor="accent1"/>
      </w:pBdr>
      <w:spacing w:before="0" w:after="0"/>
      <w:ind w:left="567" w:right="2268"/>
    </w:pPr>
    <w:rPr>
      <w:i/>
      <w:iCs/>
      <w:color w:val="250E62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FB0BE2"/>
    <w:rPr>
      <w:i/>
      <w:iCs/>
      <w:color w:val="250E62" w:themeColor="accent1"/>
      <w:sz w:val="20"/>
    </w:rPr>
  </w:style>
  <w:style w:type="paragraph" w:customStyle="1" w:styleId="PageNo">
    <w:name w:val="Page No"/>
    <w:basedOn w:val="Normal"/>
    <w:link w:val="PageNoChar"/>
    <w:uiPriority w:val="99"/>
    <w:qFormat/>
    <w:rsid w:val="00013A54"/>
    <w:pPr>
      <w:spacing w:before="720" w:line="240" w:lineRule="auto"/>
      <w:jc w:val="right"/>
    </w:pPr>
    <w:rPr>
      <w:color w:val="808080" w:themeColor="background1" w:themeShade="80"/>
      <w:sz w:val="18"/>
    </w:rPr>
  </w:style>
  <w:style w:type="paragraph" w:customStyle="1" w:styleId="TableHeadingWhiteFont">
    <w:name w:val="Table Heading White Font"/>
    <w:basedOn w:val="TableText"/>
    <w:uiPriority w:val="16"/>
    <w:qFormat/>
    <w:rsid w:val="00207206"/>
    <w:rPr>
      <w:color w:val="FFFFFF" w:themeColor="background1"/>
    </w:rPr>
  </w:style>
  <w:style w:type="character" w:customStyle="1" w:styleId="PageNoChar">
    <w:name w:val="Page No Char"/>
    <w:basedOn w:val="FooterChar"/>
    <w:link w:val="PageNo"/>
    <w:uiPriority w:val="99"/>
    <w:rsid w:val="00013A54"/>
    <w:rPr>
      <w:rFonts w:ascii="Arial" w:hAnsi="Arial" w:cstheme="minorHAnsi"/>
      <w:noProof/>
      <w:color w:val="808080" w:themeColor="background1" w:themeShade="80"/>
      <w:sz w:val="18"/>
      <w:szCs w:val="18"/>
    </w:rPr>
  </w:style>
  <w:style w:type="paragraph" w:customStyle="1" w:styleId="HeaderFirstPage">
    <w:name w:val="Header First Page"/>
    <w:basedOn w:val="Header"/>
    <w:uiPriority w:val="9"/>
    <w:qFormat/>
    <w:rsid w:val="00626895"/>
    <w:pPr>
      <w:spacing w:before="1200" w:after="480"/>
    </w:pPr>
    <w:rPr>
      <w:rFonts w:asciiTheme="majorHAnsi" w:hAnsiTheme="majorHAnsi"/>
      <w:noProof/>
      <w:color w:val="FFFFFF" w:themeColor="background1"/>
      <w:sz w:val="36"/>
    </w:rPr>
  </w:style>
  <w:style w:type="paragraph" w:customStyle="1" w:styleId="CoverChapter">
    <w:name w:val="Cover Chapter"/>
    <w:basedOn w:val="Normal"/>
    <w:uiPriority w:val="9"/>
    <w:qFormat/>
    <w:rsid w:val="00AE7A21"/>
    <w:pPr>
      <w:spacing w:after="0" w:line="264" w:lineRule="auto"/>
    </w:pPr>
    <w:rPr>
      <w:rFonts w:ascii="Nunito SemiBold" w:hAnsi="Nunito SemiBold"/>
      <w:color w:val="D0E900" w:themeColor="accent3"/>
      <w:sz w:val="80"/>
    </w:rPr>
  </w:style>
  <w:style w:type="paragraph" w:customStyle="1" w:styleId="CoverTitle">
    <w:name w:val="Cover Title"/>
    <w:basedOn w:val="CoverChapter"/>
    <w:uiPriority w:val="9"/>
    <w:qFormat/>
    <w:rsid w:val="005C4602"/>
    <w:pPr>
      <w:spacing w:before="0"/>
    </w:pPr>
    <w:rPr>
      <w:color w:val="FFFFFF" w:themeColor="background1"/>
    </w:rPr>
  </w:style>
  <w:style w:type="paragraph" w:customStyle="1" w:styleId="Evenfooter">
    <w:name w:val="Even footer"/>
    <w:basedOn w:val="Footer"/>
    <w:uiPriority w:val="9"/>
    <w:qFormat/>
    <w:rsid w:val="00AD6412"/>
    <w:pPr>
      <w:jc w:val="left"/>
    </w:pPr>
  </w:style>
  <w:style w:type="paragraph" w:customStyle="1" w:styleId="CalloutHeaderWhite">
    <w:name w:val="Callout Header White"/>
    <w:basedOn w:val="CalloutHeader"/>
    <w:uiPriority w:val="9"/>
    <w:qFormat/>
    <w:rsid w:val="005C4602"/>
    <w:rPr>
      <w:color w:val="FFFFFF" w:themeColor="background1"/>
    </w:rPr>
  </w:style>
  <w:style w:type="character" w:customStyle="1" w:styleId="CalloutTextWhite">
    <w:name w:val="Callout Text White"/>
    <w:basedOn w:val="DefaultParagraphFont"/>
    <w:uiPriority w:val="1"/>
    <w:qFormat/>
    <w:rsid w:val="005C4602"/>
    <w:rPr>
      <w:color w:val="FFFFFF" w:themeColor="background1"/>
    </w:rPr>
  </w:style>
  <w:style w:type="paragraph" w:customStyle="1" w:styleId="Chapternumber">
    <w:name w:val="Chapter number"/>
    <w:basedOn w:val="Heading1"/>
    <w:uiPriority w:val="9"/>
    <w:qFormat/>
    <w:rsid w:val="00F1004A"/>
    <w:pPr>
      <w:numPr>
        <w:numId w:val="0"/>
      </w:numPr>
      <w:spacing w:after="0"/>
    </w:pPr>
  </w:style>
  <w:style w:type="paragraph" w:customStyle="1" w:styleId="CaptionFigure">
    <w:name w:val="Caption Figure"/>
    <w:basedOn w:val="Caption"/>
    <w:next w:val="Source"/>
    <w:uiPriority w:val="9"/>
    <w:qFormat/>
    <w:rsid w:val="009F1726"/>
    <w:pPr>
      <w:keepNext w:val="0"/>
      <w:spacing w:before="240" w:after="360"/>
    </w:pPr>
  </w:style>
  <w:style w:type="character" w:customStyle="1" w:styleId="Highlight">
    <w:name w:val="_Highlight"/>
    <w:basedOn w:val="DefaultParagraphFont"/>
    <w:uiPriority w:val="8"/>
    <w:qFormat/>
    <w:rsid w:val="002C6E43"/>
    <w:rPr>
      <w:bdr w:val="none" w:sz="0" w:space="0" w:color="auto"/>
      <w:shd w:val="clear" w:color="auto" w:fill="FFFF00"/>
    </w:rPr>
  </w:style>
  <w:style w:type="character" w:customStyle="1" w:styleId="Removedirectformatting">
    <w:name w:val="_ Remove direct formatting"/>
    <w:basedOn w:val="Highlight"/>
    <w:uiPriority w:val="8"/>
    <w:qFormat/>
    <w:rsid w:val="002C6E43"/>
    <w:rPr>
      <w:bdr w:val="none" w:sz="0" w:space="0" w:color="auto"/>
      <w:shd w:val="clear" w:color="auto" w:fill="auto"/>
    </w:rPr>
  </w:style>
  <w:style w:type="character" w:customStyle="1" w:styleId="Underline">
    <w:name w:val="_ Underline"/>
    <w:basedOn w:val="DefaultParagraphFont"/>
    <w:uiPriority w:val="8"/>
    <w:qFormat/>
    <w:rsid w:val="002C6E43"/>
    <w:rPr>
      <w:u w:val="single"/>
    </w:rPr>
  </w:style>
  <w:style w:type="character" w:customStyle="1" w:styleId="Bold">
    <w:name w:val="_Bold"/>
    <w:basedOn w:val="DefaultParagraphFont"/>
    <w:uiPriority w:val="8"/>
    <w:qFormat/>
    <w:rsid w:val="002C6E43"/>
    <w:rPr>
      <w:b/>
    </w:rPr>
  </w:style>
  <w:style w:type="character" w:customStyle="1" w:styleId="HighlightBlue">
    <w:name w:val="_Highlight_Blue"/>
    <w:basedOn w:val="DefaultParagraphFont"/>
    <w:uiPriority w:val="7"/>
    <w:qFormat/>
    <w:rsid w:val="002C6E43"/>
    <w:rPr>
      <w:bdr w:val="none" w:sz="0" w:space="0" w:color="auto"/>
      <w:shd w:val="clear" w:color="auto" w:fill="CCFFFF"/>
    </w:rPr>
  </w:style>
  <w:style w:type="character" w:customStyle="1" w:styleId="Italics">
    <w:name w:val="_Italics"/>
    <w:basedOn w:val="DefaultParagraphFont"/>
    <w:uiPriority w:val="8"/>
    <w:qFormat/>
    <w:rsid w:val="002C6E43"/>
    <w:rPr>
      <w:b w:val="0"/>
      <w:i/>
    </w:rPr>
  </w:style>
  <w:style w:type="character" w:customStyle="1" w:styleId="Strikethrough">
    <w:name w:val="_Strikethrough"/>
    <w:basedOn w:val="DefaultParagraphFont"/>
    <w:uiPriority w:val="8"/>
    <w:qFormat/>
    <w:rsid w:val="002C6E43"/>
    <w:rPr>
      <w:strike/>
      <w:dstrike w:val="0"/>
    </w:rPr>
  </w:style>
  <w:style w:type="character" w:customStyle="1" w:styleId="Subscript">
    <w:name w:val="_Subscript"/>
    <w:basedOn w:val="DefaultParagraphFont"/>
    <w:uiPriority w:val="8"/>
    <w:qFormat/>
    <w:rsid w:val="002C6E43"/>
    <w:rPr>
      <w:vertAlign w:val="subscript"/>
    </w:rPr>
  </w:style>
  <w:style w:type="character" w:customStyle="1" w:styleId="Superscript">
    <w:name w:val="_Superscript"/>
    <w:basedOn w:val="Subscript"/>
    <w:uiPriority w:val="8"/>
    <w:qFormat/>
    <w:rsid w:val="002C6E43"/>
    <w:rPr>
      <w:vertAlign w:val="superscript"/>
    </w:rPr>
  </w:style>
  <w:style w:type="character" w:customStyle="1" w:styleId="TextBlue">
    <w:name w:val="_Text Blue"/>
    <w:basedOn w:val="DefaultParagraphFont"/>
    <w:uiPriority w:val="7"/>
    <w:qFormat/>
    <w:rsid w:val="002C6E43"/>
    <w:rPr>
      <w:color w:val="0085CA" w:themeColor="accent4"/>
    </w:rPr>
  </w:style>
  <w:style w:type="character" w:customStyle="1" w:styleId="TextGreen">
    <w:name w:val="_Text Green"/>
    <w:uiPriority w:val="8"/>
    <w:qFormat/>
    <w:rsid w:val="002C6E43"/>
    <w:rPr>
      <w:color w:val="9BAE00" w:themeColor="accent3" w:themeShade="BF"/>
    </w:rPr>
  </w:style>
  <w:style w:type="character" w:customStyle="1" w:styleId="TextRed">
    <w:name w:val="_Text Red"/>
    <w:basedOn w:val="DefaultParagraphFont"/>
    <w:uiPriority w:val="8"/>
    <w:qFormat/>
    <w:rsid w:val="002C6E43"/>
    <w:rPr>
      <w:color w:val="CE0058" w:themeColor="accent6"/>
    </w:rPr>
  </w:style>
  <w:style w:type="paragraph" w:customStyle="1" w:styleId="Headerlandscape">
    <w:name w:val="Header landscape"/>
    <w:basedOn w:val="Header"/>
    <w:uiPriority w:val="9"/>
    <w:qFormat/>
    <w:rsid w:val="00B6636D"/>
    <w:pPr>
      <w:spacing w:after="840"/>
    </w:pPr>
    <w:rPr>
      <w:noProof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3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WGTP">
  <a:themeElements>
    <a:clrScheme name="NEL Colours">
      <a:dk1>
        <a:sysClr val="windowText" lastClr="000000"/>
      </a:dk1>
      <a:lt1>
        <a:sysClr val="window" lastClr="FFFFFF"/>
      </a:lt1>
      <a:dk2>
        <a:srgbClr val="636569"/>
      </a:dk2>
      <a:lt2>
        <a:srgbClr val="A4A2A4"/>
      </a:lt2>
      <a:accent1>
        <a:srgbClr val="250E62"/>
      </a:accent1>
      <a:accent2>
        <a:srgbClr val="009CA6"/>
      </a:accent2>
      <a:accent3>
        <a:srgbClr val="D0E900"/>
      </a:accent3>
      <a:accent4>
        <a:srgbClr val="0085CA"/>
      </a:accent4>
      <a:accent5>
        <a:srgbClr val="FFB500"/>
      </a:accent5>
      <a:accent6>
        <a:srgbClr val="CE0058"/>
      </a:accent6>
      <a:hlink>
        <a:srgbClr val="250E62"/>
      </a:hlink>
      <a:folHlink>
        <a:srgbClr val="440099"/>
      </a:folHlink>
    </a:clrScheme>
    <a:fontScheme name="NEL EES fonts">
      <a:majorFont>
        <a:latin typeface="Nunito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cMap xmlns="http://schemas.openxmlformats.org/officeDocument/2006/NEL">
  <CCMapElement_1103461063/>
</ccMap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smi04</b:Tag>
    <b:SourceType>Book</b:SourceType>
    <b:Guid>{94430D2E-3D69-4BAA-9E89-6C408CED36CB}</b:Guid>
    <b:Author>
      <b:Author>
        <b:NameList>
          <b:Person>
            <b:Last>smirt</b:Last>
            <b:First>meg</b:First>
          </b:Person>
        </b:NameList>
      </b:Author>
    </b:Author>
    <b:Title>book of journey</b:Title>
    <b:Year>2004</b:Year>
    <b:City>melbourne</b:City>
    <b:Publisher>drfm</b:Publisher>
    <b:RefOrder>1</b:RefOrder>
  </b:Source>
</b:Sources>
</file>

<file path=customXml/itemProps1.xml><?xml version="1.0" encoding="utf-8"?>
<ds:datastoreItem xmlns:ds="http://schemas.openxmlformats.org/officeDocument/2006/customXml" ds:itemID="{20C6AF31-F77A-4484-A6C5-171AD89E9166}">
  <ds:schemaRefs>
    <ds:schemaRef ds:uri="http://schemas.openxmlformats.org/officeDocument/2006/NEL"/>
  </ds:schemaRefs>
</ds:datastoreItem>
</file>

<file path=customXml/itemProps2.xml><?xml version="1.0" encoding="utf-8"?>
<ds:datastoreItem xmlns:ds="http://schemas.openxmlformats.org/officeDocument/2006/customXml" ds:itemID="{1E307B66-AFD8-4B09-AC2E-03F3534B5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3227</Words>
  <Characters>18395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 East Link Project</dc:creator>
  <cp:keywords/>
  <cp:lastModifiedBy>North East Link Project</cp:lastModifiedBy>
  <cp:revision>4</cp:revision>
  <dcterms:created xsi:type="dcterms:W3CDTF">2019-04-07T05:24:00Z</dcterms:created>
  <dcterms:modified xsi:type="dcterms:W3CDTF">2019-04-07T05:27:00Z</dcterms:modified>
</cp:coreProperties>
</file>