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5E39B2" w14:textId="77777777" w:rsidR="00A672B5" w:rsidRDefault="00A672B5" w:rsidP="00A672B5"/>
    <w:p w14:paraId="145E39B3" w14:textId="77777777" w:rsidR="00336C1E" w:rsidRDefault="00336C1E" w:rsidP="00A672B5"/>
    <w:p w14:paraId="145E39B4" w14:textId="77777777" w:rsidR="00336C1E" w:rsidRDefault="00336C1E" w:rsidP="00A672B5"/>
    <w:p w14:paraId="145E39B5" w14:textId="77777777" w:rsidR="00336C1E" w:rsidRDefault="00336C1E" w:rsidP="00A672B5"/>
    <w:tbl>
      <w:tblPr>
        <w:tblStyle w:val="TableGrid"/>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43"/>
      </w:tblGrid>
      <w:tr w:rsidR="00A672B5" w14:paraId="145E39B7" w14:textId="77777777" w:rsidTr="00E7098A">
        <w:tc>
          <w:tcPr>
            <w:tcW w:w="6243" w:type="dxa"/>
          </w:tcPr>
          <w:sdt>
            <w:sdtPr>
              <w:alias w:val="Project Number"/>
              <w:tag w:val="Project Number"/>
              <w:id w:val="-1023705201"/>
              <w:placeholder>
                <w:docPart w:val="DefaultPlaceholder_1081868574"/>
              </w:placeholder>
            </w:sdtPr>
            <w:sdtEndPr/>
            <w:sdtContent>
              <w:sdt>
                <w:sdtPr>
                  <w:alias w:val="Project Number"/>
                  <w:tag w:val="Project Number"/>
                  <w:id w:val="322093923"/>
                  <w:placeholder>
                    <w:docPart w:val="ADE0DAF97778485DAA20226821DAB2ED"/>
                  </w:placeholder>
                </w:sdtPr>
                <w:sdtEndPr/>
                <w:sdtContent>
                  <w:p w14:paraId="145E39B6" w14:textId="506EB562" w:rsidR="00A672B5" w:rsidRDefault="001532E0" w:rsidP="00AB7FDD">
                    <w:pPr>
                      <w:pStyle w:val="TitlePageInfo"/>
                    </w:pPr>
                    <w:r w:rsidRPr="001532E0">
                      <w:t>MMR-AJM-PWAA-RP-NN-005022</w:t>
                    </w:r>
                  </w:p>
                </w:sdtContent>
              </w:sdt>
            </w:sdtContent>
          </w:sdt>
        </w:tc>
      </w:tr>
      <w:tr w:rsidR="00AB7FDD" w14:paraId="145E39BD" w14:textId="77777777" w:rsidTr="00E7098A">
        <w:trPr>
          <w:trHeight w:val="588"/>
        </w:trPr>
        <w:tc>
          <w:tcPr>
            <w:tcW w:w="6243" w:type="dxa"/>
            <w:vAlign w:val="bottom"/>
          </w:tcPr>
          <w:sdt>
            <w:sdtPr>
              <w:alias w:val="Document Name"/>
              <w:tag w:val="Document Name"/>
              <w:id w:val="1546950102"/>
              <w:placeholder>
                <w:docPart w:val="2C593556988A418181DA6403D2C55597"/>
              </w:placeholder>
            </w:sdtPr>
            <w:sdtEndPr/>
            <w:sdtContent>
              <w:p w14:paraId="145E39B8" w14:textId="34E93251" w:rsidR="00A915CD" w:rsidRDefault="005C4D24" w:rsidP="00AC60C2">
                <w:pPr>
                  <w:pStyle w:val="TitlePageInfo"/>
                </w:pPr>
                <w:r w:rsidRPr="0071117E">
                  <w:t>MAIN WORKS</w:t>
                </w:r>
                <w:r>
                  <w:t xml:space="preserve"> (RAIL INFRASTRUCTURE &amp; </w:t>
                </w:r>
                <w:r w:rsidR="00C97BAD">
                  <w:t xml:space="preserve">RAIL </w:t>
                </w:r>
                <w:r>
                  <w:t>SYSTEMS)</w:t>
                </w:r>
                <w:r w:rsidRPr="0071117E">
                  <w:t xml:space="preserve"> </w:t>
                </w:r>
                <w:r w:rsidR="00AE1643">
                  <w:t xml:space="preserve">ENVIRONMENTAL </w:t>
                </w:r>
                <w:r w:rsidRPr="0071117E">
                  <w:t>AUDIT SUMMARY REPORT</w:t>
                </w:r>
                <w:r>
                  <w:t xml:space="preserve"> </w:t>
                </w:r>
                <w:bookmarkStart w:id="0" w:name="_Hlk52981541"/>
                <w:r w:rsidRPr="0071117E">
                  <w:t>2019</w:t>
                </w:r>
              </w:p>
              <w:bookmarkEnd w:id="0" w:displacedByCustomXml="next"/>
            </w:sdtContent>
          </w:sdt>
          <w:p w14:paraId="145E39B9" w14:textId="05CCE7D3" w:rsidR="00AB7FDD" w:rsidRDefault="00AB7FDD" w:rsidP="00A915CD">
            <w:pPr>
              <w:pStyle w:val="TitlePageInfo"/>
              <w:spacing w:line="276" w:lineRule="auto"/>
            </w:pPr>
          </w:p>
          <w:p w14:paraId="145E39BA" w14:textId="74BD477F" w:rsidR="00BF2F71" w:rsidRDefault="00BF2F71" w:rsidP="00BF2F71">
            <w:pPr>
              <w:pStyle w:val="Caption"/>
              <w:spacing w:line="276" w:lineRule="auto"/>
            </w:pPr>
            <w:r>
              <w:t xml:space="preserve">DATE </w:t>
            </w:r>
            <w:r w:rsidR="00764BAC" w:rsidRPr="00E7098A">
              <w:t>10 february</w:t>
            </w:r>
            <w:r w:rsidR="00ED2C03">
              <w:t xml:space="preserve"> </w:t>
            </w:r>
            <w:r w:rsidR="001532E0">
              <w:t>202</w:t>
            </w:r>
            <w:r w:rsidR="00764BAC">
              <w:t>2</w:t>
            </w:r>
          </w:p>
          <w:p w14:paraId="145E39BC" w14:textId="57F20539" w:rsidR="00BF2F71" w:rsidRPr="00BF2F71" w:rsidRDefault="00BF2F71" w:rsidP="00D2493C">
            <w:pPr>
              <w:pStyle w:val="Caption"/>
              <w:spacing w:line="480" w:lineRule="auto"/>
            </w:pPr>
            <w:r>
              <w:t xml:space="preserve">REVISION </w:t>
            </w:r>
            <w:r w:rsidR="00C76FEB">
              <w:t>P3</w:t>
            </w:r>
          </w:p>
        </w:tc>
      </w:tr>
    </w:tbl>
    <w:p w14:paraId="145E39BE" w14:textId="77777777" w:rsidR="00A672B5" w:rsidRPr="00A672B5" w:rsidRDefault="00A672B5" w:rsidP="00A672B5">
      <w:pPr>
        <w:sectPr w:rsidR="00A672B5" w:rsidRPr="00A672B5" w:rsidSect="00F504B2">
          <w:headerReference w:type="even" r:id="rId13"/>
          <w:headerReference w:type="default" r:id="rId14"/>
          <w:footerReference w:type="even" r:id="rId15"/>
          <w:footerReference w:type="default" r:id="rId16"/>
          <w:headerReference w:type="first" r:id="rId17"/>
          <w:footerReference w:type="first" r:id="rId18"/>
          <w:type w:val="nextColumn"/>
          <w:pgSz w:w="11907" w:h="16839" w:code="9"/>
          <w:pgMar w:top="4876" w:right="851" w:bottom="1021" w:left="1418" w:header="1418" w:footer="397" w:gutter="0"/>
          <w:cols w:space="720"/>
          <w:titlePg/>
          <w:docGrid w:linePitch="360"/>
        </w:sectPr>
      </w:pPr>
    </w:p>
    <w:p w14:paraId="145E3A15" w14:textId="77777777" w:rsidR="00F85B44" w:rsidRPr="00E60DBF" w:rsidRDefault="00F85B44">
      <w:pPr>
        <w:pStyle w:val="Section"/>
      </w:pPr>
      <w:r w:rsidRPr="00E60DBF">
        <w:lastRenderedPageBreak/>
        <w:t>Contents</w:t>
      </w:r>
    </w:p>
    <w:sdt>
      <w:sdtPr>
        <w:rPr>
          <w:rStyle w:val="Hyperlink"/>
          <w:b w:val="0"/>
          <w:noProof w:val="0"/>
          <w:sz w:val="20"/>
          <w:lang w:val="en-AU"/>
        </w:rPr>
        <w:id w:val="377595859"/>
        <w:docPartObj>
          <w:docPartGallery w:val="Table of Contents"/>
          <w:docPartUnique/>
        </w:docPartObj>
      </w:sdtPr>
      <w:sdtEndPr>
        <w:rPr>
          <w:rStyle w:val="Hyperlink"/>
          <w:b/>
          <w:noProof/>
          <w:sz w:val="16"/>
          <w:lang w:val="en-GB"/>
        </w:rPr>
      </w:sdtEndPr>
      <w:sdtContent>
        <w:p w14:paraId="76E7476A" w14:textId="30F573C2" w:rsidR="00894DB7" w:rsidRDefault="00843007">
          <w:pPr>
            <w:pStyle w:val="TOC1"/>
            <w:rPr>
              <w:rFonts w:asciiTheme="minorHAnsi" w:eastAsiaTheme="minorEastAsia" w:hAnsiTheme="minorHAnsi" w:cstheme="minorBidi"/>
              <w:b w:val="0"/>
              <w:color w:val="auto"/>
              <w:sz w:val="22"/>
              <w:szCs w:val="22"/>
              <w:lang w:val="en-US"/>
            </w:rPr>
          </w:pPr>
          <w:r>
            <w:rPr>
              <w:rStyle w:val="Hyperlink"/>
              <w:sz w:val="20"/>
              <w:lang w:val="en-AU"/>
            </w:rPr>
            <w:fldChar w:fldCharType="begin"/>
          </w:r>
          <w:r>
            <w:rPr>
              <w:rStyle w:val="Hyperlink"/>
            </w:rPr>
            <w:instrText xml:space="preserve"> TOC \o "1-2" \h \z \u \t "Heading 1,1,Heading 2,2" </w:instrText>
          </w:r>
          <w:r>
            <w:rPr>
              <w:rStyle w:val="Hyperlink"/>
              <w:sz w:val="20"/>
              <w:lang w:val="en-AU"/>
            </w:rPr>
            <w:fldChar w:fldCharType="separate"/>
          </w:r>
          <w:hyperlink w:anchor="_Toc96586763" w:history="1">
            <w:r w:rsidR="00894DB7" w:rsidRPr="0046172C">
              <w:rPr>
                <w:rStyle w:val="Hyperlink"/>
              </w:rPr>
              <w:t>Glossary</w:t>
            </w:r>
            <w:r w:rsidR="00894DB7">
              <w:rPr>
                <w:webHidden/>
              </w:rPr>
              <w:tab/>
            </w:r>
            <w:r w:rsidR="00894DB7">
              <w:rPr>
                <w:webHidden/>
              </w:rPr>
              <w:fldChar w:fldCharType="begin"/>
            </w:r>
            <w:r w:rsidR="00894DB7">
              <w:rPr>
                <w:webHidden/>
              </w:rPr>
              <w:instrText xml:space="preserve"> PAGEREF _Toc96586763 \h </w:instrText>
            </w:r>
            <w:r w:rsidR="00894DB7">
              <w:rPr>
                <w:webHidden/>
              </w:rPr>
            </w:r>
            <w:r w:rsidR="00894DB7">
              <w:rPr>
                <w:webHidden/>
              </w:rPr>
              <w:fldChar w:fldCharType="separate"/>
            </w:r>
            <w:r w:rsidR="00E77B24">
              <w:rPr>
                <w:webHidden/>
              </w:rPr>
              <w:t>i</w:t>
            </w:r>
            <w:r w:rsidR="00894DB7">
              <w:rPr>
                <w:webHidden/>
              </w:rPr>
              <w:fldChar w:fldCharType="end"/>
            </w:r>
          </w:hyperlink>
        </w:p>
        <w:p w14:paraId="21AB979C" w14:textId="247E8D2C" w:rsidR="00894DB7" w:rsidRDefault="00894DB7">
          <w:pPr>
            <w:pStyle w:val="TOC1"/>
            <w:rPr>
              <w:rFonts w:asciiTheme="minorHAnsi" w:eastAsiaTheme="minorEastAsia" w:hAnsiTheme="minorHAnsi" w:cstheme="minorBidi"/>
              <w:b w:val="0"/>
              <w:color w:val="auto"/>
              <w:sz w:val="22"/>
              <w:szCs w:val="22"/>
              <w:lang w:val="en-US"/>
            </w:rPr>
          </w:pPr>
          <w:hyperlink w:anchor="_Toc96586767" w:history="1">
            <w:r w:rsidRPr="0046172C">
              <w:rPr>
                <w:rStyle w:val="Hyperlink"/>
              </w:rPr>
              <w:t>1</w:t>
            </w:r>
            <w:r>
              <w:rPr>
                <w:rFonts w:asciiTheme="minorHAnsi" w:eastAsiaTheme="minorEastAsia" w:hAnsiTheme="minorHAnsi" w:cstheme="minorBidi"/>
                <w:b w:val="0"/>
                <w:color w:val="auto"/>
                <w:sz w:val="22"/>
                <w:szCs w:val="22"/>
                <w:lang w:val="en-US"/>
              </w:rPr>
              <w:tab/>
            </w:r>
            <w:r w:rsidRPr="0046172C">
              <w:rPr>
                <w:rStyle w:val="Hyperlink"/>
              </w:rPr>
              <w:t>Executive Summary</w:t>
            </w:r>
            <w:r>
              <w:rPr>
                <w:webHidden/>
              </w:rPr>
              <w:tab/>
            </w:r>
            <w:r>
              <w:rPr>
                <w:webHidden/>
              </w:rPr>
              <w:fldChar w:fldCharType="begin"/>
            </w:r>
            <w:r>
              <w:rPr>
                <w:webHidden/>
              </w:rPr>
              <w:instrText xml:space="preserve"> PAGEREF _Toc96586767 \h </w:instrText>
            </w:r>
            <w:r>
              <w:rPr>
                <w:webHidden/>
              </w:rPr>
            </w:r>
            <w:r>
              <w:rPr>
                <w:webHidden/>
              </w:rPr>
              <w:fldChar w:fldCharType="separate"/>
            </w:r>
            <w:r w:rsidR="00E77B24">
              <w:rPr>
                <w:webHidden/>
              </w:rPr>
              <w:t>1</w:t>
            </w:r>
            <w:r>
              <w:rPr>
                <w:webHidden/>
              </w:rPr>
              <w:fldChar w:fldCharType="end"/>
            </w:r>
          </w:hyperlink>
        </w:p>
        <w:p w14:paraId="4EE3F6F1" w14:textId="17AFA96B" w:rsidR="00894DB7" w:rsidRDefault="00894DB7">
          <w:pPr>
            <w:pStyle w:val="TOC1"/>
            <w:rPr>
              <w:rFonts w:asciiTheme="minorHAnsi" w:eastAsiaTheme="minorEastAsia" w:hAnsiTheme="minorHAnsi" w:cstheme="minorBidi"/>
              <w:b w:val="0"/>
              <w:color w:val="auto"/>
              <w:sz w:val="22"/>
              <w:szCs w:val="22"/>
              <w:lang w:val="en-US"/>
            </w:rPr>
          </w:pPr>
          <w:hyperlink w:anchor="_Toc96586768" w:history="1">
            <w:r w:rsidRPr="0046172C">
              <w:rPr>
                <w:rStyle w:val="Hyperlink"/>
              </w:rPr>
              <w:t>2</w:t>
            </w:r>
            <w:r>
              <w:rPr>
                <w:rFonts w:asciiTheme="minorHAnsi" w:eastAsiaTheme="minorEastAsia" w:hAnsiTheme="minorHAnsi" w:cstheme="minorBidi"/>
                <w:b w:val="0"/>
                <w:color w:val="auto"/>
                <w:sz w:val="22"/>
                <w:szCs w:val="22"/>
                <w:lang w:val="en-US"/>
              </w:rPr>
              <w:tab/>
            </w:r>
            <w:r w:rsidRPr="0046172C">
              <w:rPr>
                <w:rStyle w:val="Hyperlink"/>
              </w:rPr>
              <w:t>Introduction</w:t>
            </w:r>
            <w:r>
              <w:rPr>
                <w:webHidden/>
              </w:rPr>
              <w:tab/>
            </w:r>
            <w:r>
              <w:rPr>
                <w:webHidden/>
              </w:rPr>
              <w:fldChar w:fldCharType="begin"/>
            </w:r>
            <w:r>
              <w:rPr>
                <w:webHidden/>
              </w:rPr>
              <w:instrText xml:space="preserve"> PAGEREF _Toc96586768 \h </w:instrText>
            </w:r>
            <w:r>
              <w:rPr>
                <w:webHidden/>
              </w:rPr>
            </w:r>
            <w:r>
              <w:rPr>
                <w:webHidden/>
              </w:rPr>
              <w:fldChar w:fldCharType="separate"/>
            </w:r>
            <w:r w:rsidR="00E77B24">
              <w:rPr>
                <w:webHidden/>
              </w:rPr>
              <w:t>2</w:t>
            </w:r>
            <w:r>
              <w:rPr>
                <w:webHidden/>
              </w:rPr>
              <w:fldChar w:fldCharType="end"/>
            </w:r>
          </w:hyperlink>
        </w:p>
        <w:p w14:paraId="1A854907" w14:textId="1C72F358" w:rsidR="00894DB7" w:rsidRDefault="00894DB7">
          <w:pPr>
            <w:pStyle w:val="TOC2"/>
            <w:rPr>
              <w:rFonts w:asciiTheme="minorHAnsi" w:eastAsiaTheme="minorEastAsia" w:hAnsiTheme="minorHAnsi" w:cstheme="minorBidi"/>
              <w:color w:val="auto"/>
              <w:sz w:val="22"/>
              <w:szCs w:val="22"/>
              <w:lang w:val="en-US"/>
            </w:rPr>
          </w:pPr>
          <w:hyperlink w:anchor="_Toc96586769" w:history="1">
            <w:r w:rsidRPr="0046172C">
              <w:rPr>
                <w:rStyle w:val="Hyperlink"/>
              </w:rPr>
              <w:t>2.1</w:t>
            </w:r>
            <w:r>
              <w:rPr>
                <w:rFonts w:asciiTheme="minorHAnsi" w:eastAsiaTheme="minorEastAsia" w:hAnsiTheme="minorHAnsi" w:cstheme="minorBidi"/>
                <w:color w:val="auto"/>
                <w:sz w:val="22"/>
                <w:szCs w:val="22"/>
                <w:lang w:val="en-US"/>
              </w:rPr>
              <w:tab/>
            </w:r>
            <w:r w:rsidRPr="0046172C">
              <w:rPr>
                <w:rStyle w:val="Hyperlink"/>
              </w:rPr>
              <w:t>Purpose</w:t>
            </w:r>
            <w:r>
              <w:rPr>
                <w:webHidden/>
              </w:rPr>
              <w:tab/>
            </w:r>
            <w:r>
              <w:rPr>
                <w:webHidden/>
              </w:rPr>
              <w:fldChar w:fldCharType="begin"/>
            </w:r>
            <w:r>
              <w:rPr>
                <w:webHidden/>
              </w:rPr>
              <w:instrText xml:space="preserve"> PAGEREF _Toc96586769 \h </w:instrText>
            </w:r>
            <w:r>
              <w:rPr>
                <w:webHidden/>
              </w:rPr>
            </w:r>
            <w:r>
              <w:rPr>
                <w:webHidden/>
              </w:rPr>
              <w:fldChar w:fldCharType="separate"/>
            </w:r>
            <w:r w:rsidR="00E77B24">
              <w:rPr>
                <w:webHidden/>
              </w:rPr>
              <w:t>2</w:t>
            </w:r>
            <w:r>
              <w:rPr>
                <w:webHidden/>
              </w:rPr>
              <w:fldChar w:fldCharType="end"/>
            </w:r>
          </w:hyperlink>
        </w:p>
        <w:p w14:paraId="064F6458" w14:textId="501DB833" w:rsidR="00894DB7" w:rsidRDefault="00894DB7">
          <w:pPr>
            <w:pStyle w:val="TOC2"/>
            <w:rPr>
              <w:rFonts w:asciiTheme="minorHAnsi" w:eastAsiaTheme="minorEastAsia" w:hAnsiTheme="minorHAnsi" w:cstheme="minorBidi"/>
              <w:color w:val="auto"/>
              <w:sz w:val="22"/>
              <w:szCs w:val="22"/>
              <w:lang w:val="en-US"/>
            </w:rPr>
          </w:pPr>
          <w:hyperlink w:anchor="_Toc96586770" w:history="1">
            <w:r w:rsidRPr="0046172C">
              <w:rPr>
                <w:rStyle w:val="Hyperlink"/>
              </w:rPr>
              <w:t>2.2</w:t>
            </w:r>
            <w:r>
              <w:rPr>
                <w:rFonts w:asciiTheme="minorHAnsi" w:eastAsiaTheme="minorEastAsia" w:hAnsiTheme="minorHAnsi" w:cstheme="minorBidi"/>
                <w:color w:val="auto"/>
                <w:sz w:val="22"/>
                <w:szCs w:val="22"/>
                <w:lang w:val="en-US"/>
              </w:rPr>
              <w:tab/>
            </w:r>
            <w:r w:rsidRPr="0046172C">
              <w:rPr>
                <w:rStyle w:val="Hyperlink"/>
              </w:rPr>
              <w:t>Project Background</w:t>
            </w:r>
            <w:r>
              <w:rPr>
                <w:webHidden/>
              </w:rPr>
              <w:tab/>
            </w:r>
            <w:r>
              <w:rPr>
                <w:webHidden/>
              </w:rPr>
              <w:fldChar w:fldCharType="begin"/>
            </w:r>
            <w:r>
              <w:rPr>
                <w:webHidden/>
              </w:rPr>
              <w:instrText xml:space="preserve"> PAGEREF _Toc96586770 \h </w:instrText>
            </w:r>
            <w:r>
              <w:rPr>
                <w:webHidden/>
              </w:rPr>
            </w:r>
            <w:r>
              <w:rPr>
                <w:webHidden/>
              </w:rPr>
              <w:fldChar w:fldCharType="separate"/>
            </w:r>
            <w:r w:rsidR="00E77B24">
              <w:rPr>
                <w:webHidden/>
              </w:rPr>
              <w:t>2</w:t>
            </w:r>
            <w:r>
              <w:rPr>
                <w:webHidden/>
              </w:rPr>
              <w:fldChar w:fldCharType="end"/>
            </w:r>
          </w:hyperlink>
        </w:p>
        <w:p w14:paraId="2EC92C6E" w14:textId="1EA197F0" w:rsidR="00894DB7" w:rsidRDefault="00894DB7">
          <w:pPr>
            <w:pStyle w:val="TOC2"/>
            <w:rPr>
              <w:rFonts w:asciiTheme="minorHAnsi" w:eastAsiaTheme="minorEastAsia" w:hAnsiTheme="minorHAnsi" w:cstheme="minorBidi"/>
              <w:color w:val="auto"/>
              <w:sz w:val="22"/>
              <w:szCs w:val="22"/>
              <w:lang w:val="en-US"/>
            </w:rPr>
          </w:pPr>
          <w:hyperlink w:anchor="_Toc96586771" w:history="1">
            <w:r w:rsidRPr="0046172C">
              <w:rPr>
                <w:rStyle w:val="Hyperlink"/>
              </w:rPr>
              <w:t>2.3</w:t>
            </w:r>
            <w:r>
              <w:rPr>
                <w:rFonts w:asciiTheme="minorHAnsi" w:eastAsiaTheme="minorEastAsia" w:hAnsiTheme="minorHAnsi" w:cstheme="minorBidi"/>
                <w:color w:val="auto"/>
                <w:sz w:val="22"/>
                <w:szCs w:val="22"/>
                <w:lang w:val="en-US"/>
              </w:rPr>
              <w:tab/>
            </w:r>
            <w:r w:rsidRPr="0046172C">
              <w:rPr>
                <w:rStyle w:val="Hyperlink"/>
              </w:rPr>
              <w:t>Scope</w:t>
            </w:r>
            <w:r>
              <w:rPr>
                <w:webHidden/>
              </w:rPr>
              <w:tab/>
            </w:r>
            <w:r>
              <w:rPr>
                <w:webHidden/>
              </w:rPr>
              <w:fldChar w:fldCharType="begin"/>
            </w:r>
            <w:r>
              <w:rPr>
                <w:webHidden/>
              </w:rPr>
              <w:instrText xml:space="preserve"> PAGEREF _Toc96586771 \h </w:instrText>
            </w:r>
            <w:r>
              <w:rPr>
                <w:webHidden/>
              </w:rPr>
            </w:r>
            <w:r>
              <w:rPr>
                <w:webHidden/>
              </w:rPr>
              <w:fldChar w:fldCharType="separate"/>
            </w:r>
            <w:r w:rsidR="00E77B24">
              <w:rPr>
                <w:webHidden/>
              </w:rPr>
              <w:t>4</w:t>
            </w:r>
            <w:r>
              <w:rPr>
                <w:webHidden/>
              </w:rPr>
              <w:fldChar w:fldCharType="end"/>
            </w:r>
          </w:hyperlink>
        </w:p>
        <w:p w14:paraId="76BA5518" w14:textId="3B950C73" w:rsidR="00894DB7" w:rsidRDefault="00894DB7">
          <w:pPr>
            <w:pStyle w:val="TOC1"/>
            <w:rPr>
              <w:rFonts w:asciiTheme="minorHAnsi" w:eastAsiaTheme="minorEastAsia" w:hAnsiTheme="minorHAnsi" w:cstheme="minorBidi"/>
              <w:b w:val="0"/>
              <w:color w:val="auto"/>
              <w:sz w:val="22"/>
              <w:szCs w:val="22"/>
              <w:lang w:val="en-US"/>
            </w:rPr>
          </w:pPr>
          <w:hyperlink w:anchor="_Toc96586772" w:history="1">
            <w:r w:rsidRPr="0046172C">
              <w:rPr>
                <w:rStyle w:val="Hyperlink"/>
              </w:rPr>
              <w:t>3</w:t>
            </w:r>
            <w:r>
              <w:rPr>
                <w:rFonts w:asciiTheme="minorHAnsi" w:eastAsiaTheme="minorEastAsia" w:hAnsiTheme="minorHAnsi" w:cstheme="minorBidi"/>
                <w:b w:val="0"/>
                <w:color w:val="auto"/>
                <w:sz w:val="22"/>
                <w:szCs w:val="22"/>
                <w:lang w:val="en-US"/>
              </w:rPr>
              <w:tab/>
            </w:r>
            <w:r w:rsidRPr="0046172C">
              <w:rPr>
                <w:rStyle w:val="Hyperlink"/>
              </w:rPr>
              <w:t>Environmental Management</w:t>
            </w:r>
            <w:r>
              <w:rPr>
                <w:webHidden/>
              </w:rPr>
              <w:tab/>
            </w:r>
            <w:r>
              <w:rPr>
                <w:webHidden/>
              </w:rPr>
              <w:fldChar w:fldCharType="begin"/>
            </w:r>
            <w:r>
              <w:rPr>
                <w:webHidden/>
              </w:rPr>
              <w:instrText xml:space="preserve"> PAGEREF _Toc96586772 \h </w:instrText>
            </w:r>
            <w:r>
              <w:rPr>
                <w:webHidden/>
              </w:rPr>
            </w:r>
            <w:r>
              <w:rPr>
                <w:webHidden/>
              </w:rPr>
              <w:fldChar w:fldCharType="separate"/>
            </w:r>
            <w:r w:rsidR="00E77B24">
              <w:rPr>
                <w:webHidden/>
              </w:rPr>
              <w:t>5</w:t>
            </w:r>
            <w:r>
              <w:rPr>
                <w:webHidden/>
              </w:rPr>
              <w:fldChar w:fldCharType="end"/>
            </w:r>
          </w:hyperlink>
        </w:p>
        <w:p w14:paraId="655F7174" w14:textId="32D8E326" w:rsidR="00894DB7" w:rsidRDefault="00894DB7">
          <w:pPr>
            <w:pStyle w:val="TOC2"/>
            <w:rPr>
              <w:rFonts w:asciiTheme="minorHAnsi" w:eastAsiaTheme="minorEastAsia" w:hAnsiTheme="minorHAnsi" w:cstheme="minorBidi"/>
              <w:color w:val="auto"/>
              <w:sz w:val="22"/>
              <w:szCs w:val="22"/>
              <w:lang w:val="en-US"/>
            </w:rPr>
          </w:pPr>
          <w:hyperlink w:anchor="_Toc96586773" w:history="1">
            <w:r w:rsidRPr="0046172C">
              <w:rPr>
                <w:rStyle w:val="Hyperlink"/>
              </w:rPr>
              <w:t>3.1</w:t>
            </w:r>
            <w:r>
              <w:rPr>
                <w:rFonts w:asciiTheme="minorHAnsi" w:eastAsiaTheme="minorEastAsia" w:hAnsiTheme="minorHAnsi" w:cstheme="minorBidi"/>
                <w:color w:val="auto"/>
                <w:sz w:val="22"/>
                <w:szCs w:val="22"/>
                <w:lang w:val="en-US"/>
              </w:rPr>
              <w:tab/>
            </w:r>
            <w:r w:rsidRPr="0046172C">
              <w:rPr>
                <w:rStyle w:val="Hyperlink"/>
              </w:rPr>
              <w:t>Environmental Governance Framework</w:t>
            </w:r>
            <w:r>
              <w:rPr>
                <w:webHidden/>
              </w:rPr>
              <w:tab/>
            </w:r>
            <w:r>
              <w:rPr>
                <w:webHidden/>
              </w:rPr>
              <w:fldChar w:fldCharType="begin"/>
            </w:r>
            <w:r>
              <w:rPr>
                <w:webHidden/>
              </w:rPr>
              <w:instrText xml:space="preserve"> PAGEREF _Toc96586773 \h </w:instrText>
            </w:r>
            <w:r>
              <w:rPr>
                <w:webHidden/>
              </w:rPr>
            </w:r>
            <w:r>
              <w:rPr>
                <w:webHidden/>
              </w:rPr>
              <w:fldChar w:fldCharType="separate"/>
            </w:r>
            <w:r w:rsidR="00E77B24">
              <w:rPr>
                <w:webHidden/>
              </w:rPr>
              <w:t>5</w:t>
            </w:r>
            <w:r>
              <w:rPr>
                <w:webHidden/>
              </w:rPr>
              <w:fldChar w:fldCharType="end"/>
            </w:r>
          </w:hyperlink>
        </w:p>
        <w:p w14:paraId="1990532C" w14:textId="17F581AE" w:rsidR="00894DB7" w:rsidRDefault="00894DB7">
          <w:pPr>
            <w:pStyle w:val="TOC2"/>
            <w:rPr>
              <w:rFonts w:asciiTheme="minorHAnsi" w:eastAsiaTheme="minorEastAsia" w:hAnsiTheme="minorHAnsi" w:cstheme="minorBidi"/>
              <w:color w:val="auto"/>
              <w:sz w:val="22"/>
              <w:szCs w:val="22"/>
              <w:lang w:val="en-US"/>
            </w:rPr>
          </w:pPr>
          <w:hyperlink w:anchor="_Toc96586774" w:history="1">
            <w:r w:rsidRPr="0046172C">
              <w:rPr>
                <w:rStyle w:val="Hyperlink"/>
              </w:rPr>
              <w:t>3.2</w:t>
            </w:r>
            <w:r>
              <w:rPr>
                <w:rFonts w:asciiTheme="minorHAnsi" w:eastAsiaTheme="minorEastAsia" w:hAnsiTheme="minorHAnsi" w:cstheme="minorBidi"/>
                <w:color w:val="auto"/>
                <w:sz w:val="22"/>
                <w:szCs w:val="22"/>
                <w:lang w:val="en-US"/>
              </w:rPr>
              <w:tab/>
            </w:r>
            <w:r w:rsidRPr="0046172C">
              <w:rPr>
                <w:rStyle w:val="Hyperlink"/>
              </w:rPr>
              <w:t>Roles and Responsibilities</w:t>
            </w:r>
            <w:r>
              <w:rPr>
                <w:webHidden/>
              </w:rPr>
              <w:tab/>
            </w:r>
            <w:r>
              <w:rPr>
                <w:webHidden/>
              </w:rPr>
              <w:fldChar w:fldCharType="begin"/>
            </w:r>
            <w:r>
              <w:rPr>
                <w:webHidden/>
              </w:rPr>
              <w:instrText xml:space="preserve"> PAGEREF _Toc96586774 \h </w:instrText>
            </w:r>
            <w:r>
              <w:rPr>
                <w:webHidden/>
              </w:rPr>
            </w:r>
            <w:r>
              <w:rPr>
                <w:webHidden/>
              </w:rPr>
              <w:fldChar w:fldCharType="separate"/>
            </w:r>
            <w:r w:rsidR="00E77B24">
              <w:rPr>
                <w:webHidden/>
              </w:rPr>
              <w:t>8</w:t>
            </w:r>
            <w:r>
              <w:rPr>
                <w:webHidden/>
              </w:rPr>
              <w:fldChar w:fldCharType="end"/>
            </w:r>
          </w:hyperlink>
        </w:p>
        <w:p w14:paraId="50D38544" w14:textId="0A5834D3" w:rsidR="00894DB7" w:rsidRDefault="00894DB7">
          <w:pPr>
            <w:pStyle w:val="TOC1"/>
            <w:rPr>
              <w:rFonts w:asciiTheme="minorHAnsi" w:eastAsiaTheme="minorEastAsia" w:hAnsiTheme="minorHAnsi" w:cstheme="minorBidi"/>
              <w:b w:val="0"/>
              <w:color w:val="auto"/>
              <w:sz w:val="22"/>
              <w:szCs w:val="22"/>
              <w:lang w:val="en-US"/>
            </w:rPr>
          </w:pPr>
          <w:hyperlink w:anchor="_Toc96586775" w:history="1">
            <w:r w:rsidRPr="0046172C">
              <w:rPr>
                <w:rStyle w:val="Hyperlink"/>
              </w:rPr>
              <w:t>4</w:t>
            </w:r>
            <w:r>
              <w:rPr>
                <w:rFonts w:asciiTheme="minorHAnsi" w:eastAsiaTheme="minorEastAsia" w:hAnsiTheme="minorHAnsi" w:cstheme="minorBidi"/>
                <w:b w:val="0"/>
                <w:color w:val="auto"/>
                <w:sz w:val="22"/>
                <w:szCs w:val="22"/>
                <w:lang w:val="en-US"/>
              </w:rPr>
              <w:tab/>
            </w:r>
            <w:r w:rsidRPr="0046172C">
              <w:rPr>
                <w:rStyle w:val="Hyperlink"/>
              </w:rPr>
              <w:t xml:space="preserve">Conduct of Audits </w:t>
            </w:r>
            <w:r>
              <w:rPr>
                <w:webHidden/>
              </w:rPr>
              <w:tab/>
            </w:r>
            <w:r>
              <w:rPr>
                <w:webHidden/>
              </w:rPr>
              <w:fldChar w:fldCharType="begin"/>
            </w:r>
            <w:r>
              <w:rPr>
                <w:webHidden/>
              </w:rPr>
              <w:instrText xml:space="preserve"> PAGEREF _Toc96586775 \h </w:instrText>
            </w:r>
            <w:r>
              <w:rPr>
                <w:webHidden/>
              </w:rPr>
            </w:r>
            <w:r>
              <w:rPr>
                <w:webHidden/>
              </w:rPr>
              <w:fldChar w:fldCharType="separate"/>
            </w:r>
            <w:r w:rsidR="00E77B24">
              <w:rPr>
                <w:webHidden/>
              </w:rPr>
              <w:t>11</w:t>
            </w:r>
            <w:r>
              <w:rPr>
                <w:webHidden/>
              </w:rPr>
              <w:fldChar w:fldCharType="end"/>
            </w:r>
          </w:hyperlink>
        </w:p>
        <w:p w14:paraId="5DAC6A14" w14:textId="1B29DD10" w:rsidR="00894DB7" w:rsidRDefault="00894DB7">
          <w:pPr>
            <w:pStyle w:val="TOC2"/>
            <w:rPr>
              <w:rFonts w:asciiTheme="minorHAnsi" w:eastAsiaTheme="minorEastAsia" w:hAnsiTheme="minorHAnsi" w:cstheme="minorBidi"/>
              <w:color w:val="auto"/>
              <w:sz w:val="22"/>
              <w:szCs w:val="22"/>
              <w:lang w:val="en-US"/>
            </w:rPr>
          </w:pPr>
          <w:hyperlink w:anchor="_Toc96586776" w:history="1">
            <w:r w:rsidRPr="0046172C">
              <w:rPr>
                <w:rStyle w:val="Hyperlink"/>
              </w:rPr>
              <w:t>4.1</w:t>
            </w:r>
            <w:r>
              <w:rPr>
                <w:rFonts w:asciiTheme="minorHAnsi" w:eastAsiaTheme="minorEastAsia" w:hAnsiTheme="minorHAnsi" w:cstheme="minorBidi"/>
                <w:color w:val="auto"/>
                <w:sz w:val="22"/>
                <w:szCs w:val="22"/>
                <w:lang w:val="en-US"/>
              </w:rPr>
              <w:tab/>
            </w:r>
            <w:r w:rsidRPr="0046172C">
              <w:rPr>
                <w:rStyle w:val="Hyperlink"/>
              </w:rPr>
              <w:t>IEA Audit Requirements</w:t>
            </w:r>
            <w:r>
              <w:rPr>
                <w:webHidden/>
              </w:rPr>
              <w:tab/>
            </w:r>
            <w:r>
              <w:rPr>
                <w:webHidden/>
              </w:rPr>
              <w:fldChar w:fldCharType="begin"/>
            </w:r>
            <w:r>
              <w:rPr>
                <w:webHidden/>
              </w:rPr>
              <w:instrText xml:space="preserve"> PAGEREF _Toc96586776 \h </w:instrText>
            </w:r>
            <w:r>
              <w:rPr>
                <w:webHidden/>
              </w:rPr>
            </w:r>
            <w:r>
              <w:rPr>
                <w:webHidden/>
              </w:rPr>
              <w:fldChar w:fldCharType="separate"/>
            </w:r>
            <w:r w:rsidR="00E77B24">
              <w:rPr>
                <w:webHidden/>
              </w:rPr>
              <w:t>11</w:t>
            </w:r>
            <w:r>
              <w:rPr>
                <w:webHidden/>
              </w:rPr>
              <w:fldChar w:fldCharType="end"/>
            </w:r>
          </w:hyperlink>
        </w:p>
        <w:p w14:paraId="3A6E5C14" w14:textId="4FB59B7F" w:rsidR="00894DB7" w:rsidRDefault="00894DB7">
          <w:pPr>
            <w:pStyle w:val="TOC2"/>
            <w:rPr>
              <w:rFonts w:asciiTheme="minorHAnsi" w:eastAsiaTheme="minorEastAsia" w:hAnsiTheme="minorHAnsi" w:cstheme="minorBidi"/>
              <w:color w:val="auto"/>
              <w:sz w:val="22"/>
              <w:szCs w:val="22"/>
              <w:lang w:val="en-US"/>
            </w:rPr>
          </w:pPr>
          <w:hyperlink w:anchor="_Toc96586777" w:history="1">
            <w:r w:rsidRPr="0046172C">
              <w:rPr>
                <w:rStyle w:val="Hyperlink"/>
              </w:rPr>
              <w:t>4.2</w:t>
            </w:r>
            <w:r>
              <w:rPr>
                <w:rFonts w:asciiTheme="minorHAnsi" w:eastAsiaTheme="minorEastAsia" w:hAnsiTheme="minorHAnsi" w:cstheme="minorBidi"/>
                <w:color w:val="auto"/>
                <w:sz w:val="22"/>
                <w:szCs w:val="22"/>
                <w:lang w:val="en-US"/>
              </w:rPr>
              <w:tab/>
            </w:r>
            <w:r w:rsidRPr="0046172C">
              <w:rPr>
                <w:rStyle w:val="Hyperlink"/>
              </w:rPr>
              <w:t>IEA Audit Methodology</w:t>
            </w:r>
            <w:r>
              <w:rPr>
                <w:webHidden/>
              </w:rPr>
              <w:tab/>
            </w:r>
            <w:r>
              <w:rPr>
                <w:webHidden/>
              </w:rPr>
              <w:fldChar w:fldCharType="begin"/>
            </w:r>
            <w:r>
              <w:rPr>
                <w:webHidden/>
              </w:rPr>
              <w:instrText xml:space="preserve"> PAGEREF _Toc96586777 \h </w:instrText>
            </w:r>
            <w:r>
              <w:rPr>
                <w:webHidden/>
              </w:rPr>
            </w:r>
            <w:r>
              <w:rPr>
                <w:webHidden/>
              </w:rPr>
              <w:fldChar w:fldCharType="separate"/>
            </w:r>
            <w:r w:rsidR="00E77B24">
              <w:rPr>
                <w:webHidden/>
              </w:rPr>
              <w:t>11</w:t>
            </w:r>
            <w:r>
              <w:rPr>
                <w:webHidden/>
              </w:rPr>
              <w:fldChar w:fldCharType="end"/>
            </w:r>
          </w:hyperlink>
        </w:p>
        <w:p w14:paraId="36CF4ACD" w14:textId="02579449" w:rsidR="00894DB7" w:rsidRDefault="00894DB7">
          <w:pPr>
            <w:pStyle w:val="TOC1"/>
            <w:rPr>
              <w:rFonts w:asciiTheme="minorHAnsi" w:eastAsiaTheme="minorEastAsia" w:hAnsiTheme="minorHAnsi" w:cstheme="minorBidi"/>
              <w:b w:val="0"/>
              <w:color w:val="auto"/>
              <w:sz w:val="22"/>
              <w:szCs w:val="22"/>
              <w:lang w:val="en-US"/>
            </w:rPr>
          </w:pPr>
          <w:hyperlink w:anchor="_Toc96586778" w:history="1">
            <w:r w:rsidRPr="0046172C">
              <w:rPr>
                <w:rStyle w:val="Hyperlink"/>
              </w:rPr>
              <w:t>5</w:t>
            </w:r>
            <w:r>
              <w:rPr>
                <w:rFonts w:asciiTheme="minorHAnsi" w:eastAsiaTheme="minorEastAsia" w:hAnsiTheme="minorHAnsi" w:cstheme="minorBidi"/>
                <w:b w:val="0"/>
                <w:color w:val="auto"/>
                <w:sz w:val="22"/>
                <w:szCs w:val="22"/>
                <w:lang w:val="en-US"/>
              </w:rPr>
              <w:tab/>
            </w:r>
            <w:r w:rsidRPr="0046172C">
              <w:rPr>
                <w:rStyle w:val="Hyperlink"/>
              </w:rPr>
              <w:t>Completed Audits</w:t>
            </w:r>
            <w:r>
              <w:rPr>
                <w:webHidden/>
              </w:rPr>
              <w:tab/>
            </w:r>
            <w:r>
              <w:rPr>
                <w:webHidden/>
              </w:rPr>
              <w:fldChar w:fldCharType="begin"/>
            </w:r>
            <w:r>
              <w:rPr>
                <w:webHidden/>
              </w:rPr>
              <w:instrText xml:space="preserve"> PAGEREF _Toc96586778 \h </w:instrText>
            </w:r>
            <w:r>
              <w:rPr>
                <w:webHidden/>
              </w:rPr>
            </w:r>
            <w:r>
              <w:rPr>
                <w:webHidden/>
              </w:rPr>
              <w:fldChar w:fldCharType="separate"/>
            </w:r>
            <w:r w:rsidR="00E77B24">
              <w:rPr>
                <w:webHidden/>
              </w:rPr>
              <w:t>15</w:t>
            </w:r>
            <w:r>
              <w:rPr>
                <w:webHidden/>
              </w:rPr>
              <w:fldChar w:fldCharType="end"/>
            </w:r>
          </w:hyperlink>
        </w:p>
        <w:p w14:paraId="497564A7" w14:textId="5F7E3942" w:rsidR="00894DB7" w:rsidRDefault="00894DB7">
          <w:pPr>
            <w:pStyle w:val="TOC2"/>
            <w:rPr>
              <w:rFonts w:asciiTheme="minorHAnsi" w:eastAsiaTheme="minorEastAsia" w:hAnsiTheme="minorHAnsi" w:cstheme="minorBidi"/>
              <w:color w:val="auto"/>
              <w:sz w:val="22"/>
              <w:szCs w:val="22"/>
              <w:lang w:val="en-US"/>
            </w:rPr>
          </w:pPr>
          <w:hyperlink w:anchor="_Toc96586779" w:history="1">
            <w:r w:rsidRPr="0046172C">
              <w:rPr>
                <w:rStyle w:val="Hyperlink"/>
              </w:rPr>
              <w:t>5.1</w:t>
            </w:r>
            <w:r>
              <w:rPr>
                <w:rFonts w:asciiTheme="minorHAnsi" w:eastAsiaTheme="minorEastAsia" w:hAnsiTheme="minorHAnsi" w:cstheme="minorBidi"/>
                <w:color w:val="auto"/>
                <w:sz w:val="22"/>
                <w:szCs w:val="22"/>
                <w:lang w:val="en-US"/>
              </w:rPr>
              <w:tab/>
            </w:r>
            <w:r w:rsidRPr="0046172C">
              <w:rPr>
                <w:rStyle w:val="Hyperlink"/>
              </w:rPr>
              <w:t>Pre-commencement Audit Q4 2018</w:t>
            </w:r>
            <w:r>
              <w:rPr>
                <w:webHidden/>
              </w:rPr>
              <w:tab/>
            </w:r>
            <w:r>
              <w:rPr>
                <w:webHidden/>
              </w:rPr>
              <w:fldChar w:fldCharType="begin"/>
            </w:r>
            <w:r>
              <w:rPr>
                <w:webHidden/>
              </w:rPr>
              <w:instrText xml:space="preserve"> PAGEREF _Toc96586779 \h </w:instrText>
            </w:r>
            <w:r>
              <w:rPr>
                <w:webHidden/>
              </w:rPr>
            </w:r>
            <w:r>
              <w:rPr>
                <w:webHidden/>
              </w:rPr>
              <w:fldChar w:fldCharType="separate"/>
            </w:r>
            <w:r w:rsidR="00E77B24">
              <w:rPr>
                <w:webHidden/>
              </w:rPr>
              <w:t>15</w:t>
            </w:r>
            <w:r>
              <w:rPr>
                <w:webHidden/>
              </w:rPr>
              <w:fldChar w:fldCharType="end"/>
            </w:r>
          </w:hyperlink>
        </w:p>
        <w:p w14:paraId="37A32DC4" w14:textId="06BA6A6D" w:rsidR="00894DB7" w:rsidRDefault="00894DB7">
          <w:pPr>
            <w:pStyle w:val="TOC2"/>
            <w:rPr>
              <w:rFonts w:asciiTheme="minorHAnsi" w:eastAsiaTheme="minorEastAsia" w:hAnsiTheme="minorHAnsi" w:cstheme="minorBidi"/>
              <w:color w:val="auto"/>
              <w:sz w:val="22"/>
              <w:szCs w:val="22"/>
              <w:lang w:val="en-US"/>
            </w:rPr>
          </w:pPr>
          <w:hyperlink w:anchor="_Toc96586780" w:history="1">
            <w:r w:rsidRPr="0046172C">
              <w:rPr>
                <w:rStyle w:val="Hyperlink"/>
              </w:rPr>
              <w:t>5.2</w:t>
            </w:r>
            <w:r>
              <w:rPr>
                <w:rFonts w:asciiTheme="minorHAnsi" w:eastAsiaTheme="minorEastAsia" w:hAnsiTheme="minorHAnsi" w:cstheme="minorBidi"/>
                <w:color w:val="auto"/>
                <w:sz w:val="22"/>
                <w:szCs w:val="22"/>
                <w:lang w:val="en-US"/>
              </w:rPr>
              <w:tab/>
            </w:r>
            <w:r w:rsidRPr="0046172C">
              <w:rPr>
                <w:rStyle w:val="Hyperlink"/>
              </w:rPr>
              <w:t>Pre-commencement Audit Q1 2019</w:t>
            </w:r>
            <w:r>
              <w:rPr>
                <w:webHidden/>
              </w:rPr>
              <w:tab/>
            </w:r>
            <w:r>
              <w:rPr>
                <w:webHidden/>
              </w:rPr>
              <w:fldChar w:fldCharType="begin"/>
            </w:r>
            <w:r>
              <w:rPr>
                <w:webHidden/>
              </w:rPr>
              <w:instrText xml:space="preserve"> PAGEREF _Toc96586780 \h </w:instrText>
            </w:r>
            <w:r>
              <w:rPr>
                <w:webHidden/>
              </w:rPr>
            </w:r>
            <w:r>
              <w:rPr>
                <w:webHidden/>
              </w:rPr>
              <w:fldChar w:fldCharType="separate"/>
            </w:r>
            <w:r w:rsidR="00E77B24">
              <w:rPr>
                <w:webHidden/>
              </w:rPr>
              <w:t>19</w:t>
            </w:r>
            <w:r>
              <w:rPr>
                <w:webHidden/>
              </w:rPr>
              <w:fldChar w:fldCharType="end"/>
            </w:r>
          </w:hyperlink>
        </w:p>
        <w:p w14:paraId="0A1F7C8B" w14:textId="413DF8D6" w:rsidR="00894DB7" w:rsidRDefault="00894DB7">
          <w:pPr>
            <w:pStyle w:val="TOC2"/>
            <w:rPr>
              <w:rFonts w:asciiTheme="minorHAnsi" w:eastAsiaTheme="minorEastAsia" w:hAnsiTheme="minorHAnsi" w:cstheme="minorBidi"/>
              <w:color w:val="auto"/>
              <w:sz w:val="22"/>
              <w:szCs w:val="22"/>
              <w:lang w:val="en-US"/>
            </w:rPr>
          </w:pPr>
          <w:hyperlink w:anchor="_Toc96586781" w:history="1">
            <w:r w:rsidRPr="0046172C">
              <w:rPr>
                <w:rStyle w:val="Hyperlink"/>
              </w:rPr>
              <w:t>5.3</w:t>
            </w:r>
            <w:r>
              <w:rPr>
                <w:rFonts w:asciiTheme="minorHAnsi" w:eastAsiaTheme="minorEastAsia" w:hAnsiTheme="minorHAnsi" w:cstheme="minorBidi"/>
                <w:color w:val="auto"/>
                <w:sz w:val="22"/>
                <w:szCs w:val="22"/>
                <w:lang w:val="en-US"/>
              </w:rPr>
              <w:tab/>
            </w:r>
            <w:r w:rsidRPr="0046172C">
              <w:rPr>
                <w:rStyle w:val="Hyperlink"/>
              </w:rPr>
              <w:t>Implementation Audit Q2 2019</w:t>
            </w:r>
            <w:r>
              <w:rPr>
                <w:webHidden/>
              </w:rPr>
              <w:tab/>
            </w:r>
            <w:r>
              <w:rPr>
                <w:webHidden/>
              </w:rPr>
              <w:fldChar w:fldCharType="begin"/>
            </w:r>
            <w:r>
              <w:rPr>
                <w:webHidden/>
              </w:rPr>
              <w:instrText xml:space="preserve"> PAGEREF _Toc96586781 \h </w:instrText>
            </w:r>
            <w:r>
              <w:rPr>
                <w:webHidden/>
              </w:rPr>
            </w:r>
            <w:r>
              <w:rPr>
                <w:webHidden/>
              </w:rPr>
              <w:fldChar w:fldCharType="separate"/>
            </w:r>
            <w:r w:rsidR="00E77B24">
              <w:rPr>
                <w:webHidden/>
              </w:rPr>
              <w:t>21</w:t>
            </w:r>
            <w:r>
              <w:rPr>
                <w:webHidden/>
              </w:rPr>
              <w:fldChar w:fldCharType="end"/>
            </w:r>
          </w:hyperlink>
        </w:p>
        <w:p w14:paraId="74F986C8" w14:textId="2527D30C" w:rsidR="00894DB7" w:rsidRDefault="00894DB7">
          <w:pPr>
            <w:pStyle w:val="TOC2"/>
            <w:rPr>
              <w:rFonts w:asciiTheme="minorHAnsi" w:eastAsiaTheme="minorEastAsia" w:hAnsiTheme="minorHAnsi" w:cstheme="minorBidi"/>
              <w:color w:val="auto"/>
              <w:sz w:val="22"/>
              <w:szCs w:val="22"/>
              <w:lang w:val="en-US"/>
            </w:rPr>
          </w:pPr>
          <w:hyperlink w:anchor="_Toc96586782" w:history="1">
            <w:r w:rsidRPr="0046172C">
              <w:rPr>
                <w:rStyle w:val="Hyperlink"/>
              </w:rPr>
              <w:t>5.4</w:t>
            </w:r>
            <w:r>
              <w:rPr>
                <w:rFonts w:asciiTheme="minorHAnsi" w:eastAsiaTheme="minorEastAsia" w:hAnsiTheme="minorHAnsi" w:cstheme="minorBidi"/>
                <w:color w:val="auto"/>
                <w:sz w:val="22"/>
                <w:szCs w:val="22"/>
                <w:lang w:val="en-US"/>
              </w:rPr>
              <w:tab/>
            </w:r>
            <w:r w:rsidRPr="0046172C">
              <w:rPr>
                <w:rStyle w:val="Hyperlink"/>
              </w:rPr>
              <w:t>Pre-commencement &amp; Implementation Audit Q3 2019</w:t>
            </w:r>
            <w:r>
              <w:rPr>
                <w:webHidden/>
              </w:rPr>
              <w:tab/>
            </w:r>
            <w:r>
              <w:rPr>
                <w:webHidden/>
              </w:rPr>
              <w:fldChar w:fldCharType="begin"/>
            </w:r>
            <w:r>
              <w:rPr>
                <w:webHidden/>
              </w:rPr>
              <w:instrText xml:space="preserve"> PAGEREF _Toc96586782 \h </w:instrText>
            </w:r>
            <w:r>
              <w:rPr>
                <w:webHidden/>
              </w:rPr>
            </w:r>
            <w:r>
              <w:rPr>
                <w:webHidden/>
              </w:rPr>
              <w:fldChar w:fldCharType="separate"/>
            </w:r>
            <w:r w:rsidR="00E77B24">
              <w:rPr>
                <w:webHidden/>
              </w:rPr>
              <w:t>24</w:t>
            </w:r>
            <w:r>
              <w:rPr>
                <w:webHidden/>
              </w:rPr>
              <w:fldChar w:fldCharType="end"/>
            </w:r>
          </w:hyperlink>
        </w:p>
        <w:p w14:paraId="23B49FE4" w14:textId="1902DE23" w:rsidR="00894DB7" w:rsidRDefault="00894DB7">
          <w:pPr>
            <w:pStyle w:val="TOC2"/>
            <w:rPr>
              <w:rFonts w:asciiTheme="minorHAnsi" w:eastAsiaTheme="minorEastAsia" w:hAnsiTheme="minorHAnsi" w:cstheme="minorBidi"/>
              <w:color w:val="auto"/>
              <w:sz w:val="22"/>
              <w:szCs w:val="22"/>
              <w:lang w:val="en-US"/>
            </w:rPr>
          </w:pPr>
          <w:hyperlink w:anchor="_Toc96586783" w:history="1">
            <w:r w:rsidRPr="0046172C">
              <w:rPr>
                <w:rStyle w:val="Hyperlink"/>
              </w:rPr>
              <w:t>5.5</w:t>
            </w:r>
            <w:r>
              <w:rPr>
                <w:rFonts w:asciiTheme="minorHAnsi" w:eastAsiaTheme="minorEastAsia" w:hAnsiTheme="minorHAnsi" w:cstheme="minorBidi"/>
                <w:color w:val="auto"/>
                <w:sz w:val="22"/>
                <w:szCs w:val="22"/>
                <w:lang w:val="en-US"/>
              </w:rPr>
              <w:tab/>
            </w:r>
            <w:r w:rsidRPr="0046172C">
              <w:rPr>
                <w:rStyle w:val="Hyperlink"/>
              </w:rPr>
              <w:t>Implementation Audit Q4 2019</w:t>
            </w:r>
            <w:r>
              <w:rPr>
                <w:webHidden/>
              </w:rPr>
              <w:tab/>
            </w:r>
            <w:r>
              <w:rPr>
                <w:webHidden/>
              </w:rPr>
              <w:fldChar w:fldCharType="begin"/>
            </w:r>
            <w:r>
              <w:rPr>
                <w:webHidden/>
              </w:rPr>
              <w:instrText xml:space="preserve"> PAGEREF _Toc96586783 \h </w:instrText>
            </w:r>
            <w:r>
              <w:rPr>
                <w:webHidden/>
              </w:rPr>
            </w:r>
            <w:r>
              <w:rPr>
                <w:webHidden/>
              </w:rPr>
              <w:fldChar w:fldCharType="separate"/>
            </w:r>
            <w:r w:rsidR="00E77B24">
              <w:rPr>
                <w:webHidden/>
              </w:rPr>
              <w:t>28</w:t>
            </w:r>
            <w:r>
              <w:rPr>
                <w:webHidden/>
              </w:rPr>
              <w:fldChar w:fldCharType="end"/>
            </w:r>
          </w:hyperlink>
        </w:p>
        <w:p w14:paraId="6366C3C5" w14:textId="024A3C42" w:rsidR="00894DB7" w:rsidRDefault="00894DB7">
          <w:pPr>
            <w:pStyle w:val="TOC1"/>
            <w:rPr>
              <w:rFonts w:asciiTheme="minorHAnsi" w:eastAsiaTheme="minorEastAsia" w:hAnsiTheme="minorHAnsi" w:cstheme="minorBidi"/>
              <w:b w:val="0"/>
              <w:color w:val="auto"/>
              <w:sz w:val="22"/>
              <w:szCs w:val="22"/>
              <w:lang w:val="en-US"/>
            </w:rPr>
          </w:pPr>
          <w:hyperlink w:anchor="_Toc96586784" w:history="1">
            <w:r w:rsidRPr="0046172C">
              <w:rPr>
                <w:rStyle w:val="Hyperlink"/>
              </w:rPr>
              <w:t>6</w:t>
            </w:r>
            <w:r>
              <w:rPr>
                <w:rFonts w:asciiTheme="minorHAnsi" w:eastAsiaTheme="minorEastAsia" w:hAnsiTheme="minorHAnsi" w:cstheme="minorBidi"/>
                <w:b w:val="0"/>
                <w:color w:val="auto"/>
                <w:sz w:val="22"/>
                <w:szCs w:val="22"/>
                <w:lang w:val="en-US"/>
              </w:rPr>
              <w:tab/>
            </w:r>
            <w:r w:rsidRPr="0046172C">
              <w:rPr>
                <w:rStyle w:val="Hyperlink"/>
              </w:rPr>
              <w:t>Conclusions</w:t>
            </w:r>
            <w:r>
              <w:rPr>
                <w:webHidden/>
              </w:rPr>
              <w:tab/>
            </w:r>
            <w:r>
              <w:rPr>
                <w:webHidden/>
              </w:rPr>
              <w:fldChar w:fldCharType="begin"/>
            </w:r>
            <w:r>
              <w:rPr>
                <w:webHidden/>
              </w:rPr>
              <w:instrText xml:space="preserve"> PAGEREF _Toc96586784 \h </w:instrText>
            </w:r>
            <w:r>
              <w:rPr>
                <w:webHidden/>
              </w:rPr>
            </w:r>
            <w:r>
              <w:rPr>
                <w:webHidden/>
              </w:rPr>
              <w:fldChar w:fldCharType="separate"/>
            </w:r>
            <w:r w:rsidR="00E77B24">
              <w:rPr>
                <w:webHidden/>
              </w:rPr>
              <w:t>30</w:t>
            </w:r>
            <w:r>
              <w:rPr>
                <w:webHidden/>
              </w:rPr>
              <w:fldChar w:fldCharType="end"/>
            </w:r>
          </w:hyperlink>
        </w:p>
        <w:p w14:paraId="145E3A1E" w14:textId="284318BD" w:rsidR="001775A2" w:rsidRDefault="00843007" w:rsidP="005A3733">
          <w:pPr>
            <w:pStyle w:val="TOC1"/>
            <w:rPr>
              <w:rStyle w:val="Hyperlink"/>
            </w:rPr>
          </w:pPr>
          <w:r>
            <w:rPr>
              <w:rStyle w:val="Hyperlink"/>
            </w:rPr>
            <w:fldChar w:fldCharType="end"/>
          </w:r>
        </w:p>
      </w:sdtContent>
    </w:sdt>
    <w:p w14:paraId="145E3A26" w14:textId="17047037" w:rsidR="002B26FB" w:rsidRDefault="002B26FB" w:rsidP="005A3733">
      <w:pPr>
        <w:pStyle w:val="TOC1"/>
      </w:pPr>
    </w:p>
    <w:p w14:paraId="145E3A27" w14:textId="77777777" w:rsidR="00AA07EE" w:rsidRDefault="00AA07EE" w:rsidP="00FB3545">
      <w:pPr>
        <w:sectPr w:rsidR="00AA07EE" w:rsidSect="00EE4386">
          <w:headerReference w:type="even" r:id="rId19"/>
          <w:headerReference w:type="default" r:id="rId20"/>
          <w:headerReference w:type="first" r:id="rId21"/>
          <w:footerReference w:type="first" r:id="rId22"/>
          <w:pgSz w:w="11907" w:h="16839" w:code="9"/>
          <w:pgMar w:top="1701" w:right="851" w:bottom="851" w:left="1418" w:header="567" w:footer="0" w:gutter="0"/>
          <w:pgNumType w:fmt="lowerRoman" w:start="1"/>
          <w:cols w:space="720"/>
          <w:docGrid w:linePitch="360"/>
        </w:sectPr>
      </w:pPr>
    </w:p>
    <w:p w14:paraId="03B181D6" w14:textId="5B2B2DE0" w:rsidR="005E28DC" w:rsidRDefault="005E28DC" w:rsidP="005E28DC">
      <w:pPr>
        <w:pStyle w:val="Heading1"/>
        <w:numPr>
          <w:ilvl w:val="0"/>
          <w:numId w:val="0"/>
        </w:numPr>
        <w:tabs>
          <w:tab w:val="left" w:pos="720"/>
        </w:tabs>
        <w:ind w:right="1275"/>
      </w:pPr>
      <w:bookmarkStart w:id="1" w:name="_Toc41925185"/>
      <w:bookmarkStart w:id="2" w:name="_Toc96586763"/>
      <w:bookmarkStart w:id="3" w:name="_Toc505691007"/>
      <w:r>
        <w:lastRenderedPageBreak/>
        <w:t>Glossary</w:t>
      </w:r>
      <w:bookmarkEnd w:id="1"/>
      <w:bookmarkEnd w:id="2"/>
    </w:p>
    <w:tbl>
      <w:tblPr>
        <w:tblStyle w:val="MRL"/>
        <w:tblW w:w="9639" w:type="dxa"/>
        <w:tblCellMar>
          <w:top w:w="28" w:type="dxa"/>
          <w:left w:w="85" w:type="dxa"/>
          <w:bottom w:w="28" w:type="dxa"/>
          <w:right w:w="85" w:type="dxa"/>
        </w:tblCellMar>
        <w:tblLook w:val="04A0" w:firstRow="1" w:lastRow="0" w:firstColumn="1" w:lastColumn="0" w:noHBand="0" w:noVBand="1"/>
      </w:tblPr>
      <w:tblGrid>
        <w:gridCol w:w="1843"/>
        <w:gridCol w:w="7796"/>
      </w:tblGrid>
      <w:tr w:rsidR="005E28DC" w14:paraId="714AE17E" w14:textId="77777777" w:rsidTr="005E28DC">
        <w:trPr>
          <w:cnfStyle w:val="100000000000" w:firstRow="1" w:lastRow="0" w:firstColumn="0" w:lastColumn="0" w:oddVBand="0" w:evenVBand="0" w:oddHBand="0" w:evenHBand="0" w:firstRowFirstColumn="0" w:firstRowLastColumn="0" w:lastRowFirstColumn="0" w:lastRowLastColumn="0"/>
          <w:cantSplit/>
          <w:trHeight w:val="447"/>
          <w:tblHeader/>
        </w:trPr>
        <w:tc>
          <w:tcPr>
            <w:cnfStyle w:val="001000000000" w:firstRow="0" w:lastRow="0" w:firstColumn="1" w:lastColumn="0" w:oddVBand="0" w:evenVBand="0" w:oddHBand="0" w:evenHBand="0" w:firstRowFirstColumn="0" w:firstRowLastColumn="0" w:lastRowFirstColumn="0" w:lastRowLastColumn="0"/>
            <w:tcW w:w="956" w:type="pct"/>
            <w:tcBorders>
              <w:top w:val="nil"/>
              <w:left w:val="nil"/>
              <w:bottom w:val="single" w:sz="4" w:space="0" w:color="BFBFBF" w:themeColor="background1" w:themeShade="BF"/>
              <w:right w:val="single" w:sz="4" w:space="0" w:color="BFBFBF" w:themeColor="background1" w:themeShade="BF"/>
            </w:tcBorders>
            <w:hideMark/>
          </w:tcPr>
          <w:p w14:paraId="74092948" w14:textId="77777777" w:rsidR="005E28DC" w:rsidRDefault="005E28DC">
            <w:pPr>
              <w:pStyle w:val="TableHeader"/>
              <w:spacing w:before="144" w:after="144"/>
            </w:pPr>
            <w:r>
              <w:t>term / abbreviation</w:t>
            </w:r>
          </w:p>
        </w:tc>
        <w:tc>
          <w:tcPr>
            <w:tcW w:w="4044" w:type="pct"/>
            <w:tcBorders>
              <w:top w:val="nil"/>
              <w:left w:val="single" w:sz="4" w:space="0" w:color="BFBFBF" w:themeColor="background1" w:themeShade="BF"/>
              <w:bottom w:val="single" w:sz="4" w:space="0" w:color="BFBFBF" w:themeColor="background1" w:themeShade="BF"/>
              <w:right w:val="nil"/>
            </w:tcBorders>
            <w:hideMark/>
          </w:tcPr>
          <w:p w14:paraId="1E81B6B4" w14:textId="22CEC2EF" w:rsidR="005E28DC" w:rsidRDefault="005E28DC">
            <w:pPr>
              <w:pStyle w:val="TableHeader"/>
              <w:spacing w:before="144" w:after="144"/>
              <w:cnfStyle w:val="100000000000" w:firstRow="1" w:lastRow="0" w:firstColumn="0" w:lastColumn="0" w:oddVBand="0" w:evenVBand="0" w:oddHBand="0" w:evenHBand="0" w:firstRowFirstColumn="0" w:firstRowLastColumn="0" w:lastRowFirstColumn="0" w:lastRowLastColumn="0"/>
            </w:pPr>
            <w:r>
              <w:t>description</w:t>
            </w:r>
          </w:p>
        </w:tc>
      </w:tr>
      <w:tr w:rsidR="00A81B96" w14:paraId="5951973F"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tcPr>
          <w:p w14:paraId="2387A05E" w14:textId="685FDDB6" w:rsidR="00A81B96" w:rsidRDefault="00A81B96">
            <w:r w:rsidRPr="00A81B96">
              <w:t>AQMP</w:t>
            </w:r>
          </w:p>
        </w:tc>
        <w:tc>
          <w:tcPr>
            <w:tcW w:w="4044" w:type="pct"/>
            <w:tcBorders>
              <w:left w:val="single" w:sz="4" w:space="0" w:color="BFBFBF" w:themeColor="background1" w:themeShade="BF"/>
              <w:right w:val="nil"/>
            </w:tcBorders>
            <w:vAlign w:val="top"/>
          </w:tcPr>
          <w:p w14:paraId="25200AF8" w14:textId="3510C905" w:rsidR="00A81B96" w:rsidRDefault="00A81B96">
            <w:pPr>
              <w:cnfStyle w:val="000000100000" w:firstRow="0" w:lastRow="0" w:firstColumn="0" w:lastColumn="0" w:oddVBand="0" w:evenVBand="0" w:oddHBand="1" w:evenHBand="0" w:firstRowFirstColumn="0" w:firstRowLastColumn="0" w:lastRowFirstColumn="0" w:lastRowLastColumn="0"/>
            </w:pPr>
            <w:r w:rsidRPr="00A81B96">
              <w:t>Air Quality Management Plan</w:t>
            </w:r>
          </w:p>
        </w:tc>
      </w:tr>
      <w:tr w:rsidR="00F03598" w14:paraId="4521A7AC" w14:textId="77777777" w:rsidTr="00011B9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09A49E9A" w14:textId="09FCAC1E" w:rsidR="00F03598" w:rsidRDefault="00F03598" w:rsidP="00011B9C">
            <w:r>
              <w:t>AQIA</w:t>
            </w:r>
          </w:p>
        </w:tc>
        <w:tc>
          <w:tcPr>
            <w:tcW w:w="4044" w:type="pct"/>
            <w:tcBorders>
              <w:left w:val="single" w:sz="4" w:space="0" w:color="BFBFBF" w:themeColor="background1" w:themeShade="BF"/>
              <w:right w:val="nil"/>
            </w:tcBorders>
            <w:vAlign w:val="top"/>
            <w:hideMark/>
          </w:tcPr>
          <w:p w14:paraId="0B6537FD" w14:textId="0097358B" w:rsidR="00F03598" w:rsidRDefault="00F03598" w:rsidP="00011B9C">
            <w:pPr>
              <w:cnfStyle w:val="000000010000" w:firstRow="0" w:lastRow="0" w:firstColumn="0" w:lastColumn="0" w:oddVBand="0" w:evenVBand="0" w:oddHBand="0" w:evenHBand="1" w:firstRowFirstColumn="0" w:firstRowLastColumn="0" w:lastRowFirstColumn="0" w:lastRowLastColumn="0"/>
            </w:pPr>
            <w:r>
              <w:t xml:space="preserve">Air Quality Impact Assessment </w:t>
            </w:r>
          </w:p>
        </w:tc>
      </w:tr>
      <w:tr w:rsidR="00A81B96" w14:paraId="7A1EB91D" w14:textId="77777777" w:rsidTr="00C47B0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5032695E" w14:textId="77777777" w:rsidR="00A81B96" w:rsidRDefault="00A81B96" w:rsidP="00C47B00">
            <w:r>
              <w:t>AJM JV</w:t>
            </w:r>
          </w:p>
        </w:tc>
        <w:tc>
          <w:tcPr>
            <w:tcW w:w="4044" w:type="pct"/>
            <w:tcBorders>
              <w:left w:val="single" w:sz="4" w:space="0" w:color="BFBFBF" w:themeColor="background1" w:themeShade="BF"/>
              <w:right w:val="nil"/>
            </w:tcBorders>
            <w:vAlign w:val="top"/>
            <w:hideMark/>
          </w:tcPr>
          <w:p w14:paraId="390118BC" w14:textId="77777777" w:rsidR="00A81B96" w:rsidRDefault="00A81B96" w:rsidP="00C47B00">
            <w:pPr>
              <w:cnfStyle w:val="000000100000" w:firstRow="0" w:lastRow="0" w:firstColumn="0" w:lastColumn="0" w:oddVBand="0" w:evenVBand="0" w:oddHBand="1" w:evenHBand="0" w:firstRowFirstColumn="0" w:firstRowLastColumn="0" w:lastRowFirstColumn="0" w:lastRowLastColumn="0"/>
            </w:pPr>
            <w:r>
              <w:t>Aurecon Jacobs Mott MacDonald Joint Venture</w:t>
            </w:r>
          </w:p>
        </w:tc>
      </w:tr>
      <w:tr w:rsidR="00A81B96" w14:paraId="76EC4C2B" w14:textId="77777777" w:rsidTr="00C47B0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tcPr>
          <w:p w14:paraId="36AE6425" w14:textId="22F6D21E" w:rsidR="00A81B96" w:rsidRDefault="00A81B96" w:rsidP="00C47B00">
            <w:r w:rsidRPr="00A81B96">
              <w:t>BDP</w:t>
            </w:r>
          </w:p>
        </w:tc>
        <w:tc>
          <w:tcPr>
            <w:tcW w:w="4044" w:type="pct"/>
            <w:tcBorders>
              <w:left w:val="single" w:sz="4" w:space="0" w:color="BFBFBF" w:themeColor="background1" w:themeShade="BF"/>
              <w:right w:val="nil"/>
            </w:tcBorders>
            <w:vAlign w:val="top"/>
          </w:tcPr>
          <w:p w14:paraId="5B44BBFA" w14:textId="3CAD8811" w:rsidR="00A81B96" w:rsidRDefault="00A81B96" w:rsidP="00C47B00">
            <w:pPr>
              <w:cnfStyle w:val="000000010000" w:firstRow="0" w:lastRow="0" w:firstColumn="0" w:lastColumn="0" w:oddVBand="0" w:evenVBand="0" w:oddHBand="0" w:evenHBand="1" w:firstRowFirstColumn="0" w:firstRowLastColumn="0" w:lastRowFirstColumn="0" w:lastRowLastColumn="0"/>
            </w:pPr>
            <w:r w:rsidRPr="00A81B96">
              <w:t>Business Disruption Plan</w:t>
            </w:r>
          </w:p>
        </w:tc>
      </w:tr>
      <w:tr w:rsidR="005E28DC" w14:paraId="080D4D86"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3171BC49" w14:textId="77777777" w:rsidR="005E28DC" w:rsidRDefault="005E28DC">
            <w:r>
              <w:t>BSGC</w:t>
            </w:r>
          </w:p>
        </w:tc>
        <w:tc>
          <w:tcPr>
            <w:tcW w:w="4044" w:type="pct"/>
            <w:tcBorders>
              <w:left w:val="single" w:sz="4" w:space="0" w:color="BFBFBF" w:themeColor="background1" w:themeShade="BF"/>
              <w:right w:val="nil"/>
            </w:tcBorders>
            <w:vAlign w:val="top"/>
            <w:hideMark/>
          </w:tcPr>
          <w:p w14:paraId="73511130" w14:textId="77777777" w:rsidR="005E28DC" w:rsidRDefault="005E28DC">
            <w:pPr>
              <w:cnfStyle w:val="000000100000" w:firstRow="0" w:lastRow="0" w:firstColumn="0" w:lastColumn="0" w:oddVBand="0" w:evenVBand="0" w:oddHBand="1" w:evenHBand="0" w:firstRowFirstColumn="0" w:firstRowLastColumn="0" w:lastRowFirstColumn="0" w:lastRowLastColumn="0"/>
            </w:pPr>
            <w:r>
              <w:t>Business Support Guidelines for Construction</w:t>
            </w:r>
          </w:p>
        </w:tc>
      </w:tr>
      <w:tr w:rsidR="005E28DC" w14:paraId="15583D50"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0163B8EB" w14:textId="77777777" w:rsidR="005E28DC" w:rsidRDefault="005E28DC">
            <w:r>
              <w:t>CEMP</w:t>
            </w:r>
          </w:p>
        </w:tc>
        <w:tc>
          <w:tcPr>
            <w:tcW w:w="4044" w:type="pct"/>
            <w:tcBorders>
              <w:left w:val="single" w:sz="4" w:space="0" w:color="BFBFBF" w:themeColor="background1" w:themeShade="BF"/>
              <w:right w:val="nil"/>
            </w:tcBorders>
            <w:vAlign w:val="top"/>
            <w:hideMark/>
          </w:tcPr>
          <w:p w14:paraId="69B9BB6D" w14:textId="77777777" w:rsidR="005E28DC" w:rsidRDefault="005E28DC">
            <w:pPr>
              <w:cnfStyle w:val="000000010000" w:firstRow="0" w:lastRow="0" w:firstColumn="0" w:lastColumn="0" w:oddVBand="0" w:evenVBand="0" w:oddHBand="0" w:evenHBand="1" w:firstRowFirstColumn="0" w:firstRowLastColumn="0" w:lastRowFirstColumn="0" w:lastRowLastColumn="0"/>
            </w:pPr>
            <w:r>
              <w:t>Construction Environmental Management Plan</w:t>
            </w:r>
          </w:p>
        </w:tc>
      </w:tr>
      <w:tr w:rsidR="005E28DC" w14:paraId="25E3B0C0"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7534D68A" w14:textId="77777777" w:rsidR="005E28DC" w:rsidRDefault="005E28DC">
            <w:r>
              <w:t>CHMP</w:t>
            </w:r>
          </w:p>
        </w:tc>
        <w:tc>
          <w:tcPr>
            <w:tcW w:w="4044" w:type="pct"/>
            <w:tcBorders>
              <w:left w:val="single" w:sz="4" w:space="0" w:color="BFBFBF" w:themeColor="background1" w:themeShade="BF"/>
              <w:right w:val="nil"/>
            </w:tcBorders>
            <w:vAlign w:val="top"/>
            <w:hideMark/>
          </w:tcPr>
          <w:p w14:paraId="071759FB" w14:textId="77777777" w:rsidR="005E28DC" w:rsidRDefault="005E28DC">
            <w:pPr>
              <w:cnfStyle w:val="000000100000" w:firstRow="0" w:lastRow="0" w:firstColumn="0" w:lastColumn="0" w:oddVBand="0" w:evenVBand="0" w:oddHBand="1" w:evenHBand="0" w:firstRowFirstColumn="0" w:firstRowLastColumn="0" w:lastRowFirstColumn="0" w:lastRowLastColumn="0"/>
            </w:pPr>
            <w:r>
              <w:t>Cultural Heritage Management Plan</w:t>
            </w:r>
          </w:p>
        </w:tc>
      </w:tr>
      <w:tr w:rsidR="00C47B00" w14:paraId="12ED2D4D"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tcPr>
          <w:p w14:paraId="3C1B75C7" w14:textId="6A61E50F" w:rsidR="00C47B00" w:rsidRDefault="00C47B00">
            <w:r w:rsidRPr="00C47B00">
              <w:t>CNVMP</w:t>
            </w:r>
          </w:p>
        </w:tc>
        <w:tc>
          <w:tcPr>
            <w:tcW w:w="4044" w:type="pct"/>
            <w:tcBorders>
              <w:left w:val="single" w:sz="4" w:space="0" w:color="BFBFBF" w:themeColor="background1" w:themeShade="BF"/>
              <w:right w:val="nil"/>
            </w:tcBorders>
            <w:vAlign w:val="top"/>
          </w:tcPr>
          <w:p w14:paraId="048239B9" w14:textId="09A2E62C" w:rsidR="00C47B00" w:rsidRDefault="00C47B00">
            <w:pPr>
              <w:cnfStyle w:val="000000010000" w:firstRow="0" w:lastRow="0" w:firstColumn="0" w:lastColumn="0" w:oddVBand="0" w:evenVBand="0" w:oddHBand="0" w:evenHBand="1" w:firstRowFirstColumn="0" w:firstRowLastColumn="0" w:lastRowFirstColumn="0" w:lastRowLastColumn="0"/>
            </w:pPr>
            <w:r w:rsidRPr="00C47B00">
              <w:t>Construction Noise and Vibration Management Plan</w:t>
            </w:r>
          </w:p>
        </w:tc>
      </w:tr>
      <w:tr w:rsidR="005E28DC" w14:paraId="4B74DDE9"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2B0082EE" w14:textId="77777777" w:rsidR="005E28DC" w:rsidRDefault="005E28DC">
            <w:r>
              <w:t>CSEMF</w:t>
            </w:r>
          </w:p>
        </w:tc>
        <w:tc>
          <w:tcPr>
            <w:tcW w:w="4044" w:type="pct"/>
            <w:tcBorders>
              <w:left w:val="single" w:sz="4" w:space="0" w:color="BFBFBF" w:themeColor="background1" w:themeShade="BF"/>
              <w:right w:val="nil"/>
            </w:tcBorders>
            <w:vAlign w:val="top"/>
            <w:hideMark/>
          </w:tcPr>
          <w:p w14:paraId="4DAB9B62" w14:textId="77777777" w:rsidR="005E28DC" w:rsidRDefault="005E28DC">
            <w:pPr>
              <w:cnfStyle w:val="000000100000" w:firstRow="0" w:lastRow="0" w:firstColumn="0" w:lastColumn="0" w:oddVBand="0" w:evenVBand="0" w:oddHBand="1" w:evenHBand="0" w:firstRowFirstColumn="0" w:firstRowLastColumn="0" w:lastRowFirstColumn="0" w:lastRowLastColumn="0"/>
            </w:pPr>
            <w:r>
              <w:t>Community and Stakeholder Engagement Management Framework</w:t>
            </w:r>
          </w:p>
        </w:tc>
      </w:tr>
      <w:tr w:rsidR="005E28DC" w14:paraId="3A739C9C"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5D720F48" w14:textId="77777777" w:rsidR="005E28DC" w:rsidRDefault="005E28DC">
            <w:r>
              <w:t>CSEMP</w:t>
            </w:r>
          </w:p>
        </w:tc>
        <w:tc>
          <w:tcPr>
            <w:tcW w:w="4044" w:type="pct"/>
            <w:tcBorders>
              <w:left w:val="single" w:sz="4" w:space="0" w:color="BFBFBF" w:themeColor="background1" w:themeShade="BF"/>
              <w:right w:val="nil"/>
            </w:tcBorders>
            <w:vAlign w:val="top"/>
            <w:hideMark/>
          </w:tcPr>
          <w:p w14:paraId="7BC11C9D" w14:textId="77777777" w:rsidR="005E28DC" w:rsidRDefault="005E28DC">
            <w:pPr>
              <w:cnfStyle w:val="000000010000" w:firstRow="0" w:lastRow="0" w:firstColumn="0" w:lastColumn="0" w:oddVBand="0" w:evenVBand="0" w:oddHBand="0" w:evenHBand="1" w:firstRowFirstColumn="0" w:firstRowLastColumn="0" w:lastRowFirstColumn="0" w:lastRowLastColumn="0"/>
            </w:pPr>
            <w:r>
              <w:t>Community and Stakeholder Engagement Management Plan</w:t>
            </w:r>
          </w:p>
        </w:tc>
      </w:tr>
      <w:tr w:rsidR="005E28DC" w14:paraId="7FFE3072"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004BE3F8" w14:textId="77777777" w:rsidR="005E28DC" w:rsidRDefault="005E28DC">
            <w:r>
              <w:t>CYP</w:t>
            </w:r>
          </w:p>
        </w:tc>
        <w:tc>
          <w:tcPr>
            <w:tcW w:w="4044" w:type="pct"/>
            <w:tcBorders>
              <w:left w:val="single" w:sz="4" w:space="0" w:color="BFBFBF" w:themeColor="background1" w:themeShade="BF"/>
              <w:right w:val="nil"/>
            </w:tcBorders>
            <w:vAlign w:val="top"/>
            <w:hideMark/>
          </w:tcPr>
          <w:p w14:paraId="7A7545A8" w14:textId="77777777" w:rsidR="005E28DC" w:rsidRDefault="005E28DC">
            <w:pPr>
              <w:cnfStyle w:val="000000100000" w:firstRow="0" w:lastRow="0" w:firstColumn="0" w:lastColumn="0" w:oddVBand="0" w:evenVBand="0" w:oddHBand="1" w:evenHBand="0" w:firstRowFirstColumn="0" w:firstRowLastColumn="0" w:lastRowFirstColumn="0" w:lastRowLastColumn="0"/>
            </w:pPr>
            <w:r>
              <w:t>Cross Yarra Partnership</w:t>
            </w:r>
          </w:p>
        </w:tc>
      </w:tr>
      <w:tr w:rsidR="005E28DC" w14:paraId="5676623B" w14:textId="22C58322"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55957BBA" w14:textId="77777777" w:rsidR="005E28DC" w:rsidRDefault="005E28DC">
            <w:r>
              <w:t>DoT</w:t>
            </w:r>
          </w:p>
        </w:tc>
        <w:tc>
          <w:tcPr>
            <w:tcW w:w="4044" w:type="pct"/>
            <w:tcBorders>
              <w:left w:val="single" w:sz="4" w:space="0" w:color="BFBFBF" w:themeColor="background1" w:themeShade="BF"/>
              <w:right w:val="nil"/>
            </w:tcBorders>
            <w:vAlign w:val="top"/>
            <w:hideMark/>
          </w:tcPr>
          <w:p w14:paraId="62B86137" w14:textId="77777777" w:rsidR="005E28DC" w:rsidRDefault="005E28DC">
            <w:pPr>
              <w:cnfStyle w:val="000000010000" w:firstRow="0" w:lastRow="0" w:firstColumn="0" w:lastColumn="0" w:oddVBand="0" w:evenVBand="0" w:oddHBand="0" w:evenHBand="1" w:firstRowFirstColumn="0" w:firstRowLastColumn="0" w:lastRowFirstColumn="0" w:lastRowLastColumn="0"/>
            </w:pPr>
            <w:r>
              <w:t>Department of Transport</w:t>
            </w:r>
          </w:p>
        </w:tc>
      </w:tr>
      <w:tr w:rsidR="005E28DC" w14:paraId="08330800"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16A356D0" w14:textId="77777777" w:rsidR="005E28DC" w:rsidRDefault="005E28DC">
            <w:r>
              <w:t>EES</w:t>
            </w:r>
          </w:p>
        </w:tc>
        <w:tc>
          <w:tcPr>
            <w:tcW w:w="4044" w:type="pct"/>
            <w:tcBorders>
              <w:left w:val="single" w:sz="4" w:space="0" w:color="BFBFBF" w:themeColor="background1" w:themeShade="BF"/>
              <w:right w:val="nil"/>
            </w:tcBorders>
            <w:vAlign w:val="top"/>
            <w:hideMark/>
          </w:tcPr>
          <w:p w14:paraId="13463A30" w14:textId="77777777" w:rsidR="005E28DC" w:rsidRDefault="005E28DC">
            <w:pPr>
              <w:cnfStyle w:val="000000100000" w:firstRow="0" w:lastRow="0" w:firstColumn="0" w:lastColumn="0" w:oddVBand="0" w:evenVBand="0" w:oddHBand="1" w:evenHBand="0" w:firstRowFirstColumn="0" w:firstRowLastColumn="0" w:lastRowFirstColumn="0" w:lastRowLastColumn="0"/>
            </w:pPr>
            <w:r>
              <w:t>Environment Effects Statement</w:t>
            </w:r>
          </w:p>
        </w:tc>
      </w:tr>
      <w:tr w:rsidR="005E28DC" w14:paraId="3AE84C67"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28C6A332" w14:textId="77777777" w:rsidR="005E28DC" w:rsidRDefault="005E28DC">
            <w:r>
              <w:t>EMF</w:t>
            </w:r>
          </w:p>
        </w:tc>
        <w:tc>
          <w:tcPr>
            <w:tcW w:w="4044" w:type="pct"/>
            <w:tcBorders>
              <w:left w:val="single" w:sz="4" w:space="0" w:color="BFBFBF" w:themeColor="background1" w:themeShade="BF"/>
              <w:right w:val="nil"/>
            </w:tcBorders>
            <w:vAlign w:val="top"/>
            <w:hideMark/>
          </w:tcPr>
          <w:p w14:paraId="676F7BAB" w14:textId="77777777" w:rsidR="005E28DC" w:rsidRDefault="005E28DC">
            <w:pPr>
              <w:cnfStyle w:val="000000010000" w:firstRow="0" w:lastRow="0" w:firstColumn="0" w:lastColumn="0" w:oddVBand="0" w:evenVBand="0" w:oddHBand="0" w:evenHBand="1" w:firstRowFirstColumn="0" w:firstRowLastColumn="0" w:lastRowFirstColumn="0" w:lastRowLastColumn="0"/>
            </w:pPr>
            <w:r>
              <w:t>Environmental Management Framework</w:t>
            </w:r>
          </w:p>
        </w:tc>
      </w:tr>
      <w:tr w:rsidR="005E28DC" w14:paraId="3F786877"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7CC7D9DD" w14:textId="77777777" w:rsidR="005E28DC" w:rsidRDefault="005E28DC">
            <w:r>
              <w:t>EMS</w:t>
            </w:r>
          </w:p>
        </w:tc>
        <w:tc>
          <w:tcPr>
            <w:tcW w:w="4044" w:type="pct"/>
            <w:tcBorders>
              <w:left w:val="single" w:sz="4" w:space="0" w:color="BFBFBF" w:themeColor="background1" w:themeShade="BF"/>
              <w:right w:val="nil"/>
            </w:tcBorders>
            <w:vAlign w:val="top"/>
            <w:hideMark/>
          </w:tcPr>
          <w:p w14:paraId="19FDFA4F" w14:textId="77777777" w:rsidR="005E28DC" w:rsidRDefault="005E28DC">
            <w:pPr>
              <w:cnfStyle w:val="000000100000" w:firstRow="0" w:lastRow="0" w:firstColumn="0" w:lastColumn="0" w:oddVBand="0" w:evenVBand="0" w:oddHBand="1" w:evenHBand="0" w:firstRowFirstColumn="0" w:firstRowLastColumn="0" w:lastRowFirstColumn="0" w:lastRowLastColumn="0"/>
            </w:pPr>
            <w:r>
              <w:t>Environmental Management System</w:t>
            </w:r>
          </w:p>
        </w:tc>
      </w:tr>
      <w:tr w:rsidR="005E28DC" w14:paraId="4D8491BB"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094C66D0" w14:textId="77777777" w:rsidR="005E28DC" w:rsidRDefault="005E28DC">
            <w:r>
              <w:t>EPRs</w:t>
            </w:r>
          </w:p>
        </w:tc>
        <w:tc>
          <w:tcPr>
            <w:tcW w:w="4044" w:type="pct"/>
            <w:tcBorders>
              <w:left w:val="single" w:sz="4" w:space="0" w:color="BFBFBF" w:themeColor="background1" w:themeShade="BF"/>
              <w:right w:val="nil"/>
            </w:tcBorders>
            <w:vAlign w:val="top"/>
            <w:hideMark/>
          </w:tcPr>
          <w:p w14:paraId="5310FB46" w14:textId="77777777" w:rsidR="005E28DC" w:rsidRDefault="005E28DC">
            <w:pPr>
              <w:cnfStyle w:val="000000010000" w:firstRow="0" w:lastRow="0" w:firstColumn="0" w:lastColumn="0" w:oddVBand="0" w:evenVBand="0" w:oddHBand="0" w:evenHBand="1" w:firstRowFirstColumn="0" w:firstRowLastColumn="0" w:lastRowFirstColumn="0" w:lastRowLastColumn="0"/>
            </w:pPr>
            <w:r>
              <w:t>Environmental Performance Requirements</w:t>
            </w:r>
          </w:p>
        </w:tc>
      </w:tr>
      <w:tr w:rsidR="00D25F9A" w14:paraId="5B8F8C54"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tcPr>
          <w:p w14:paraId="01D3969B" w14:textId="178D8D0C" w:rsidR="00D25F9A" w:rsidRDefault="00D25F9A">
            <w:r w:rsidRPr="00D25F9A">
              <w:t>HMP</w:t>
            </w:r>
          </w:p>
        </w:tc>
        <w:tc>
          <w:tcPr>
            <w:tcW w:w="4044" w:type="pct"/>
            <w:tcBorders>
              <w:left w:val="single" w:sz="4" w:space="0" w:color="BFBFBF" w:themeColor="background1" w:themeShade="BF"/>
              <w:right w:val="nil"/>
            </w:tcBorders>
            <w:vAlign w:val="top"/>
          </w:tcPr>
          <w:p w14:paraId="2D456DBC" w14:textId="6D4CA82F" w:rsidR="00D25F9A" w:rsidRDefault="00D25F9A">
            <w:pPr>
              <w:cnfStyle w:val="000000100000" w:firstRow="0" w:lastRow="0" w:firstColumn="0" w:lastColumn="0" w:oddVBand="0" w:evenVBand="0" w:oddHBand="1" w:evenHBand="0" w:firstRowFirstColumn="0" w:firstRowLastColumn="0" w:lastRowFirstColumn="0" w:lastRowLastColumn="0"/>
            </w:pPr>
            <w:r w:rsidRPr="00D25F9A">
              <w:t>Heritage Management Plan</w:t>
            </w:r>
          </w:p>
        </w:tc>
      </w:tr>
      <w:tr w:rsidR="005E28DC" w14:paraId="2CFB16EA"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14D2274E" w14:textId="77777777" w:rsidR="005E28DC" w:rsidRDefault="005E28DC">
            <w:r>
              <w:t>HCMTs</w:t>
            </w:r>
          </w:p>
        </w:tc>
        <w:tc>
          <w:tcPr>
            <w:tcW w:w="4044" w:type="pct"/>
            <w:tcBorders>
              <w:left w:val="single" w:sz="4" w:space="0" w:color="BFBFBF" w:themeColor="background1" w:themeShade="BF"/>
              <w:right w:val="nil"/>
            </w:tcBorders>
            <w:vAlign w:val="top"/>
            <w:hideMark/>
          </w:tcPr>
          <w:p w14:paraId="5D3A9F38" w14:textId="77777777" w:rsidR="005E28DC" w:rsidRDefault="005E28DC">
            <w:pPr>
              <w:cnfStyle w:val="000000010000" w:firstRow="0" w:lastRow="0" w:firstColumn="0" w:lastColumn="0" w:oddVBand="0" w:evenVBand="0" w:oddHBand="0" w:evenHBand="1" w:firstRowFirstColumn="0" w:firstRowLastColumn="0" w:lastRowFirstColumn="0" w:lastRowLastColumn="0"/>
            </w:pPr>
            <w:r>
              <w:t>High Capacity Metro Trains</w:t>
            </w:r>
          </w:p>
        </w:tc>
      </w:tr>
      <w:tr w:rsidR="005E28DC" w14:paraId="3A30D452"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37AAD43E" w14:textId="77777777" w:rsidR="005E28DC" w:rsidRDefault="005E28DC">
            <w:r>
              <w:t>IEA</w:t>
            </w:r>
          </w:p>
        </w:tc>
        <w:tc>
          <w:tcPr>
            <w:tcW w:w="4044" w:type="pct"/>
            <w:tcBorders>
              <w:left w:val="single" w:sz="4" w:space="0" w:color="BFBFBF" w:themeColor="background1" w:themeShade="BF"/>
              <w:right w:val="nil"/>
            </w:tcBorders>
            <w:vAlign w:val="top"/>
            <w:hideMark/>
          </w:tcPr>
          <w:p w14:paraId="2F9D2212" w14:textId="77777777" w:rsidR="005E28DC" w:rsidRDefault="005E28DC">
            <w:pPr>
              <w:cnfStyle w:val="000000100000" w:firstRow="0" w:lastRow="0" w:firstColumn="0" w:lastColumn="0" w:oddVBand="0" w:evenVBand="0" w:oddHBand="1" w:evenHBand="0" w:firstRowFirstColumn="0" w:firstRowLastColumn="0" w:lastRowFirstColumn="0" w:lastRowLastColumn="0"/>
            </w:pPr>
            <w:r>
              <w:t>Independent Environmental Auditor</w:t>
            </w:r>
          </w:p>
        </w:tc>
      </w:tr>
      <w:tr w:rsidR="005E28DC" w14:paraId="003902A2"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7E4E2813" w14:textId="77777777" w:rsidR="005E28DC" w:rsidRDefault="005E28DC">
            <w:r>
              <w:t>ISO 14001:2015</w:t>
            </w:r>
          </w:p>
        </w:tc>
        <w:tc>
          <w:tcPr>
            <w:tcW w:w="4044" w:type="pct"/>
            <w:tcBorders>
              <w:left w:val="single" w:sz="4" w:space="0" w:color="BFBFBF" w:themeColor="background1" w:themeShade="BF"/>
              <w:right w:val="nil"/>
            </w:tcBorders>
            <w:vAlign w:val="top"/>
            <w:hideMark/>
          </w:tcPr>
          <w:p w14:paraId="17645C63" w14:textId="77777777" w:rsidR="005E28DC" w:rsidRDefault="005E28DC">
            <w:pPr>
              <w:cnfStyle w:val="000000010000" w:firstRow="0" w:lastRow="0" w:firstColumn="0" w:lastColumn="0" w:oddVBand="0" w:evenVBand="0" w:oddHBand="0" w:evenHBand="1" w:firstRowFirstColumn="0" w:firstRowLastColumn="0" w:lastRowFirstColumn="0" w:lastRowLastColumn="0"/>
            </w:pPr>
            <w:r>
              <w:t xml:space="preserve">AS/NZS ISO 14001:2015 </w:t>
            </w:r>
            <w:r>
              <w:rPr>
                <w:i/>
              </w:rPr>
              <w:t>Environmental management systems</w:t>
            </w:r>
            <w:r>
              <w:t xml:space="preserve"> </w:t>
            </w:r>
            <w:r>
              <w:rPr>
                <w:i/>
              </w:rPr>
              <w:t>— Requirements with guidance for use</w:t>
            </w:r>
          </w:p>
        </w:tc>
      </w:tr>
      <w:tr w:rsidR="005E28DC" w14:paraId="20041266"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48F11F10" w14:textId="77777777" w:rsidR="005E28DC" w:rsidRDefault="005E28DC">
            <w:r>
              <w:t>MMRA</w:t>
            </w:r>
          </w:p>
        </w:tc>
        <w:tc>
          <w:tcPr>
            <w:tcW w:w="4044" w:type="pct"/>
            <w:tcBorders>
              <w:left w:val="single" w:sz="4" w:space="0" w:color="BFBFBF" w:themeColor="background1" w:themeShade="BF"/>
              <w:right w:val="nil"/>
            </w:tcBorders>
            <w:vAlign w:val="top"/>
            <w:hideMark/>
          </w:tcPr>
          <w:p w14:paraId="65419528" w14:textId="77777777" w:rsidR="005E28DC" w:rsidRDefault="005E28DC">
            <w:pPr>
              <w:cnfStyle w:val="000000100000" w:firstRow="0" w:lastRow="0" w:firstColumn="0" w:lastColumn="0" w:oddVBand="0" w:evenVBand="0" w:oddHBand="1" w:evenHBand="0" w:firstRowFirstColumn="0" w:firstRowLastColumn="0" w:lastRowFirstColumn="0" w:lastRowLastColumn="0"/>
            </w:pPr>
            <w:r>
              <w:t>Melbourne Metro Rail Authority</w:t>
            </w:r>
          </w:p>
        </w:tc>
      </w:tr>
      <w:tr w:rsidR="005E28DC" w14:paraId="5BF0F62E"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574297FD" w14:textId="77777777" w:rsidR="005E28DC" w:rsidRDefault="005E28DC">
            <w:r>
              <w:t>MTIA</w:t>
            </w:r>
          </w:p>
        </w:tc>
        <w:tc>
          <w:tcPr>
            <w:tcW w:w="4044" w:type="pct"/>
            <w:tcBorders>
              <w:left w:val="single" w:sz="4" w:space="0" w:color="BFBFBF" w:themeColor="background1" w:themeShade="BF"/>
              <w:right w:val="nil"/>
            </w:tcBorders>
            <w:vAlign w:val="top"/>
            <w:hideMark/>
          </w:tcPr>
          <w:p w14:paraId="30CDA2F2" w14:textId="77777777" w:rsidR="005E28DC" w:rsidRDefault="005E28DC">
            <w:pPr>
              <w:cnfStyle w:val="000000010000" w:firstRow="0" w:lastRow="0" w:firstColumn="0" w:lastColumn="0" w:oddVBand="0" w:evenVBand="0" w:oddHBand="0" w:evenHBand="1" w:firstRowFirstColumn="0" w:firstRowLastColumn="0" w:lastRowFirstColumn="0" w:lastRowLastColumn="0"/>
            </w:pPr>
            <w:r>
              <w:t>Major Transport Infrastructure Authority</w:t>
            </w:r>
          </w:p>
        </w:tc>
      </w:tr>
      <w:tr w:rsidR="005E28DC" w14:paraId="5E41461C"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46211B80" w14:textId="51D0F7D0" w:rsidR="005E28DC" w:rsidRDefault="005E28DC">
            <w:r>
              <w:t>MTP</w:t>
            </w:r>
            <w:r w:rsidR="009F0CF3">
              <w:t xml:space="preserve"> or Project</w:t>
            </w:r>
          </w:p>
        </w:tc>
        <w:tc>
          <w:tcPr>
            <w:tcW w:w="4044" w:type="pct"/>
            <w:tcBorders>
              <w:left w:val="single" w:sz="4" w:space="0" w:color="BFBFBF" w:themeColor="background1" w:themeShade="BF"/>
              <w:right w:val="nil"/>
            </w:tcBorders>
            <w:vAlign w:val="top"/>
            <w:hideMark/>
          </w:tcPr>
          <w:p w14:paraId="7F28E0B4" w14:textId="77777777" w:rsidR="005E28DC" w:rsidRDefault="005E28DC">
            <w:pPr>
              <w:cnfStyle w:val="000000100000" w:firstRow="0" w:lastRow="0" w:firstColumn="0" w:lastColumn="0" w:oddVBand="0" w:evenVBand="0" w:oddHBand="1" w:evenHBand="0" w:firstRowFirstColumn="0" w:firstRowLastColumn="0" w:lastRowFirstColumn="0" w:lastRowLastColumn="0"/>
            </w:pPr>
            <w:r>
              <w:t>Metro Tunnel Project</w:t>
            </w:r>
          </w:p>
        </w:tc>
      </w:tr>
      <w:tr w:rsidR="005E28DC" w14:paraId="487FB0BD"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092B8F98" w14:textId="77777777" w:rsidR="005E28DC" w:rsidRDefault="005E28DC">
            <w:r>
              <w:t>OEMP</w:t>
            </w:r>
          </w:p>
        </w:tc>
        <w:tc>
          <w:tcPr>
            <w:tcW w:w="4044" w:type="pct"/>
            <w:tcBorders>
              <w:left w:val="single" w:sz="4" w:space="0" w:color="BFBFBF" w:themeColor="background1" w:themeShade="BF"/>
              <w:right w:val="nil"/>
            </w:tcBorders>
            <w:vAlign w:val="top"/>
            <w:hideMark/>
          </w:tcPr>
          <w:p w14:paraId="67307184" w14:textId="77777777" w:rsidR="005E28DC" w:rsidRDefault="005E28DC">
            <w:pPr>
              <w:cnfStyle w:val="000000010000" w:firstRow="0" w:lastRow="0" w:firstColumn="0" w:lastColumn="0" w:oddVBand="0" w:evenVBand="0" w:oddHBand="0" w:evenHBand="1" w:firstRowFirstColumn="0" w:firstRowLastColumn="0" w:lastRowFirstColumn="0" w:lastRowLastColumn="0"/>
            </w:pPr>
            <w:r>
              <w:t>Operational Environmental Management Plan</w:t>
            </w:r>
          </w:p>
        </w:tc>
      </w:tr>
      <w:tr w:rsidR="009F2F52" w14:paraId="3FB25B7D"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tcPr>
          <w:p w14:paraId="3779B2BB" w14:textId="4D6BB8A4" w:rsidR="009F2F52" w:rsidRDefault="009F2F52">
            <w:r>
              <w:t>PIO</w:t>
            </w:r>
          </w:p>
        </w:tc>
        <w:tc>
          <w:tcPr>
            <w:tcW w:w="4044" w:type="pct"/>
            <w:tcBorders>
              <w:left w:val="single" w:sz="4" w:space="0" w:color="BFBFBF" w:themeColor="background1" w:themeShade="BF"/>
              <w:right w:val="nil"/>
            </w:tcBorders>
            <w:vAlign w:val="top"/>
          </w:tcPr>
          <w:p w14:paraId="52CA8DE5" w14:textId="4BD98645" w:rsidR="009F2F52" w:rsidRDefault="009F2F52">
            <w:pPr>
              <w:cnfStyle w:val="000000100000" w:firstRow="0" w:lastRow="0" w:firstColumn="0" w:lastColumn="0" w:oddVBand="0" w:evenVBand="0" w:oddHBand="1" w:evenHBand="0" w:firstRowFirstColumn="0" w:firstRowLastColumn="0" w:lastRowFirstColumn="0" w:lastRowLastColumn="0"/>
            </w:pPr>
            <w:r w:rsidRPr="007B67F5">
              <w:t>Where in the course of the audit work, an opportunity has been identified to improve a process or procedure.</w:t>
            </w:r>
          </w:p>
        </w:tc>
      </w:tr>
      <w:tr w:rsidR="005E28DC" w14:paraId="11E56DF6"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231B8F06" w14:textId="77777777" w:rsidR="005E28DC" w:rsidRDefault="005E28DC">
            <w:r>
              <w:t>RIA</w:t>
            </w:r>
          </w:p>
        </w:tc>
        <w:tc>
          <w:tcPr>
            <w:tcW w:w="4044" w:type="pct"/>
            <w:tcBorders>
              <w:left w:val="single" w:sz="4" w:space="0" w:color="BFBFBF" w:themeColor="background1" w:themeShade="BF"/>
              <w:right w:val="nil"/>
            </w:tcBorders>
            <w:vAlign w:val="top"/>
            <w:hideMark/>
          </w:tcPr>
          <w:p w14:paraId="734AA694" w14:textId="77777777" w:rsidR="005E28DC" w:rsidRDefault="005E28DC">
            <w:pPr>
              <w:cnfStyle w:val="000000010000" w:firstRow="0" w:lastRow="0" w:firstColumn="0" w:lastColumn="0" w:oddVBand="0" w:evenVBand="0" w:oddHBand="0" w:evenHBand="1" w:firstRowFirstColumn="0" w:firstRowLastColumn="0" w:lastRowFirstColumn="0" w:lastRowLastColumn="0"/>
            </w:pPr>
            <w:r>
              <w:t>Rail Infrastructure Alliance</w:t>
            </w:r>
          </w:p>
        </w:tc>
      </w:tr>
      <w:tr w:rsidR="005E28DC" w14:paraId="5D2BD186"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29B822F4" w14:textId="77777777" w:rsidR="005E28DC" w:rsidRDefault="005E28DC">
            <w:r>
              <w:t>RIMG</w:t>
            </w:r>
          </w:p>
        </w:tc>
        <w:tc>
          <w:tcPr>
            <w:tcW w:w="4044" w:type="pct"/>
            <w:tcBorders>
              <w:left w:val="single" w:sz="4" w:space="0" w:color="BFBFBF" w:themeColor="background1" w:themeShade="BF"/>
              <w:right w:val="nil"/>
            </w:tcBorders>
            <w:vAlign w:val="top"/>
            <w:hideMark/>
          </w:tcPr>
          <w:p w14:paraId="1821A10B" w14:textId="77777777" w:rsidR="005E28DC" w:rsidRDefault="005E28DC">
            <w:pPr>
              <w:cnfStyle w:val="000000100000" w:firstRow="0" w:lastRow="0" w:firstColumn="0" w:lastColumn="0" w:oddVBand="0" w:evenVBand="0" w:oddHBand="1" w:evenHBand="0" w:firstRowFirstColumn="0" w:firstRowLastColumn="0" w:lastRowFirstColumn="0" w:lastRowLastColumn="0"/>
            </w:pPr>
            <w:r>
              <w:t>Residential Impact Mitigation Guidelines</w:t>
            </w:r>
          </w:p>
        </w:tc>
      </w:tr>
      <w:tr w:rsidR="005E28DC" w14:paraId="7FA546A7"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7511FA29" w14:textId="77777777" w:rsidR="005E28DC" w:rsidRDefault="005E28DC">
            <w:r>
              <w:t>RPV</w:t>
            </w:r>
          </w:p>
        </w:tc>
        <w:tc>
          <w:tcPr>
            <w:tcW w:w="4044" w:type="pct"/>
            <w:tcBorders>
              <w:left w:val="single" w:sz="4" w:space="0" w:color="BFBFBF" w:themeColor="background1" w:themeShade="BF"/>
              <w:right w:val="nil"/>
            </w:tcBorders>
            <w:vAlign w:val="top"/>
            <w:hideMark/>
          </w:tcPr>
          <w:p w14:paraId="4DB6FA18" w14:textId="77777777" w:rsidR="005E28DC" w:rsidRDefault="005E28DC">
            <w:pPr>
              <w:cnfStyle w:val="000000010000" w:firstRow="0" w:lastRow="0" w:firstColumn="0" w:lastColumn="0" w:oddVBand="0" w:evenVBand="0" w:oddHBand="0" w:evenHBand="1" w:firstRowFirstColumn="0" w:firstRowLastColumn="0" w:lastRowFirstColumn="0" w:lastRowLastColumn="0"/>
            </w:pPr>
            <w:r>
              <w:t>Rail Projects Victoria</w:t>
            </w:r>
          </w:p>
        </w:tc>
      </w:tr>
      <w:tr w:rsidR="005E28DC" w14:paraId="0432CFD1"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02947001" w14:textId="77777777" w:rsidR="005E28DC" w:rsidRDefault="005E28DC">
            <w:r>
              <w:t>RSA</w:t>
            </w:r>
          </w:p>
        </w:tc>
        <w:tc>
          <w:tcPr>
            <w:tcW w:w="4044" w:type="pct"/>
            <w:tcBorders>
              <w:left w:val="single" w:sz="4" w:space="0" w:color="BFBFBF" w:themeColor="background1" w:themeShade="BF"/>
              <w:right w:val="nil"/>
            </w:tcBorders>
            <w:vAlign w:val="top"/>
            <w:hideMark/>
          </w:tcPr>
          <w:p w14:paraId="1399893E" w14:textId="77777777" w:rsidR="005E28DC" w:rsidRDefault="005E28DC">
            <w:pPr>
              <w:cnfStyle w:val="000000100000" w:firstRow="0" w:lastRow="0" w:firstColumn="0" w:lastColumn="0" w:oddVBand="0" w:evenVBand="0" w:oddHBand="1" w:evenHBand="0" w:firstRowFirstColumn="0" w:firstRowLastColumn="0" w:lastRowFirstColumn="0" w:lastRowLastColumn="0"/>
            </w:pPr>
            <w:r>
              <w:t>Rail Systems Alliance</w:t>
            </w:r>
          </w:p>
        </w:tc>
      </w:tr>
      <w:tr w:rsidR="005E28DC" w14:paraId="3EED99B5"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2C5B4990" w14:textId="21604015" w:rsidR="005E28DC" w:rsidRDefault="005E28DC">
            <w:r>
              <w:t>SEIP</w:t>
            </w:r>
          </w:p>
        </w:tc>
        <w:tc>
          <w:tcPr>
            <w:tcW w:w="4044" w:type="pct"/>
            <w:tcBorders>
              <w:left w:val="single" w:sz="4" w:space="0" w:color="BFBFBF" w:themeColor="background1" w:themeShade="BF"/>
              <w:right w:val="nil"/>
            </w:tcBorders>
            <w:vAlign w:val="top"/>
            <w:hideMark/>
          </w:tcPr>
          <w:p w14:paraId="4521DB79" w14:textId="04872BFE" w:rsidR="005E28DC" w:rsidRDefault="005E28DC">
            <w:pPr>
              <w:cnfStyle w:val="000000010000" w:firstRow="0" w:lastRow="0" w:firstColumn="0" w:lastColumn="0" w:oddVBand="0" w:evenVBand="0" w:oddHBand="0" w:evenHBand="1" w:firstRowFirstColumn="0" w:firstRowLastColumn="0" w:lastRowFirstColumn="0" w:lastRowLastColumn="0"/>
            </w:pPr>
            <w:r>
              <w:t>Site Environmental Implementation Plan</w:t>
            </w:r>
          </w:p>
        </w:tc>
      </w:tr>
      <w:tr w:rsidR="00031456" w14:paraId="597EA6AA"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tcPr>
          <w:p w14:paraId="5B3E4C34" w14:textId="79E876A2" w:rsidR="00031456" w:rsidRDefault="00031456">
            <w:r>
              <w:t>SEP</w:t>
            </w:r>
          </w:p>
        </w:tc>
        <w:tc>
          <w:tcPr>
            <w:tcW w:w="4044" w:type="pct"/>
            <w:tcBorders>
              <w:left w:val="single" w:sz="4" w:space="0" w:color="BFBFBF" w:themeColor="background1" w:themeShade="BF"/>
              <w:right w:val="nil"/>
            </w:tcBorders>
            <w:vAlign w:val="top"/>
          </w:tcPr>
          <w:p w14:paraId="7FFE4A8B" w14:textId="2241A90B" w:rsidR="00031456" w:rsidRDefault="00031456">
            <w:pPr>
              <w:cnfStyle w:val="000000100000" w:firstRow="0" w:lastRow="0" w:firstColumn="0" w:lastColumn="0" w:oddVBand="0" w:evenVBand="0" w:oddHBand="1" w:evenHBand="0" w:firstRowFirstColumn="0" w:firstRowLastColumn="0" w:lastRowFirstColumn="0" w:lastRowLastColumn="0"/>
            </w:pPr>
            <w:r w:rsidRPr="00031456">
              <w:t>Site Environmental Plan</w:t>
            </w:r>
          </w:p>
        </w:tc>
      </w:tr>
      <w:tr w:rsidR="00031456" w14:paraId="35230901"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tcPr>
          <w:p w14:paraId="306EC495" w14:textId="170F8913" w:rsidR="00031456" w:rsidRDefault="00031456">
            <w:r w:rsidRPr="00031456">
              <w:lastRenderedPageBreak/>
              <w:t>SEPP</w:t>
            </w:r>
          </w:p>
        </w:tc>
        <w:tc>
          <w:tcPr>
            <w:tcW w:w="4044" w:type="pct"/>
            <w:tcBorders>
              <w:left w:val="single" w:sz="4" w:space="0" w:color="BFBFBF" w:themeColor="background1" w:themeShade="BF"/>
              <w:right w:val="nil"/>
            </w:tcBorders>
            <w:vAlign w:val="top"/>
          </w:tcPr>
          <w:p w14:paraId="24784606" w14:textId="2DBA70BF" w:rsidR="00031456" w:rsidRDefault="00031456">
            <w:pPr>
              <w:cnfStyle w:val="000000010000" w:firstRow="0" w:lastRow="0" w:firstColumn="0" w:lastColumn="0" w:oddVBand="0" w:evenVBand="0" w:oddHBand="0" w:evenHBand="1" w:firstRowFirstColumn="0" w:firstRowLastColumn="0" w:lastRowFirstColumn="0" w:lastRowLastColumn="0"/>
            </w:pPr>
            <w:r w:rsidRPr="00031456">
              <w:t>State Environmental Protection Policy</w:t>
            </w:r>
          </w:p>
        </w:tc>
      </w:tr>
      <w:tr w:rsidR="00454EA2" w14:paraId="74E1E36C"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tcPr>
          <w:p w14:paraId="2CCDC43A" w14:textId="27090ACF" w:rsidR="00454EA2" w:rsidRDefault="00454EA2">
            <w:r>
              <w:t xml:space="preserve">SWMP </w:t>
            </w:r>
          </w:p>
        </w:tc>
        <w:tc>
          <w:tcPr>
            <w:tcW w:w="4044" w:type="pct"/>
            <w:tcBorders>
              <w:left w:val="single" w:sz="4" w:space="0" w:color="BFBFBF" w:themeColor="background1" w:themeShade="BF"/>
              <w:right w:val="nil"/>
            </w:tcBorders>
            <w:vAlign w:val="top"/>
          </w:tcPr>
          <w:p w14:paraId="6CEDABBA" w14:textId="70E93880" w:rsidR="00454EA2" w:rsidRDefault="00454EA2">
            <w:pPr>
              <w:cnfStyle w:val="000000100000" w:firstRow="0" w:lastRow="0" w:firstColumn="0" w:lastColumn="0" w:oddVBand="0" w:evenVBand="0" w:oddHBand="1" w:evenHBand="0" w:firstRowFirstColumn="0" w:firstRowLastColumn="0" w:lastRowFirstColumn="0" w:lastRowLastColumn="0"/>
            </w:pPr>
            <w:r>
              <w:t xml:space="preserve">Surface Water Management Plan </w:t>
            </w:r>
          </w:p>
        </w:tc>
      </w:tr>
      <w:tr w:rsidR="00757939" w14:paraId="7DB21929"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tcPr>
          <w:p w14:paraId="66D69B0E" w14:textId="3921174C" w:rsidR="00757939" w:rsidRDefault="00757939">
            <w:r w:rsidRPr="00C518D6">
              <w:rPr>
                <w:szCs w:val="20"/>
              </w:rPr>
              <w:t>TPZ</w:t>
            </w:r>
          </w:p>
        </w:tc>
        <w:tc>
          <w:tcPr>
            <w:tcW w:w="4044" w:type="pct"/>
            <w:tcBorders>
              <w:left w:val="single" w:sz="4" w:space="0" w:color="BFBFBF" w:themeColor="background1" w:themeShade="BF"/>
              <w:right w:val="nil"/>
            </w:tcBorders>
            <w:vAlign w:val="top"/>
          </w:tcPr>
          <w:p w14:paraId="520750C3" w14:textId="49AD52EE" w:rsidR="00757939" w:rsidRDefault="00757939">
            <w:pPr>
              <w:cnfStyle w:val="000000010000" w:firstRow="0" w:lastRow="0" w:firstColumn="0" w:lastColumn="0" w:oddVBand="0" w:evenVBand="0" w:oddHBand="0" w:evenHBand="1" w:firstRowFirstColumn="0" w:firstRowLastColumn="0" w:lastRowFirstColumn="0" w:lastRowLastColumn="0"/>
            </w:pPr>
            <w:r w:rsidRPr="00C518D6">
              <w:rPr>
                <w:szCs w:val="20"/>
              </w:rPr>
              <w:t>Tree Protection Zone</w:t>
            </w:r>
          </w:p>
        </w:tc>
      </w:tr>
      <w:tr w:rsidR="00A81B96" w14:paraId="342F7D94"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tcPr>
          <w:p w14:paraId="678C82ED" w14:textId="49894579" w:rsidR="00A81B96" w:rsidRDefault="00A81B96">
            <w:r w:rsidRPr="00A81B96">
              <w:t>TMP</w:t>
            </w:r>
          </w:p>
        </w:tc>
        <w:tc>
          <w:tcPr>
            <w:tcW w:w="4044" w:type="pct"/>
            <w:tcBorders>
              <w:left w:val="single" w:sz="4" w:space="0" w:color="BFBFBF" w:themeColor="background1" w:themeShade="BF"/>
              <w:right w:val="nil"/>
            </w:tcBorders>
            <w:vAlign w:val="top"/>
          </w:tcPr>
          <w:p w14:paraId="1487AE1E" w14:textId="7F55411E" w:rsidR="00A81B96" w:rsidRDefault="00A81B96">
            <w:pPr>
              <w:cnfStyle w:val="000000100000" w:firstRow="0" w:lastRow="0" w:firstColumn="0" w:lastColumn="0" w:oddVBand="0" w:evenVBand="0" w:oddHBand="1" w:evenHBand="0" w:firstRowFirstColumn="0" w:firstRowLastColumn="0" w:lastRowFirstColumn="0" w:lastRowLastColumn="0"/>
            </w:pPr>
            <w:r>
              <w:t>Traffic</w:t>
            </w:r>
            <w:r w:rsidRPr="00A81B96">
              <w:t xml:space="preserve"> Management Plan</w:t>
            </w:r>
          </w:p>
        </w:tc>
      </w:tr>
      <w:tr w:rsidR="005E28DC" w14:paraId="2BB6A9F0"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3C2E8C0C" w14:textId="3B65FFC8" w:rsidR="005E28DC" w:rsidRDefault="005E28DC">
            <w:r>
              <w:t>UD</w:t>
            </w:r>
            <w:r w:rsidR="00F2793B">
              <w:t>MP</w:t>
            </w:r>
          </w:p>
        </w:tc>
        <w:tc>
          <w:tcPr>
            <w:tcW w:w="4044" w:type="pct"/>
            <w:tcBorders>
              <w:left w:val="single" w:sz="4" w:space="0" w:color="BFBFBF" w:themeColor="background1" w:themeShade="BF"/>
              <w:right w:val="nil"/>
            </w:tcBorders>
            <w:vAlign w:val="top"/>
            <w:hideMark/>
          </w:tcPr>
          <w:p w14:paraId="60BF7349" w14:textId="53126755" w:rsidR="005E28DC" w:rsidRDefault="005E28DC">
            <w:pPr>
              <w:cnfStyle w:val="000000010000" w:firstRow="0" w:lastRow="0" w:firstColumn="0" w:lastColumn="0" w:oddVBand="0" w:evenVBand="0" w:oddHBand="0" w:evenHBand="1" w:firstRowFirstColumn="0" w:firstRowLastColumn="0" w:lastRowFirstColumn="0" w:lastRowLastColumn="0"/>
            </w:pPr>
            <w:r>
              <w:t xml:space="preserve">Urban Design </w:t>
            </w:r>
            <w:r w:rsidR="00F2793B">
              <w:t>Management Plan</w:t>
            </w:r>
          </w:p>
        </w:tc>
      </w:tr>
      <w:tr w:rsidR="00C8320A" w14:paraId="5D686D7C"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tcPr>
          <w:p w14:paraId="3676376D" w14:textId="5E6E5A0D" w:rsidR="00C8320A" w:rsidRDefault="00C8320A">
            <w:r>
              <w:t>UDS</w:t>
            </w:r>
          </w:p>
        </w:tc>
        <w:tc>
          <w:tcPr>
            <w:tcW w:w="4044" w:type="pct"/>
            <w:tcBorders>
              <w:left w:val="single" w:sz="4" w:space="0" w:color="BFBFBF" w:themeColor="background1" w:themeShade="BF"/>
              <w:right w:val="nil"/>
            </w:tcBorders>
            <w:vAlign w:val="top"/>
          </w:tcPr>
          <w:p w14:paraId="7039330D" w14:textId="1F061227" w:rsidR="00C8320A" w:rsidRDefault="00C8320A">
            <w:pPr>
              <w:cnfStyle w:val="000000100000" w:firstRow="0" w:lastRow="0" w:firstColumn="0" w:lastColumn="0" w:oddVBand="0" w:evenVBand="0" w:oddHBand="1" w:evenHBand="0" w:firstRowFirstColumn="0" w:firstRowLastColumn="0" w:lastRowFirstColumn="0" w:lastRowLastColumn="0"/>
            </w:pPr>
            <w:r>
              <w:t>Urban Design Strategy</w:t>
            </w:r>
          </w:p>
        </w:tc>
      </w:tr>
      <w:tr w:rsidR="005E28DC" w14:paraId="2AE8B4E8"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19A21DAD" w14:textId="77777777" w:rsidR="005E28DC" w:rsidRDefault="005E28DC">
            <w:r>
              <w:t>VAGO</w:t>
            </w:r>
          </w:p>
        </w:tc>
        <w:tc>
          <w:tcPr>
            <w:tcW w:w="4044" w:type="pct"/>
            <w:tcBorders>
              <w:left w:val="single" w:sz="4" w:space="0" w:color="BFBFBF" w:themeColor="background1" w:themeShade="BF"/>
              <w:right w:val="nil"/>
            </w:tcBorders>
            <w:vAlign w:val="top"/>
            <w:hideMark/>
          </w:tcPr>
          <w:p w14:paraId="7B59463E" w14:textId="77777777" w:rsidR="005E28DC" w:rsidRDefault="005E28DC">
            <w:pPr>
              <w:cnfStyle w:val="000000010000" w:firstRow="0" w:lastRow="0" w:firstColumn="0" w:lastColumn="0" w:oddVBand="0" w:evenVBand="0" w:oddHBand="0" w:evenHBand="1" w:firstRowFirstColumn="0" w:firstRowLastColumn="0" w:lastRowFirstColumn="0" w:lastRowLastColumn="0"/>
            </w:pPr>
            <w:r>
              <w:t>Victorian Auditor-General’s Office</w:t>
            </w:r>
          </w:p>
        </w:tc>
      </w:tr>
      <w:tr w:rsidR="005E28DC" w14:paraId="4E242CE4"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3C70EFD7" w14:textId="0C67036A" w:rsidR="005E28DC" w:rsidRDefault="005E28DC">
            <w:r>
              <w:t xml:space="preserve">VAGO Early Works </w:t>
            </w:r>
            <w:r w:rsidR="009F0CF3">
              <w:t xml:space="preserve">Audit </w:t>
            </w:r>
            <w:r>
              <w:t>Report</w:t>
            </w:r>
          </w:p>
        </w:tc>
        <w:tc>
          <w:tcPr>
            <w:tcW w:w="4044" w:type="pct"/>
            <w:tcBorders>
              <w:left w:val="single" w:sz="4" w:space="0" w:color="BFBFBF" w:themeColor="background1" w:themeShade="BF"/>
              <w:right w:val="nil"/>
            </w:tcBorders>
            <w:vAlign w:val="top"/>
            <w:hideMark/>
          </w:tcPr>
          <w:p w14:paraId="53ADD07D" w14:textId="77777777" w:rsidR="005E28DC" w:rsidRDefault="005E28DC">
            <w:pPr>
              <w:cnfStyle w:val="000000100000" w:firstRow="0" w:lastRow="0" w:firstColumn="0" w:lastColumn="0" w:oddVBand="0" w:evenVBand="0" w:oddHBand="1" w:evenHBand="0" w:firstRowFirstColumn="0" w:firstRowLastColumn="0" w:lastRowFirstColumn="0" w:lastRowLastColumn="0"/>
            </w:pPr>
            <w:r>
              <w:t xml:space="preserve">Victorian Auditor-General’s Office (6 June 2019) </w:t>
            </w:r>
            <w:r>
              <w:rPr>
                <w:i/>
              </w:rPr>
              <w:t>Melbourne Metro Tunnel Project – Phase 1: Early Works</w:t>
            </w:r>
            <w:r>
              <w:t xml:space="preserve"> </w:t>
            </w:r>
          </w:p>
        </w:tc>
      </w:tr>
      <w:tr w:rsidR="005E28DC" w14:paraId="1E23EA89"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5CDB0CBB" w14:textId="77777777" w:rsidR="005E28DC" w:rsidRDefault="005E28DC">
            <w:r>
              <w:t>WMS</w:t>
            </w:r>
          </w:p>
        </w:tc>
        <w:tc>
          <w:tcPr>
            <w:tcW w:w="4044" w:type="pct"/>
            <w:tcBorders>
              <w:left w:val="single" w:sz="4" w:space="0" w:color="BFBFBF" w:themeColor="background1" w:themeShade="BF"/>
              <w:right w:val="nil"/>
            </w:tcBorders>
            <w:vAlign w:val="top"/>
            <w:hideMark/>
          </w:tcPr>
          <w:p w14:paraId="5A843CF8" w14:textId="77777777" w:rsidR="005E28DC" w:rsidRDefault="005E28DC">
            <w:pPr>
              <w:cnfStyle w:val="000000010000" w:firstRow="0" w:lastRow="0" w:firstColumn="0" w:lastColumn="0" w:oddVBand="0" w:evenVBand="0" w:oddHBand="0" w:evenHBand="1" w:firstRowFirstColumn="0" w:firstRowLastColumn="0" w:lastRowFirstColumn="0" w:lastRowLastColumn="0"/>
            </w:pPr>
            <w:r>
              <w:t>Work Method Statement</w:t>
            </w:r>
          </w:p>
        </w:tc>
      </w:tr>
      <w:tr w:rsidR="00374720" w14:paraId="2E941997"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tcPr>
          <w:p w14:paraId="1F1FAA62" w14:textId="6F39541D" w:rsidR="00374720" w:rsidRDefault="00374720">
            <w:r w:rsidRPr="00374720">
              <w:t>WSUD</w:t>
            </w:r>
          </w:p>
        </w:tc>
        <w:tc>
          <w:tcPr>
            <w:tcW w:w="4044" w:type="pct"/>
            <w:tcBorders>
              <w:left w:val="single" w:sz="4" w:space="0" w:color="BFBFBF" w:themeColor="background1" w:themeShade="BF"/>
              <w:right w:val="nil"/>
            </w:tcBorders>
            <w:vAlign w:val="top"/>
          </w:tcPr>
          <w:p w14:paraId="1CD83C75" w14:textId="3AE1DF3A" w:rsidR="00374720" w:rsidRDefault="00AB7856">
            <w:pPr>
              <w:cnfStyle w:val="000000100000" w:firstRow="0" w:lastRow="0" w:firstColumn="0" w:lastColumn="0" w:oddVBand="0" w:evenVBand="0" w:oddHBand="1" w:evenHBand="0" w:firstRowFirstColumn="0" w:firstRowLastColumn="0" w:lastRowFirstColumn="0" w:lastRowLastColumn="0"/>
            </w:pPr>
            <w:r>
              <w:t>Water Sensitive Urban Design</w:t>
            </w:r>
          </w:p>
        </w:tc>
      </w:tr>
    </w:tbl>
    <w:p w14:paraId="5BA15A18" w14:textId="77777777" w:rsidR="005C4D24" w:rsidRDefault="005C4D24">
      <w:pPr>
        <w:sectPr w:rsidR="005C4D24" w:rsidSect="00E7098A">
          <w:headerReference w:type="even" r:id="rId23"/>
          <w:headerReference w:type="default" r:id="rId24"/>
          <w:footerReference w:type="default" r:id="rId25"/>
          <w:headerReference w:type="first" r:id="rId26"/>
          <w:footerReference w:type="first" r:id="rId27"/>
          <w:pgSz w:w="11907" w:h="16839" w:code="9"/>
          <w:pgMar w:top="1701" w:right="708" w:bottom="1021" w:left="1134" w:header="567" w:footer="0" w:gutter="0"/>
          <w:pgNumType w:fmt="lowerRoman" w:start="1"/>
          <w:cols w:space="340"/>
          <w:docGrid w:linePitch="360"/>
        </w:sectPr>
      </w:pPr>
    </w:p>
    <w:p w14:paraId="131AE82B" w14:textId="0B68218E" w:rsidR="000E5C1D" w:rsidRDefault="00F35DD4" w:rsidP="000E5C1D">
      <w:pPr>
        <w:pStyle w:val="Heading1"/>
        <w:ind w:right="1275"/>
      </w:pPr>
      <w:bookmarkStart w:id="4" w:name="_Toc96586767"/>
      <w:r>
        <w:lastRenderedPageBreak/>
        <w:t>Executive Summary</w:t>
      </w:r>
      <w:bookmarkEnd w:id="3"/>
      <w:bookmarkEnd w:id="4"/>
    </w:p>
    <w:p w14:paraId="159FEC80" w14:textId="66E66D50" w:rsidR="005437CE" w:rsidRDefault="003A35F3" w:rsidP="0074674A">
      <w:pPr>
        <w:pStyle w:val="BodyText"/>
      </w:pPr>
      <w:bookmarkStart w:id="5" w:name="_Hlk62197435"/>
      <w:r>
        <w:t>T</w:t>
      </w:r>
      <w:r w:rsidR="00F853CC">
        <w:t xml:space="preserve">he Metro Tunnel Project (MTP) is </w:t>
      </w:r>
      <w:r w:rsidR="00ED2C03">
        <w:t>currently under construction</w:t>
      </w:r>
      <w:r>
        <w:t xml:space="preserve"> and </w:t>
      </w:r>
      <w:r w:rsidR="00ED2C03" w:rsidRPr="0074674A">
        <w:t>will create a new end-to-end rail line from Sunbury in the west to Cranbourne/Pakenham in the south-east, with high capacity trains and five new underground stations.</w:t>
      </w:r>
      <w:r w:rsidR="00ED2C03">
        <w:t xml:space="preserve"> The first works package, the MTP Early Works, which included relocation of services and site preparation works prior to</w:t>
      </w:r>
      <w:r w:rsidR="00AB7856">
        <w:t xml:space="preserve"> major construction</w:t>
      </w:r>
      <w:r w:rsidR="00ED2C03">
        <w:t xml:space="preserve"> </w:t>
      </w:r>
      <w:r w:rsidR="00AB7856">
        <w:t>(</w:t>
      </w:r>
      <w:r w:rsidR="00ED2C03">
        <w:t>Main Works</w:t>
      </w:r>
      <w:r w:rsidR="00AB7856">
        <w:t>)</w:t>
      </w:r>
      <w:r w:rsidR="00ED2C03">
        <w:t xml:space="preserve"> commencing</w:t>
      </w:r>
      <w:r w:rsidR="00FF2CA6">
        <w:t>,</w:t>
      </w:r>
      <w:r w:rsidR="00ED2C03">
        <w:t xml:space="preserve"> has been completed.  </w:t>
      </w:r>
    </w:p>
    <w:p w14:paraId="6D1C0761" w14:textId="71F54068" w:rsidR="00F853CC" w:rsidRDefault="00F853CC" w:rsidP="00F853CC">
      <w:pPr>
        <w:pStyle w:val="BodyText"/>
      </w:pPr>
      <w:r>
        <w:t>The Victorian Auditor-General’s Office</w:t>
      </w:r>
      <w:r w:rsidR="00F2793B">
        <w:t xml:space="preserve"> (VAGO)</w:t>
      </w:r>
      <w:r>
        <w:t xml:space="preserve"> undertook an audit of the Early Works Package and published its report </w:t>
      </w:r>
      <w:r>
        <w:rPr>
          <w:i/>
        </w:rPr>
        <w:t>Melbourne Metro Tunnel Project – Phase 1: Early Works</w:t>
      </w:r>
      <w:r>
        <w:t xml:space="preserve"> on 6 June 2019 (VAGO Early Works </w:t>
      </w:r>
      <w:r w:rsidR="005437CE">
        <w:t xml:space="preserve">Audit </w:t>
      </w:r>
      <w:r>
        <w:t xml:space="preserve">Report). </w:t>
      </w:r>
      <w:r w:rsidR="005437CE">
        <w:t>A key recommendation of the VAGO Early Works Audit Report, r</w:t>
      </w:r>
      <w:r>
        <w:t xml:space="preserve">egarding its assessment of environmental strategies and risk mitigation, </w:t>
      </w:r>
      <w:r w:rsidR="005437CE">
        <w:t xml:space="preserve">was to develop summaries of the Project’s </w:t>
      </w:r>
      <w:r>
        <w:t>Independent Environmental Auditor</w:t>
      </w:r>
      <w:r w:rsidR="005437CE">
        <w:t xml:space="preserve"> (IEA)</w:t>
      </w:r>
      <w:r>
        <w:t xml:space="preserve"> reports</w:t>
      </w:r>
      <w:r w:rsidR="005437CE">
        <w:t xml:space="preserve"> and publish</w:t>
      </w:r>
      <w:r w:rsidR="009F0CF3">
        <w:t xml:space="preserve"> such summaries</w:t>
      </w:r>
      <w:r w:rsidR="005437CE">
        <w:t xml:space="preserve"> on the </w:t>
      </w:r>
      <w:r>
        <w:t>MTP official website.</w:t>
      </w:r>
      <w:r w:rsidR="00ED2C03">
        <w:t xml:space="preserve"> </w:t>
      </w:r>
      <w:bookmarkStart w:id="6" w:name="_Hlk62197806"/>
      <w:r w:rsidR="00180A83">
        <w:t xml:space="preserve">The Project’s Environmental Management Framework (EMF) requires an </w:t>
      </w:r>
      <w:r w:rsidR="00F42317">
        <w:t xml:space="preserve">IEA </w:t>
      </w:r>
      <w:r w:rsidR="00180A83">
        <w:t xml:space="preserve">to undertake environmental audits of compliance with the EMF.  </w:t>
      </w:r>
      <w:bookmarkEnd w:id="6"/>
    </w:p>
    <w:p w14:paraId="1F2E09F9" w14:textId="0E6026D5" w:rsidR="00F853CC" w:rsidRDefault="005437CE" w:rsidP="00F853CC">
      <w:pPr>
        <w:pStyle w:val="BodyText"/>
      </w:pPr>
      <w:r>
        <w:t>This report has been developed to meet the above recommendation of the VAGO Early Works</w:t>
      </w:r>
      <w:r w:rsidR="009F0CF3">
        <w:t xml:space="preserve"> Audit</w:t>
      </w:r>
      <w:r>
        <w:t xml:space="preserve"> Report and provide the wider public with information of the </w:t>
      </w:r>
      <w:r w:rsidR="009F0CF3">
        <w:t>P</w:t>
      </w:r>
      <w:r>
        <w:t xml:space="preserve">roject’s environmental performance during the Main Works. </w:t>
      </w:r>
      <w:r w:rsidR="00AB7856">
        <w:t>This report covers alliance package works during the period from commencement of Main Works until the end of 2019. While there are two work packages being delivered as alliances on the MTP, the Rail Infrastructure and Rail Systems Packages, as the Rail Systems works relevant to the EMF had not progressed by the end of 2019</w:t>
      </w:r>
      <w:r w:rsidR="0011509A">
        <w:t xml:space="preserve">. </w:t>
      </w:r>
      <w:r w:rsidR="00AB7856">
        <w:t xml:space="preserve"> </w:t>
      </w:r>
      <w:r w:rsidR="0011509A">
        <w:t>A</w:t>
      </w:r>
      <w:r w:rsidR="00AB7856">
        <w:t>udits were only conducted for the Rail Infrastructure Package during the period relevant to this report.</w:t>
      </w:r>
      <w:r>
        <w:t xml:space="preserve"> </w:t>
      </w:r>
      <w:r w:rsidR="00F853CC">
        <w:t>The auditing program</w:t>
      </w:r>
      <w:r w:rsidR="00180A83">
        <w:t xml:space="preserve"> within the scope of this report </w:t>
      </w:r>
      <w:r w:rsidR="00F853CC">
        <w:t xml:space="preserve">identified that, in general, the </w:t>
      </w:r>
      <w:r w:rsidR="00180A83">
        <w:t>works were</w:t>
      </w:r>
      <w:r w:rsidR="00F853CC">
        <w:t xml:space="preserve"> undertaken in accordance with the requirements of </w:t>
      </w:r>
      <w:r w:rsidR="00053F26">
        <w:t>the</w:t>
      </w:r>
      <w:r w:rsidR="00F853CC">
        <w:t xml:space="preserve"> EMF, relevant Environmental Performance Requirements (EPRs) and </w:t>
      </w:r>
      <w:r w:rsidR="009F0CF3">
        <w:t xml:space="preserve">MTP </w:t>
      </w:r>
      <w:r w:rsidR="00F853CC">
        <w:t xml:space="preserve">Incorporated Document. </w:t>
      </w:r>
    </w:p>
    <w:p w14:paraId="75F455BE" w14:textId="19BE6C8F" w:rsidR="00F35DD4" w:rsidRPr="00F35DD4" w:rsidRDefault="00F853CC" w:rsidP="00F35DD4">
      <w:pPr>
        <w:pStyle w:val="BodyText"/>
      </w:pPr>
      <w:r>
        <w:t xml:space="preserve">The auditing process is designed to lead to continual improvement during projects - this is key to AS/NZS ISO 14001:2015 </w:t>
      </w:r>
      <w:r>
        <w:rPr>
          <w:i/>
        </w:rPr>
        <w:t>Environmental management systems</w:t>
      </w:r>
      <w:r>
        <w:t xml:space="preserve"> </w:t>
      </w:r>
      <w:r>
        <w:rPr>
          <w:i/>
        </w:rPr>
        <w:t>— Requirements with guidance for use</w:t>
      </w:r>
      <w:r>
        <w:t xml:space="preserve"> (ISO 14001:2015) and best practice environmental management. As such, observations, areas for improvement and non-conformances were identified. </w:t>
      </w:r>
      <w:bookmarkStart w:id="7" w:name="_Hlk62212110"/>
      <w:r>
        <w:t xml:space="preserve">These were typically addressed </w:t>
      </w:r>
      <w:r w:rsidR="008948C1">
        <w:t xml:space="preserve">in a timely manner by the Delivery Partner </w:t>
      </w:r>
      <w:r>
        <w:t xml:space="preserve">and closed </w:t>
      </w:r>
      <w:r w:rsidR="008948C1">
        <w:t>during the subsequent audits</w:t>
      </w:r>
      <w:r>
        <w:t>.</w:t>
      </w:r>
      <w:r w:rsidR="00E5066B">
        <w:t xml:space="preserve"> </w:t>
      </w:r>
      <w:bookmarkEnd w:id="5"/>
      <w:bookmarkEnd w:id="7"/>
    </w:p>
    <w:p w14:paraId="145E3A28" w14:textId="02D9E052" w:rsidR="006B1D3A" w:rsidRDefault="00C434B3" w:rsidP="00116BB3">
      <w:pPr>
        <w:pStyle w:val="Heading1"/>
        <w:numPr>
          <w:ilvl w:val="0"/>
          <w:numId w:val="11"/>
        </w:numPr>
        <w:ind w:left="0" w:right="-1" w:firstLine="0"/>
      </w:pPr>
      <w:bookmarkStart w:id="8" w:name="_Toc96586768"/>
      <w:r>
        <w:lastRenderedPageBreak/>
        <w:t>Introduction</w:t>
      </w:r>
      <w:bookmarkEnd w:id="8"/>
      <w:r>
        <w:t xml:space="preserve"> </w:t>
      </w:r>
    </w:p>
    <w:p w14:paraId="16B7AD44" w14:textId="0E8025CF" w:rsidR="00AD558B" w:rsidRPr="00272202" w:rsidRDefault="00012F65" w:rsidP="00AD558B">
      <w:pPr>
        <w:pStyle w:val="Heading2"/>
      </w:pPr>
      <w:bookmarkStart w:id="9" w:name="_Toc96586769"/>
      <w:r>
        <w:t>Purpose</w:t>
      </w:r>
      <w:bookmarkEnd w:id="9"/>
    </w:p>
    <w:p w14:paraId="527B08B8" w14:textId="38F3ED04" w:rsidR="004661AE" w:rsidRDefault="004661AE" w:rsidP="004661AE">
      <w:pPr>
        <w:pStyle w:val="BodyText"/>
      </w:pPr>
      <w:r>
        <w:t xml:space="preserve">Rail Projects Victoria (RPV) engaged Aurecon Jacobs Mott MacDonald Joint Venture (AJM JV) to prepare a summary report of the IEA </w:t>
      </w:r>
      <w:r w:rsidR="0011509A">
        <w:t xml:space="preserve">audit </w:t>
      </w:r>
      <w:r>
        <w:t>reports for the MTP Main Works from</w:t>
      </w:r>
      <w:bookmarkStart w:id="10" w:name="_Hlk62212267"/>
      <w:r>
        <w:t xml:space="preserve"> commencement of </w:t>
      </w:r>
      <w:r w:rsidR="009F0CF3">
        <w:t>Main W</w:t>
      </w:r>
      <w:r>
        <w:t xml:space="preserve">orks, until the end </w:t>
      </w:r>
      <w:r w:rsidRPr="00D2493C">
        <w:t>of 2019</w:t>
      </w:r>
      <w:r>
        <w:t xml:space="preserve">. This report relates to the Rail Infrastructure &amp; Systems Packages </w:t>
      </w:r>
      <w:r w:rsidR="009F0CF3">
        <w:t xml:space="preserve">for the Project </w:t>
      </w:r>
      <w:r>
        <w:t xml:space="preserve">and summarises findings from the IEA audits undertaken in the same time period.  </w:t>
      </w:r>
      <w:bookmarkEnd w:id="10"/>
    </w:p>
    <w:p w14:paraId="5A17855F" w14:textId="46557677" w:rsidR="00444AC3" w:rsidRDefault="00444AC3" w:rsidP="00D96A43">
      <w:pPr>
        <w:pStyle w:val="BodyText"/>
      </w:pPr>
      <w:r w:rsidRPr="0004034D">
        <w:t>This request follows a recommendation outlined in the VAGO Early Works</w:t>
      </w:r>
      <w:r w:rsidR="009F0CF3">
        <w:t xml:space="preserve"> Audit Report</w:t>
      </w:r>
      <w:r w:rsidRPr="0004034D">
        <w:t xml:space="preserve">. </w:t>
      </w:r>
      <w:r w:rsidR="009F0CF3">
        <w:t xml:space="preserve">That </w:t>
      </w:r>
      <w:r w:rsidR="00053F26">
        <w:t xml:space="preserve">report </w:t>
      </w:r>
      <w:r w:rsidR="00D96A43">
        <w:t>assess</w:t>
      </w:r>
      <w:r w:rsidR="00053F26">
        <w:t>ed</w:t>
      </w:r>
      <w:r w:rsidR="00D96A43" w:rsidDel="00053F26">
        <w:t xml:space="preserve"> </w:t>
      </w:r>
      <w:r w:rsidR="00053F26">
        <w:t>the</w:t>
      </w:r>
      <w:r w:rsidR="00D96A43">
        <w:t xml:space="preserve"> environmental strategies and risk mitigation </w:t>
      </w:r>
      <w:r w:rsidR="00053F26">
        <w:t>and</w:t>
      </w:r>
      <w:r w:rsidR="00D96A43">
        <w:t xml:space="preserve"> recommended that </w:t>
      </w:r>
      <w:r w:rsidR="00F92158">
        <w:t>the Department of Transport (</w:t>
      </w:r>
      <w:r w:rsidR="00D96A43">
        <w:t>DoT</w:t>
      </w:r>
      <w:r w:rsidR="00F92158">
        <w:t>)</w:t>
      </w:r>
      <w:r w:rsidR="00D96A43">
        <w:t xml:space="preserve"> publish summaries of key findings and recommended actions from past and future IEA reports produced for the MTP on the </w:t>
      </w:r>
      <w:r w:rsidR="009F0CF3">
        <w:t>P</w:t>
      </w:r>
      <w:r w:rsidR="00D96A43">
        <w:t>roject's official website.</w:t>
      </w:r>
      <w:r>
        <w:t xml:space="preserve"> </w:t>
      </w:r>
      <w:r w:rsidR="00D96A43">
        <w:t>The purpose of this audit summary report is to meet the above recommendation of the VAGO Early Works</w:t>
      </w:r>
      <w:r w:rsidR="009F0CF3">
        <w:t xml:space="preserve"> Audit</w:t>
      </w:r>
      <w:r w:rsidR="00D96A43">
        <w:t xml:space="preserve"> Report and provide the wider public with information of MTP’s </w:t>
      </w:r>
      <w:r w:rsidR="0011509A">
        <w:t xml:space="preserve">Rail &amp; Systems Packages </w:t>
      </w:r>
      <w:r w:rsidR="00D96A43">
        <w:t xml:space="preserve">environmental performance during the </w:t>
      </w:r>
      <w:r w:rsidR="00B01C00">
        <w:t xml:space="preserve">Main </w:t>
      </w:r>
      <w:r w:rsidR="00D96A43">
        <w:t>Works Package</w:t>
      </w:r>
      <w:r w:rsidR="009F0CF3">
        <w:t xml:space="preserve"> (to end of 2019)</w:t>
      </w:r>
      <w:r>
        <w:t xml:space="preserve">.  </w:t>
      </w:r>
    </w:p>
    <w:p w14:paraId="1EA82429" w14:textId="77777777" w:rsidR="00654A6F" w:rsidRPr="00272202" w:rsidRDefault="00654A6F" w:rsidP="00654A6F">
      <w:pPr>
        <w:pStyle w:val="Heading2"/>
      </w:pPr>
      <w:bookmarkStart w:id="11" w:name="_Toc96586770"/>
      <w:r>
        <w:t>Project Background</w:t>
      </w:r>
      <w:bookmarkEnd w:id="11"/>
      <w:r>
        <w:t xml:space="preserve"> </w:t>
      </w:r>
    </w:p>
    <w:p w14:paraId="337FE960" w14:textId="77777777" w:rsidR="00654A6F" w:rsidRDefault="00654A6F" w:rsidP="00654A6F">
      <w:pPr>
        <w:pStyle w:val="Heading3"/>
        <w:numPr>
          <w:ilvl w:val="2"/>
          <w:numId w:val="29"/>
        </w:numPr>
      </w:pPr>
      <w:r>
        <w:t>The Metro Tunnel Project</w:t>
      </w:r>
    </w:p>
    <w:p w14:paraId="7433E21D" w14:textId="1A696215" w:rsidR="00654A6F" w:rsidRDefault="00654A6F" w:rsidP="00654A6F">
      <w:pPr>
        <w:pStyle w:val="BodyText"/>
      </w:pPr>
      <w:r>
        <w:t xml:space="preserve">The Victorian Government is building the MTP to connect the Sunbury line to the Cranbourne and Pakenham lines through the construction of new twin nine-kilometre rail tunnels and five new underground stations. MTP is transforming Melbourne’s rail network into an international-style metro system, boosting the capacity of the rail network to keep pace with Melbourne’s growing population and rail patronage.  </w:t>
      </w:r>
    </w:p>
    <w:p w14:paraId="0AB78959" w14:textId="1FFE273C" w:rsidR="00654A6F" w:rsidRDefault="00654A6F" w:rsidP="00654A6F">
      <w:pPr>
        <w:pStyle w:val="BodyText"/>
      </w:pPr>
      <w:r>
        <w:t xml:space="preserve">MTP will provide the foundation for expanding Melbourne’s public transport network, helping to ensure Melbourne remains one of the world’s most liveable cities now and into the future. MTP will also stimulate significant urban renewal, opening up opportunities for new housing, commercial development and jobs in and around the CBD, whilst improving train travel to and from the suburbs. </w:t>
      </w:r>
    </w:p>
    <w:p w14:paraId="3E1CDA7F" w14:textId="77777777" w:rsidR="00654A6F" w:rsidRDefault="00654A6F" w:rsidP="00654A6F">
      <w:pPr>
        <w:pStyle w:val="BodyText"/>
      </w:pPr>
      <w:r>
        <w:t xml:space="preserve">The infrastructure required for construction of MTP includes:  </w:t>
      </w:r>
    </w:p>
    <w:p w14:paraId="73F718B2" w14:textId="57AE8DDB" w:rsidR="00654A6F" w:rsidRDefault="00654A6F" w:rsidP="00654A6F">
      <w:pPr>
        <w:pStyle w:val="Bullet1"/>
        <w:numPr>
          <w:ilvl w:val="0"/>
          <w:numId w:val="30"/>
        </w:numPr>
      </w:pPr>
      <w:r>
        <w:t xml:space="preserve">Twin nine-kilometre rail tunnels from Kensington to South Yarra, connecting the Sunbury and Cranbourne/Pakenham railway lines </w:t>
      </w:r>
      <w:r w:rsidR="0011509A">
        <w:t>through the CBD.</w:t>
      </w:r>
    </w:p>
    <w:p w14:paraId="697B4758" w14:textId="6FC37B6F" w:rsidR="00654A6F" w:rsidRDefault="00654A6F" w:rsidP="00654A6F">
      <w:pPr>
        <w:pStyle w:val="Bullet1"/>
        <w:numPr>
          <w:ilvl w:val="0"/>
          <w:numId w:val="30"/>
        </w:numPr>
      </w:pPr>
      <w:r>
        <w:t>Rail tunnel portals (entrances</w:t>
      </w:r>
      <w:r w:rsidR="0011509A">
        <w:t>/ exits</w:t>
      </w:r>
      <w:r>
        <w:t>) at Kensington and South Yarra.</w:t>
      </w:r>
    </w:p>
    <w:p w14:paraId="396CDD5A" w14:textId="34202223" w:rsidR="00654A6F" w:rsidRDefault="00654A6F" w:rsidP="00654A6F">
      <w:pPr>
        <w:pStyle w:val="Bullet1"/>
        <w:numPr>
          <w:ilvl w:val="0"/>
          <w:numId w:val="30"/>
        </w:numPr>
      </w:pPr>
      <w:bookmarkStart w:id="12" w:name="_Hlk67037357"/>
      <w:r>
        <w:t>New underground stations at Arden, Parkville</w:t>
      </w:r>
      <w:r w:rsidR="0011509A">
        <w:t xml:space="preserve"> (under Grattan Street)</w:t>
      </w:r>
      <w:r>
        <w:t xml:space="preserve">, </w:t>
      </w:r>
      <w:r w:rsidR="0011509A">
        <w:t>State Library (at the northern end of Swanston Street)</w:t>
      </w:r>
      <w:r>
        <w:t xml:space="preserve">, </w:t>
      </w:r>
      <w:r w:rsidR="0011509A">
        <w:t xml:space="preserve">Town Hall (at the southern end of Swanston Street), and Anzac (under the Domain interchange on St Kilda Road. State Library and Town Hall stations </w:t>
      </w:r>
      <w:r w:rsidR="00053F26">
        <w:t xml:space="preserve">will </w:t>
      </w:r>
      <w:r>
        <w:t>feature direct interchange with the existing Melbourne Central and Flinders Street Stations respectively.</w:t>
      </w:r>
    </w:p>
    <w:bookmarkEnd w:id="12"/>
    <w:p w14:paraId="20748C21" w14:textId="293A364A" w:rsidR="00654A6F" w:rsidRDefault="00654A6F" w:rsidP="00654A6F">
      <w:pPr>
        <w:pStyle w:val="Bullet1"/>
        <w:numPr>
          <w:ilvl w:val="0"/>
          <w:numId w:val="30"/>
        </w:numPr>
      </w:pPr>
      <w:r>
        <w:t>Train/ tram interchange</w:t>
      </w:r>
      <w:r w:rsidR="0011509A">
        <w:t xml:space="preserve"> between Anzac Station and the Domain Interchange.</w:t>
      </w:r>
    </w:p>
    <w:p w14:paraId="3D7A99E2" w14:textId="4BD84F68" w:rsidR="006A20F5" w:rsidRDefault="00654A6F" w:rsidP="006A20F5">
      <w:pPr>
        <w:pStyle w:val="Bullet1"/>
        <w:numPr>
          <w:ilvl w:val="0"/>
          <w:numId w:val="30"/>
        </w:numPr>
      </w:pPr>
      <w:r>
        <w:t xml:space="preserve">High </w:t>
      </w:r>
      <w:r w:rsidR="0011509A">
        <w:t xml:space="preserve">Capacity Signalling </w:t>
      </w:r>
      <w:r>
        <w:t>to maximise the efficiency of the new fleet of H</w:t>
      </w:r>
      <w:r w:rsidR="0011509A">
        <w:t xml:space="preserve">igh </w:t>
      </w:r>
      <w:r>
        <w:t>C</w:t>
      </w:r>
      <w:r w:rsidR="0011509A">
        <w:t xml:space="preserve">apacity </w:t>
      </w:r>
      <w:r>
        <w:t>M</w:t>
      </w:r>
      <w:r w:rsidR="0011509A">
        <w:t xml:space="preserve">etro </w:t>
      </w:r>
      <w:r>
        <w:t>T</w:t>
      </w:r>
      <w:r w:rsidR="0011509A">
        <w:t>rains (HCMT</w:t>
      </w:r>
      <w:r>
        <w:t>s</w:t>
      </w:r>
      <w:r w:rsidR="0011509A">
        <w:t xml:space="preserve">) that will run along the Sunbury, Cranbourne/Pakenham lines and the Metro Tunnel in the future. </w:t>
      </w:r>
    </w:p>
    <w:p w14:paraId="7274DC66" w14:textId="690E6111" w:rsidR="006A20F5" w:rsidRDefault="006A20F5" w:rsidP="00E7098A">
      <w:pPr>
        <w:pStyle w:val="Bullet1"/>
        <w:numPr>
          <w:ilvl w:val="0"/>
          <w:numId w:val="0"/>
        </w:numPr>
      </w:pPr>
      <w:r>
        <w:t>Some project elements nomenclature (</w:t>
      </w:r>
      <w:r w:rsidR="00237ECB">
        <w:t>e</w:t>
      </w:r>
      <w:r>
        <w:t>.g. station names) ha</w:t>
      </w:r>
      <w:r w:rsidR="00924EAF">
        <w:t>ve</w:t>
      </w:r>
      <w:r>
        <w:t xml:space="preserve"> changed during the delivery of the Project and audit findings may reflect superseded nomenclature, </w:t>
      </w:r>
      <w:r w:rsidR="00924EAF">
        <w:t>with</w:t>
      </w:r>
      <w:r>
        <w:t xml:space="preserve"> the updated name is provided in brackets. </w:t>
      </w:r>
    </w:p>
    <w:p w14:paraId="4174AF62" w14:textId="07ED3099" w:rsidR="00654A6F" w:rsidRDefault="00654A6F" w:rsidP="00654A6F">
      <w:pPr>
        <w:pStyle w:val="Heading3"/>
      </w:pPr>
      <w:r>
        <w:lastRenderedPageBreak/>
        <w:t>MTP Work Packages</w:t>
      </w:r>
    </w:p>
    <w:p w14:paraId="0A9A633A" w14:textId="351A7AD0" w:rsidR="00180A83" w:rsidRDefault="00654A6F" w:rsidP="00180A83">
      <w:pPr>
        <w:pStyle w:val="BodyText"/>
      </w:pPr>
      <w:r>
        <w:t xml:space="preserve">MTP is being managed on behalf of the Victorian Government by RPV, formerly known as the Melbourne Metro Rail Authority. RPV forms part of the Major Transport Infrastructure Authority (MTIA), which is responsible for facilitating the development and delivery of the biggest transport infrastructure program in Victorian history. </w:t>
      </w:r>
      <w:r w:rsidR="00180A83">
        <w:fldChar w:fldCharType="begin"/>
      </w:r>
      <w:r w:rsidR="00180A83">
        <w:instrText xml:space="preserve"> REF _Ref15894372 \h  \* MERGEFORMAT </w:instrText>
      </w:r>
      <w:r w:rsidR="00180A83">
        <w:fldChar w:fldCharType="separate"/>
      </w:r>
      <w:r w:rsidR="00E77B24">
        <w:t>Figure 0</w:t>
      </w:r>
      <w:r w:rsidR="00E77B24">
        <w:noBreakHyphen/>
        <w:t>1</w:t>
      </w:r>
      <w:r w:rsidR="00180A83">
        <w:fldChar w:fldCharType="end"/>
      </w:r>
      <w:r w:rsidR="00180A83">
        <w:t xml:space="preserve"> shows a broad schematic plan for the principal components of MTP. </w:t>
      </w:r>
    </w:p>
    <w:p w14:paraId="03666394" w14:textId="63E74344" w:rsidR="00200A07" w:rsidRDefault="00EE4386" w:rsidP="00200A07">
      <w:pPr>
        <w:pStyle w:val="BodyText"/>
      </w:pPr>
      <w:r>
        <w:t>Construction of MTP is being delivered by RPV in partnerships with contracted Delivery Partners</w:t>
      </w:r>
      <w:r w:rsidR="00200A07">
        <w:t xml:space="preserve">; through four separate works packages with different delivery partner(s) for each works package described in </w:t>
      </w:r>
      <w:r w:rsidR="00200A07">
        <w:fldChar w:fldCharType="begin"/>
      </w:r>
      <w:r w:rsidR="00200A07">
        <w:instrText xml:space="preserve"> REF _Ref67399044 \h </w:instrText>
      </w:r>
      <w:r w:rsidR="00200A07">
        <w:fldChar w:fldCharType="separate"/>
      </w:r>
      <w:r w:rsidR="00E77B24">
        <w:t xml:space="preserve">Table </w:t>
      </w:r>
      <w:r w:rsidR="00E77B24">
        <w:rPr>
          <w:noProof/>
        </w:rPr>
        <w:t>0</w:t>
      </w:r>
      <w:r w:rsidR="00E77B24">
        <w:noBreakHyphen/>
      </w:r>
      <w:r w:rsidR="00E77B24">
        <w:rPr>
          <w:noProof/>
        </w:rPr>
        <w:t>1</w:t>
      </w:r>
      <w:r w:rsidR="00200A07">
        <w:fldChar w:fldCharType="end"/>
      </w:r>
      <w:r w:rsidR="00200A07">
        <w:t xml:space="preserve">.  This report relates only to the Main Works: Rail Infrastructure Works Package. </w:t>
      </w:r>
    </w:p>
    <w:p w14:paraId="0A06C510" w14:textId="4ACB2110" w:rsidR="00200A07" w:rsidRDefault="00200A07" w:rsidP="00200A07">
      <w:pPr>
        <w:pStyle w:val="Caption"/>
      </w:pPr>
      <w:bookmarkStart w:id="13" w:name="_Ref67399044"/>
      <w:r>
        <w:t xml:space="preserve">Table </w:t>
      </w:r>
      <w:r>
        <w:fldChar w:fldCharType="begin"/>
      </w:r>
      <w:r>
        <w:instrText xml:space="preserve"> STYLEREF 1 \s </w:instrText>
      </w:r>
      <w:r>
        <w:fldChar w:fldCharType="separate"/>
      </w:r>
      <w:r w:rsidR="00E77B24">
        <w:rPr>
          <w:noProof/>
        </w:rPr>
        <w:t>0</w:t>
      </w:r>
      <w:r>
        <w:fldChar w:fldCharType="end"/>
      </w:r>
      <w:r>
        <w:noBreakHyphen/>
      </w:r>
      <w:r>
        <w:fldChar w:fldCharType="begin"/>
      </w:r>
      <w:r>
        <w:instrText xml:space="preserve"> SEQ Table \* ARABIC \s 1 </w:instrText>
      </w:r>
      <w:r>
        <w:fldChar w:fldCharType="separate"/>
      </w:r>
      <w:r w:rsidR="00E77B24">
        <w:rPr>
          <w:noProof/>
        </w:rPr>
        <w:t>1</w:t>
      </w:r>
      <w:r>
        <w:fldChar w:fldCharType="end"/>
      </w:r>
      <w:bookmarkEnd w:id="13"/>
      <w:r>
        <w:t>: MTP Works Packages</w:t>
      </w:r>
    </w:p>
    <w:tbl>
      <w:tblPr>
        <w:tblStyle w:val="MRL"/>
        <w:tblW w:w="9495" w:type="dxa"/>
        <w:tblLayout w:type="fixed"/>
        <w:tblLook w:val="04A0" w:firstRow="1" w:lastRow="0" w:firstColumn="1" w:lastColumn="0" w:noHBand="0" w:noVBand="1"/>
      </w:tblPr>
      <w:tblGrid>
        <w:gridCol w:w="1984"/>
        <w:gridCol w:w="7511"/>
      </w:tblGrid>
      <w:tr w:rsidR="00200A07" w14:paraId="3809B0E7" w14:textId="77777777" w:rsidTr="00200A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single" w:sz="4" w:space="0" w:color="BFBFBF" w:themeColor="background1" w:themeShade="BF"/>
              <w:right w:val="single" w:sz="4" w:space="0" w:color="BFBFBF" w:themeColor="background1" w:themeShade="BF"/>
            </w:tcBorders>
            <w:hideMark/>
          </w:tcPr>
          <w:p w14:paraId="40C2B54E" w14:textId="77777777" w:rsidR="00200A07" w:rsidRPr="00E7098A" w:rsidRDefault="00200A07">
            <w:pPr>
              <w:spacing w:before="144" w:after="144" w:line="360" w:lineRule="auto"/>
              <w:rPr>
                <w:rFonts w:eastAsia="Times New Roman"/>
                <w:color w:val="auto"/>
              </w:rPr>
            </w:pPr>
            <w:r w:rsidRPr="00E7098A">
              <w:rPr>
                <w:rFonts w:eastAsia="Times New Roman"/>
                <w:color w:val="auto"/>
              </w:rPr>
              <w:t>PACKAGE</w:t>
            </w:r>
          </w:p>
        </w:tc>
        <w:tc>
          <w:tcPr>
            <w:tcW w:w="7513" w:type="dxa"/>
            <w:tcBorders>
              <w:top w:val="nil"/>
              <w:left w:val="single" w:sz="4" w:space="0" w:color="BFBFBF" w:themeColor="background1" w:themeShade="BF"/>
              <w:bottom w:val="single" w:sz="4" w:space="0" w:color="BFBFBF" w:themeColor="background1" w:themeShade="BF"/>
              <w:right w:val="nil"/>
            </w:tcBorders>
            <w:hideMark/>
          </w:tcPr>
          <w:p w14:paraId="08B2378C" w14:textId="77777777" w:rsidR="00200A07" w:rsidRPr="00E7098A" w:rsidRDefault="00200A07">
            <w:pPr>
              <w:pStyle w:val="TableHeader"/>
              <w:spacing w:before="144" w:after="144"/>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E7098A">
              <w:rPr>
                <w:rFonts w:eastAsia="Times New Roman"/>
                <w:color w:val="auto"/>
              </w:rPr>
              <w:t xml:space="preserve">Description </w:t>
            </w:r>
          </w:p>
        </w:tc>
      </w:tr>
      <w:tr w:rsidR="00200A07" w14:paraId="61A65EC2" w14:textId="77777777" w:rsidTr="00200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nil"/>
              <w:right w:val="single" w:sz="4" w:space="0" w:color="BFBFBF" w:themeColor="background1" w:themeShade="BF"/>
            </w:tcBorders>
            <w:hideMark/>
          </w:tcPr>
          <w:p w14:paraId="66D46CDA" w14:textId="77777777" w:rsidR="00200A07" w:rsidRPr="00E7098A" w:rsidRDefault="00200A07">
            <w:pPr>
              <w:pStyle w:val="BodyText"/>
              <w:rPr>
                <w:b/>
                <w:bCs/>
                <w:sz w:val="16"/>
              </w:rPr>
            </w:pPr>
            <w:r w:rsidRPr="00E7098A">
              <w:rPr>
                <w:b/>
                <w:bCs/>
                <w:sz w:val="16"/>
              </w:rPr>
              <w:t xml:space="preserve">Early Works </w:t>
            </w:r>
          </w:p>
        </w:tc>
        <w:tc>
          <w:tcPr>
            <w:tcW w:w="7513" w:type="dxa"/>
            <w:tcBorders>
              <w:left w:val="single" w:sz="4" w:space="0" w:color="BFBFBF" w:themeColor="background1" w:themeShade="BF"/>
              <w:right w:val="nil"/>
            </w:tcBorders>
            <w:hideMark/>
          </w:tcPr>
          <w:p w14:paraId="7E60C65A" w14:textId="77777777" w:rsidR="00200A07" w:rsidRPr="00E7098A" w:rsidRDefault="00200A07" w:rsidP="00E7098A">
            <w:pPr>
              <w:pStyle w:val="Bullet1"/>
              <w:numPr>
                <w:ilvl w:val="0"/>
                <w:numId w:val="0"/>
              </w:numPr>
              <w:cnfStyle w:val="000000100000" w:firstRow="0" w:lastRow="0" w:firstColumn="0" w:lastColumn="0" w:oddVBand="0" w:evenVBand="0" w:oddHBand="1" w:evenHBand="0" w:firstRowFirstColumn="0" w:firstRowLastColumn="0" w:lastRowFirstColumn="0" w:lastRowLastColumn="0"/>
              <w:rPr>
                <w:sz w:val="16"/>
              </w:rPr>
            </w:pPr>
            <w:r w:rsidRPr="00E7098A">
              <w:rPr>
                <w:sz w:val="16"/>
              </w:rPr>
              <w:t>The Early Works Package including three sub-packages of works, each respectively was delivered by a Managing Contractor, Yarra Trams and Utility Service Providers.</w:t>
            </w:r>
          </w:p>
        </w:tc>
      </w:tr>
      <w:tr w:rsidR="00200A07" w14:paraId="7D7EAB22" w14:textId="77777777" w:rsidTr="00200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il"/>
              <w:right w:val="single" w:sz="4" w:space="0" w:color="BFBFBF" w:themeColor="background1" w:themeShade="BF"/>
            </w:tcBorders>
            <w:hideMark/>
          </w:tcPr>
          <w:p w14:paraId="468E2041" w14:textId="77777777" w:rsidR="00200A07" w:rsidRPr="00E7098A" w:rsidRDefault="00200A07">
            <w:pPr>
              <w:pStyle w:val="BodyText"/>
              <w:rPr>
                <w:b/>
                <w:bCs/>
                <w:sz w:val="16"/>
              </w:rPr>
            </w:pPr>
            <w:r w:rsidRPr="00E7098A">
              <w:rPr>
                <w:b/>
                <w:bCs/>
                <w:sz w:val="16"/>
              </w:rPr>
              <w:t xml:space="preserve">Main Works </w:t>
            </w:r>
          </w:p>
        </w:tc>
        <w:tc>
          <w:tcPr>
            <w:tcW w:w="7513" w:type="dxa"/>
            <w:tcBorders>
              <w:left w:val="single" w:sz="4" w:space="0" w:color="BFBFBF" w:themeColor="background1" w:themeShade="BF"/>
              <w:right w:val="nil"/>
            </w:tcBorders>
            <w:hideMark/>
          </w:tcPr>
          <w:p w14:paraId="5578270B" w14:textId="77777777" w:rsidR="00200A07" w:rsidRPr="00E7098A" w:rsidRDefault="00200A07" w:rsidP="00E7098A">
            <w:pPr>
              <w:pStyle w:val="Bullet1"/>
              <w:numPr>
                <w:ilvl w:val="0"/>
                <w:numId w:val="0"/>
              </w:numPr>
              <w:cnfStyle w:val="000000010000" w:firstRow="0" w:lastRow="0" w:firstColumn="0" w:lastColumn="0" w:oddVBand="0" w:evenVBand="0" w:oddHBand="0" w:evenHBand="1" w:firstRowFirstColumn="0" w:firstRowLastColumn="0" w:lastRowFirstColumn="0" w:lastRowLastColumn="0"/>
              <w:rPr>
                <w:sz w:val="16"/>
              </w:rPr>
            </w:pPr>
            <w:r w:rsidRPr="00E7098A">
              <w:rPr>
                <w:sz w:val="16"/>
              </w:rPr>
              <w:t>The Tunnels and Stations Works Package, being delivered by Cross Yarra Partnership (CYP).</w:t>
            </w:r>
          </w:p>
        </w:tc>
      </w:tr>
      <w:tr w:rsidR="00200A07" w14:paraId="22B6C269" w14:textId="77777777" w:rsidTr="00200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Borders>
              <w:top w:val="nil"/>
              <w:left w:val="nil"/>
              <w:right w:val="single" w:sz="4" w:space="0" w:color="BFBFBF" w:themeColor="background1" w:themeShade="BF"/>
            </w:tcBorders>
            <w:hideMark/>
          </w:tcPr>
          <w:p w14:paraId="7F7824E5" w14:textId="77777777" w:rsidR="00200A07" w:rsidRPr="00E7098A" w:rsidRDefault="00200A07">
            <w:pPr>
              <w:spacing w:before="0" w:after="0"/>
              <w:rPr>
                <w:b/>
                <w:bCs/>
              </w:rPr>
            </w:pPr>
          </w:p>
        </w:tc>
        <w:tc>
          <w:tcPr>
            <w:tcW w:w="7513" w:type="dxa"/>
            <w:tcBorders>
              <w:left w:val="single" w:sz="4" w:space="0" w:color="BFBFBF" w:themeColor="background1" w:themeShade="BF"/>
              <w:right w:val="nil"/>
            </w:tcBorders>
            <w:hideMark/>
          </w:tcPr>
          <w:p w14:paraId="3F2C549C" w14:textId="77777777" w:rsidR="00200A07" w:rsidRPr="00E7098A" w:rsidRDefault="00200A07" w:rsidP="00E7098A">
            <w:pPr>
              <w:pStyle w:val="Bullet1"/>
              <w:numPr>
                <w:ilvl w:val="0"/>
                <w:numId w:val="0"/>
              </w:numPr>
              <w:cnfStyle w:val="000000100000" w:firstRow="0" w:lastRow="0" w:firstColumn="0" w:lastColumn="0" w:oddVBand="0" w:evenVBand="0" w:oddHBand="1" w:evenHBand="0" w:firstRowFirstColumn="0" w:firstRowLastColumn="0" w:lastRowFirstColumn="0" w:lastRowLastColumn="0"/>
              <w:rPr>
                <w:sz w:val="16"/>
              </w:rPr>
            </w:pPr>
            <w:r w:rsidRPr="00E7098A">
              <w:rPr>
                <w:sz w:val="16"/>
              </w:rPr>
              <w:t xml:space="preserve">The Rail Infrastructure Works Package associated with the Eastern and Western Tunnel Entrances and the western turnback, being delivered by the Rail Infrastructure Alliance (RIA). </w:t>
            </w:r>
          </w:p>
        </w:tc>
      </w:tr>
      <w:tr w:rsidR="00200A07" w14:paraId="1E0E96B4" w14:textId="77777777" w:rsidTr="00200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Borders>
              <w:left w:val="nil"/>
              <w:right w:val="single" w:sz="4" w:space="0" w:color="BFBFBF" w:themeColor="background1" w:themeShade="BF"/>
            </w:tcBorders>
            <w:hideMark/>
          </w:tcPr>
          <w:p w14:paraId="584CF289" w14:textId="77777777" w:rsidR="00200A07" w:rsidRPr="00E7098A" w:rsidRDefault="00200A07">
            <w:pPr>
              <w:spacing w:before="0" w:after="0"/>
              <w:rPr>
                <w:b/>
                <w:bCs/>
              </w:rPr>
            </w:pPr>
          </w:p>
        </w:tc>
        <w:tc>
          <w:tcPr>
            <w:tcW w:w="7513" w:type="dxa"/>
            <w:tcBorders>
              <w:left w:val="single" w:sz="4" w:space="0" w:color="BFBFBF" w:themeColor="background1" w:themeShade="BF"/>
              <w:right w:val="nil"/>
            </w:tcBorders>
            <w:hideMark/>
          </w:tcPr>
          <w:p w14:paraId="1B015B0C" w14:textId="77777777" w:rsidR="00200A07" w:rsidRPr="00E7098A" w:rsidRDefault="00200A07" w:rsidP="00E7098A">
            <w:pPr>
              <w:pStyle w:val="Bullet1"/>
              <w:numPr>
                <w:ilvl w:val="0"/>
                <w:numId w:val="0"/>
              </w:numPr>
              <w:cnfStyle w:val="000000010000" w:firstRow="0" w:lastRow="0" w:firstColumn="0" w:lastColumn="0" w:oddVBand="0" w:evenVBand="0" w:oddHBand="0" w:evenHBand="1" w:firstRowFirstColumn="0" w:firstRowLastColumn="0" w:lastRowFirstColumn="0" w:lastRowLastColumn="0"/>
              <w:rPr>
                <w:sz w:val="16"/>
              </w:rPr>
            </w:pPr>
            <w:r w:rsidRPr="00E7098A">
              <w:rPr>
                <w:sz w:val="16"/>
              </w:rPr>
              <w:t>The Rail Systems Works Package for High Capacity Signalling, rail systems integration and commissioning, being delivered by the Rail Systems Alliance (RSA).</w:t>
            </w:r>
          </w:p>
        </w:tc>
      </w:tr>
    </w:tbl>
    <w:p w14:paraId="663BE050" w14:textId="77777777" w:rsidR="004661AE" w:rsidRDefault="004661AE" w:rsidP="00200A07">
      <w:pPr>
        <w:pStyle w:val="BodyText"/>
      </w:pPr>
    </w:p>
    <w:p w14:paraId="07249213" w14:textId="5A48276C" w:rsidR="00654A6F" w:rsidRDefault="006E5633" w:rsidP="00654A6F">
      <w:pPr>
        <w:pStyle w:val="BodyText"/>
      </w:pPr>
      <w:r>
        <w:rPr>
          <w:noProof/>
        </w:rPr>
        <w:drawing>
          <wp:inline distT="0" distB="0" distL="0" distR="0" wp14:anchorId="3B0BF802" wp14:editId="294EF1B2">
            <wp:extent cx="6300470" cy="353314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6300470" cy="3533140"/>
                    </a:xfrm>
                    <a:prstGeom prst="rect">
                      <a:avLst/>
                    </a:prstGeom>
                    <a:noFill/>
                    <a:ln>
                      <a:noFill/>
                    </a:ln>
                  </pic:spPr>
                </pic:pic>
              </a:graphicData>
            </a:graphic>
          </wp:inline>
        </w:drawing>
      </w:r>
      <w:r w:rsidR="00654A6F">
        <w:rPr>
          <w:noProof/>
          <w:lang w:val="en-AU" w:eastAsia="en-AU"/>
        </w:rPr>
        <w:t xml:space="preserve"> </w:t>
      </w:r>
    </w:p>
    <w:p w14:paraId="7B1D17D8" w14:textId="443E50B5" w:rsidR="00A04F1D" w:rsidRDefault="00654A6F" w:rsidP="00A04F1D">
      <w:pPr>
        <w:pStyle w:val="Caption"/>
      </w:pPr>
      <w:bookmarkStart w:id="14" w:name="_Ref15894372"/>
      <w:r>
        <w:t xml:space="preserve">Figure </w:t>
      </w:r>
      <w:r>
        <w:fldChar w:fldCharType="begin"/>
      </w:r>
      <w:r>
        <w:instrText xml:space="preserve"> STYLEREF 1 \s </w:instrText>
      </w:r>
      <w:r>
        <w:fldChar w:fldCharType="separate"/>
      </w:r>
      <w:r w:rsidR="00E77B24">
        <w:rPr>
          <w:noProof/>
        </w:rPr>
        <w:t>0</w:t>
      </w:r>
      <w:r>
        <w:fldChar w:fldCharType="end"/>
      </w:r>
      <w:r>
        <w:noBreakHyphen/>
      </w:r>
      <w:r>
        <w:fldChar w:fldCharType="begin"/>
      </w:r>
      <w:r>
        <w:instrText xml:space="preserve"> SEQ Figure \* ARABIC \s 1 </w:instrText>
      </w:r>
      <w:r>
        <w:fldChar w:fldCharType="separate"/>
      </w:r>
      <w:r w:rsidR="00E77B24">
        <w:rPr>
          <w:noProof/>
        </w:rPr>
        <w:t>1</w:t>
      </w:r>
      <w:r>
        <w:fldChar w:fldCharType="end"/>
      </w:r>
      <w:bookmarkEnd w:id="14"/>
      <w:r>
        <w:t xml:space="preserve"> MTP Schematic plan </w:t>
      </w:r>
    </w:p>
    <w:p w14:paraId="2CB09024" w14:textId="2628B062" w:rsidR="00654A6F" w:rsidRDefault="00654A6F" w:rsidP="00654A6F">
      <w:pPr>
        <w:pStyle w:val="Caption"/>
      </w:pPr>
    </w:p>
    <w:p w14:paraId="49A70C08" w14:textId="3E6C06E0" w:rsidR="00444AC3" w:rsidRDefault="00444AC3" w:rsidP="00D2493C">
      <w:pPr>
        <w:pStyle w:val="Heading2"/>
        <w:spacing w:before="240"/>
      </w:pPr>
      <w:bookmarkStart w:id="15" w:name="_Toc96586771"/>
      <w:r>
        <w:lastRenderedPageBreak/>
        <w:t>Scope</w:t>
      </w:r>
      <w:bookmarkEnd w:id="15"/>
      <w:r>
        <w:t xml:space="preserve"> </w:t>
      </w:r>
    </w:p>
    <w:p w14:paraId="626D4D52" w14:textId="3EC4CAB3" w:rsidR="0016019C" w:rsidRDefault="0016019C" w:rsidP="007E5025">
      <w:pPr>
        <w:pStyle w:val="BodyText"/>
        <w:rPr>
          <w:rFonts w:eastAsia="Times New Roman"/>
          <w:bCs/>
        </w:rPr>
      </w:pPr>
      <w:r>
        <w:rPr>
          <w:bCs/>
        </w:rPr>
        <w:t xml:space="preserve">This report </w:t>
      </w:r>
      <w:r w:rsidR="000C37C9">
        <w:rPr>
          <w:bCs/>
        </w:rPr>
        <w:t>summarise</w:t>
      </w:r>
      <w:r w:rsidR="00AA521E">
        <w:rPr>
          <w:bCs/>
        </w:rPr>
        <w:t>s</w:t>
      </w:r>
      <w:r w:rsidR="000C37C9">
        <w:rPr>
          <w:bCs/>
        </w:rPr>
        <w:t xml:space="preserve"> </w:t>
      </w:r>
      <w:r w:rsidR="009F0CF3">
        <w:rPr>
          <w:bCs/>
        </w:rPr>
        <w:t xml:space="preserve">environmental </w:t>
      </w:r>
      <w:r w:rsidR="00AA521E">
        <w:rPr>
          <w:bCs/>
        </w:rPr>
        <w:t>a</w:t>
      </w:r>
      <w:r w:rsidR="000C37C9">
        <w:rPr>
          <w:bCs/>
        </w:rPr>
        <w:t xml:space="preserve">udits conducted as part of the MTP </w:t>
      </w:r>
      <w:r>
        <w:rPr>
          <w:bCs/>
        </w:rPr>
        <w:t>Main Works</w:t>
      </w:r>
      <w:r>
        <w:t xml:space="preserve"> being delivered</w:t>
      </w:r>
      <w:r w:rsidRPr="0004034D">
        <w:rPr>
          <w:rFonts w:eastAsia="Times New Roman"/>
        </w:rPr>
        <w:t xml:space="preserve"> </w:t>
      </w:r>
      <w:r w:rsidR="00DA37EC">
        <w:rPr>
          <w:rFonts w:eastAsia="Times New Roman"/>
        </w:rPr>
        <w:t xml:space="preserve">under the </w:t>
      </w:r>
      <w:r w:rsidR="000C37C9">
        <w:rPr>
          <w:rFonts w:eastAsia="Times New Roman"/>
        </w:rPr>
        <w:t xml:space="preserve">Rail Infrastructure </w:t>
      </w:r>
      <w:r w:rsidR="000C37C9" w:rsidRPr="0004034D">
        <w:rPr>
          <w:rFonts w:eastAsia="Times New Roman"/>
        </w:rPr>
        <w:t>Works Packag</w:t>
      </w:r>
      <w:r w:rsidR="00DA37EC">
        <w:rPr>
          <w:rFonts w:eastAsia="Times New Roman"/>
        </w:rPr>
        <w:t>e</w:t>
      </w:r>
      <w:r>
        <w:rPr>
          <w:rFonts w:eastAsia="Times New Roman"/>
        </w:rPr>
        <w:t>.</w:t>
      </w:r>
      <w:r>
        <w:rPr>
          <w:rFonts w:eastAsia="Times New Roman"/>
          <w:bCs/>
        </w:rPr>
        <w:t xml:space="preserve"> </w:t>
      </w:r>
      <w:r w:rsidR="00377CA7">
        <w:rPr>
          <w:rFonts w:eastAsia="Times New Roman"/>
          <w:bCs/>
        </w:rPr>
        <w:t xml:space="preserve">The report </w:t>
      </w:r>
      <w:r w:rsidR="009F0CF3">
        <w:rPr>
          <w:rFonts w:eastAsia="Times New Roman"/>
          <w:bCs/>
        </w:rPr>
        <w:t xml:space="preserve">summarises </w:t>
      </w:r>
      <w:r>
        <w:rPr>
          <w:rFonts w:eastAsia="Times New Roman"/>
          <w:bCs/>
        </w:rPr>
        <w:t xml:space="preserve">the IEA reports undertaken from </w:t>
      </w:r>
      <w:r w:rsidR="000C37C9">
        <w:rPr>
          <w:rFonts w:eastAsia="Times New Roman"/>
          <w:bCs/>
        </w:rPr>
        <w:t>pre-</w:t>
      </w:r>
      <w:r>
        <w:rPr>
          <w:rFonts w:eastAsia="Times New Roman"/>
          <w:bCs/>
        </w:rPr>
        <w:t xml:space="preserve">commencement of works until the end of 2019, provided in </w:t>
      </w:r>
      <w:bookmarkStart w:id="16" w:name="_Hlk62824361"/>
      <w:r>
        <w:rPr>
          <w:rFonts w:eastAsia="Times New Roman"/>
          <w:bCs/>
        </w:rPr>
        <w:fldChar w:fldCharType="begin"/>
      </w:r>
      <w:r>
        <w:rPr>
          <w:rFonts w:eastAsia="Times New Roman"/>
          <w:bCs/>
        </w:rPr>
        <w:instrText xml:space="preserve"> REF _Ref62203440 \h </w:instrText>
      </w:r>
      <w:r>
        <w:rPr>
          <w:rFonts w:eastAsia="Times New Roman"/>
          <w:bCs/>
        </w:rPr>
      </w:r>
      <w:r>
        <w:rPr>
          <w:rFonts w:eastAsia="Times New Roman"/>
          <w:bCs/>
        </w:rPr>
        <w:fldChar w:fldCharType="separate"/>
      </w:r>
      <w:r w:rsidR="00E77B24">
        <w:t xml:space="preserve">Table </w:t>
      </w:r>
      <w:r w:rsidR="00E77B24">
        <w:rPr>
          <w:noProof/>
        </w:rPr>
        <w:t>0</w:t>
      </w:r>
      <w:r w:rsidR="00E77B24">
        <w:noBreakHyphen/>
      </w:r>
      <w:r w:rsidR="00E77B24">
        <w:rPr>
          <w:noProof/>
        </w:rPr>
        <w:t>2</w:t>
      </w:r>
      <w:r>
        <w:rPr>
          <w:rFonts w:eastAsia="Times New Roman"/>
          <w:bCs/>
        </w:rPr>
        <w:fldChar w:fldCharType="end"/>
      </w:r>
      <w:bookmarkEnd w:id="16"/>
      <w:r>
        <w:rPr>
          <w:rFonts w:eastAsia="Times New Roman"/>
          <w:bCs/>
        </w:rPr>
        <w:t>.</w:t>
      </w:r>
    </w:p>
    <w:p w14:paraId="0B90E945" w14:textId="3C1EED2E" w:rsidR="002A535C" w:rsidRDefault="00F64B17" w:rsidP="007E5025">
      <w:pPr>
        <w:pStyle w:val="BodyText"/>
      </w:pPr>
      <w:r>
        <w:t>T</w:t>
      </w:r>
      <w:r w:rsidRPr="00F64B17">
        <w:t>h</w:t>
      </w:r>
      <w:r>
        <w:t xml:space="preserve">e </w:t>
      </w:r>
      <w:r w:rsidRPr="00F64B17">
        <w:t>report cover</w:t>
      </w:r>
      <w:r w:rsidR="00773D1F">
        <w:t>s</w:t>
      </w:r>
      <w:r w:rsidRPr="00F64B17">
        <w:t xml:space="preserve"> all works </w:t>
      </w:r>
      <w:r w:rsidR="009F0CF3">
        <w:t xml:space="preserve">for the </w:t>
      </w:r>
      <w:r w:rsidR="009F0CF3">
        <w:rPr>
          <w:rFonts w:eastAsia="Times New Roman"/>
        </w:rPr>
        <w:t xml:space="preserve">Rail Infrastructure </w:t>
      </w:r>
      <w:r w:rsidR="009F0CF3" w:rsidRPr="0004034D">
        <w:rPr>
          <w:rFonts w:eastAsia="Times New Roman"/>
        </w:rPr>
        <w:t>Works Package</w:t>
      </w:r>
      <w:r w:rsidR="009F0CF3">
        <w:rPr>
          <w:rFonts w:eastAsia="Times New Roman"/>
        </w:rPr>
        <w:t xml:space="preserve">s of </w:t>
      </w:r>
      <w:r w:rsidR="009F0CF3">
        <w:t xml:space="preserve">MTP </w:t>
      </w:r>
      <w:r w:rsidRPr="00F64B17">
        <w:t>conducted under the Planning Scheme Amendment (GC82)</w:t>
      </w:r>
      <w:r w:rsidR="00B87502">
        <w:t xml:space="preserve"> and </w:t>
      </w:r>
      <w:bookmarkStart w:id="17" w:name="_Hlk62824699"/>
      <w:r w:rsidR="00B87502">
        <w:t>associated Incorporated Document</w:t>
      </w:r>
      <w:r w:rsidRPr="00F64B17">
        <w:t xml:space="preserve"> approved and published in the Government Gazette on 26 June 2018 and the associated Melbourne Metro EMF.  </w:t>
      </w:r>
      <w:bookmarkEnd w:id="17"/>
    </w:p>
    <w:p w14:paraId="0649791E" w14:textId="7263407F" w:rsidR="00F5648A" w:rsidRDefault="00444AC3" w:rsidP="00D2493C">
      <w:pPr>
        <w:pStyle w:val="BodyText"/>
        <w:rPr>
          <w:bCs/>
        </w:rPr>
      </w:pPr>
      <w:r>
        <w:rPr>
          <w:rFonts w:eastAsia="Times New Roman"/>
          <w:bCs/>
        </w:rPr>
        <w:t>Subsequent summary audit reporting</w:t>
      </w:r>
      <w:r w:rsidR="00DA37EC">
        <w:rPr>
          <w:rFonts w:eastAsia="Times New Roman"/>
          <w:bCs/>
        </w:rPr>
        <w:t xml:space="preserve"> (including activities under the Rail Systems Work Package)</w:t>
      </w:r>
      <w:r>
        <w:rPr>
          <w:rFonts w:eastAsia="Times New Roman"/>
          <w:bCs/>
        </w:rPr>
        <w:t xml:space="preserve"> will be </w:t>
      </w:r>
      <w:r w:rsidR="00F64B17">
        <w:rPr>
          <w:rFonts w:eastAsia="Times New Roman"/>
          <w:bCs/>
        </w:rPr>
        <w:t xml:space="preserve">completed on an annual basis. </w:t>
      </w:r>
    </w:p>
    <w:p w14:paraId="4CBC61AD" w14:textId="40C77B67" w:rsidR="004661AE" w:rsidRPr="00F64B17" w:rsidRDefault="004661AE" w:rsidP="00F64B17">
      <w:pPr>
        <w:pStyle w:val="Caption"/>
        <w:rPr>
          <w:rFonts w:eastAsia="Times New Roman"/>
          <w:bCs w:val="0"/>
          <w:spacing w:val="0"/>
        </w:rPr>
      </w:pPr>
      <w:bookmarkStart w:id="18" w:name="_Ref62203440"/>
      <w:r>
        <w:t xml:space="preserve">Table </w:t>
      </w:r>
      <w:r>
        <w:fldChar w:fldCharType="begin"/>
      </w:r>
      <w:r>
        <w:instrText xml:space="preserve"> STYLEREF 1 \s </w:instrText>
      </w:r>
      <w:r>
        <w:fldChar w:fldCharType="separate"/>
      </w:r>
      <w:r w:rsidR="00E77B24">
        <w:rPr>
          <w:noProof/>
        </w:rPr>
        <w:t>0</w:t>
      </w:r>
      <w:r>
        <w:fldChar w:fldCharType="end"/>
      </w:r>
      <w:r>
        <w:noBreakHyphen/>
      </w:r>
      <w:r>
        <w:fldChar w:fldCharType="begin"/>
      </w:r>
      <w:r>
        <w:instrText xml:space="preserve"> SEQ Table \* ARABIC \s 1 </w:instrText>
      </w:r>
      <w:r>
        <w:fldChar w:fldCharType="separate"/>
      </w:r>
      <w:r w:rsidR="00E77B24">
        <w:rPr>
          <w:noProof/>
        </w:rPr>
        <w:t>2</w:t>
      </w:r>
      <w:r>
        <w:fldChar w:fldCharType="end"/>
      </w:r>
      <w:bookmarkEnd w:id="18"/>
      <w:r>
        <w:t>: IEA Audit Reports in Scope</w:t>
      </w:r>
    </w:p>
    <w:tbl>
      <w:tblPr>
        <w:tblStyle w:val="MRL"/>
        <w:tblW w:w="10065" w:type="dxa"/>
        <w:tblLayout w:type="fixed"/>
        <w:tblLook w:val="04A0" w:firstRow="1" w:lastRow="0" w:firstColumn="1" w:lastColumn="0" w:noHBand="0" w:noVBand="1"/>
      </w:tblPr>
      <w:tblGrid>
        <w:gridCol w:w="2552"/>
        <w:gridCol w:w="3260"/>
        <w:gridCol w:w="4253"/>
      </w:tblGrid>
      <w:tr w:rsidR="004661AE" w:rsidRPr="0004034D" w14:paraId="57421712" w14:textId="77777777" w:rsidTr="00E7098A">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552" w:type="dxa"/>
          </w:tcPr>
          <w:p w14:paraId="71FC12D2" w14:textId="1FC1F4ED" w:rsidR="004661AE" w:rsidRPr="0004034D" w:rsidRDefault="004661AE" w:rsidP="007B67F5">
            <w:pPr>
              <w:spacing w:before="144" w:after="144" w:line="360" w:lineRule="auto"/>
              <w:rPr>
                <w:rFonts w:eastAsia="Times New Roman"/>
                <w:color w:val="auto"/>
                <w:sz w:val="18"/>
                <w:szCs w:val="18"/>
              </w:rPr>
            </w:pPr>
            <w:r>
              <w:rPr>
                <w:rFonts w:eastAsia="Times New Roman"/>
                <w:color w:val="auto"/>
                <w:sz w:val="18"/>
                <w:szCs w:val="18"/>
              </w:rPr>
              <w:t>PACKAGE</w:t>
            </w:r>
          </w:p>
        </w:tc>
        <w:tc>
          <w:tcPr>
            <w:tcW w:w="3260" w:type="dxa"/>
          </w:tcPr>
          <w:p w14:paraId="6E6AEE7C" w14:textId="77777777" w:rsidR="004661AE" w:rsidRPr="0004034D" w:rsidRDefault="004661AE" w:rsidP="007B67F5">
            <w:pPr>
              <w:spacing w:before="144" w:after="144" w:line="360" w:lineRule="auto"/>
              <w:cnfStyle w:val="100000000000" w:firstRow="1" w:lastRow="0" w:firstColumn="0" w:lastColumn="0" w:oddVBand="0" w:evenVBand="0" w:oddHBand="0" w:evenHBand="0" w:firstRowFirstColumn="0" w:firstRowLastColumn="0" w:lastRowFirstColumn="0" w:lastRowLastColumn="0"/>
              <w:rPr>
                <w:rFonts w:eastAsia="Times New Roman"/>
                <w:color w:val="auto"/>
                <w:sz w:val="18"/>
                <w:szCs w:val="18"/>
              </w:rPr>
            </w:pPr>
            <w:r>
              <w:rPr>
                <w:rFonts w:eastAsia="Times New Roman"/>
                <w:color w:val="auto"/>
                <w:sz w:val="18"/>
                <w:szCs w:val="18"/>
              </w:rPr>
              <w:t xml:space="preserve">SCOPE </w:t>
            </w:r>
            <w:r w:rsidRPr="0004034D">
              <w:rPr>
                <w:rFonts w:eastAsia="Times New Roman"/>
                <w:color w:val="auto"/>
                <w:sz w:val="18"/>
                <w:szCs w:val="18"/>
              </w:rPr>
              <w:t xml:space="preserve"> </w:t>
            </w:r>
          </w:p>
        </w:tc>
        <w:tc>
          <w:tcPr>
            <w:tcW w:w="4253" w:type="dxa"/>
          </w:tcPr>
          <w:p w14:paraId="174BEFFA" w14:textId="77777777" w:rsidR="004661AE" w:rsidRPr="0004034D" w:rsidRDefault="004661AE" w:rsidP="007B67F5">
            <w:pPr>
              <w:pStyle w:val="TableHeader"/>
              <w:spacing w:before="144" w:after="144"/>
              <w:cnfStyle w:val="100000000000" w:firstRow="1" w:lastRow="0" w:firstColumn="0" w:lastColumn="0" w:oddVBand="0" w:evenVBand="0" w:oddHBand="0" w:evenHBand="0" w:firstRowFirstColumn="0" w:firstRowLastColumn="0" w:lastRowFirstColumn="0" w:lastRowLastColumn="0"/>
              <w:rPr>
                <w:rFonts w:eastAsia="Times New Roman"/>
                <w:color w:val="auto"/>
                <w:sz w:val="18"/>
                <w:szCs w:val="18"/>
              </w:rPr>
            </w:pPr>
            <w:r w:rsidRPr="0004034D">
              <w:rPr>
                <w:rFonts w:eastAsia="Times New Roman"/>
                <w:color w:val="auto"/>
                <w:sz w:val="18"/>
                <w:szCs w:val="18"/>
              </w:rPr>
              <w:t xml:space="preserve">Relevant IEA Reports in Scope </w:t>
            </w:r>
          </w:p>
        </w:tc>
      </w:tr>
      <w:tr w:rsidR="004661AE" w:rsidRPr="0004034D" w14:paraId="41BF14AE" w14:textId="77777777" w:rsidTr="00E70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bottom w:val="none" w:sz="0" w:space="0" w:color="auto"/>
            </w:tcBorders>
          </w:tcPr>
          <w:p w14:paraId="1D7BF1CC" w14:textId="297CEA0E" w:rsidR="004661AE" w:rsidRPr="0074674A" w:rsidRDefault="004661AE" w:rsidP="00D2493C">
            <w:r w:rsidRPr="0074674A">
              <w:t>GC82 - Rail Infrastructure Works</w:t>
            </w:r>
            <w:r w:rsidR="00EE4386">
              <w:t>, being delivered by Rail infrastructure Alliance</w:t>
            </w:r>
            <w:r w:rsidRPr="0074674A">
              <w:t xml:space="preserve"> </w:t>
            </w:r>
            <w:r w:rsidRPr="00EE4386">
              <w:t>(RIA)</w:t>
            </w:r>
          </w:p>
        </w:tc>
        <w:tc>
          <w:tcPr>
            <w:tcW w:w="3260" w:type="dxa"/>
            <w:tcBorders>
              <w:top w:val="none" w:sz="0" w:space="0" w:color="auto"/>
              <w:bottom w:val="none" w:sz="0" w:space="0" w:color="auto"/>
            </w:tcBorders>
          </w:tcPr>
          <w:p w14:paraId="36F7D3EF" w14:textId="77777777" w:rsidR="004661AE" w:rsidRPr="0074674A" w:rsidRDefault="004661AE" w:rsidP="00D2493C">
            <w:pPr>
              <w:cnfStyle w:val="000000100000" w:firstRow="0" w:lastRow="0" w:firstColumn="0" w:lastColumn="0" w:oddVBand="0" w:evenVBand="0" w:oddHBand="1" w:evenHBand="0" w:firstRowFirstColumn="0" w:firstRowLastColumn="0" w:lastRowFirstColumn="0" w:lastRowLastColumn="0"/>
            </w:pPr>
            <w:r w:rsidRPr="0074674A">
              <w:t xml:space="preserve">Publish key findings for IEA Audit reports from </w:t>
            </w:r>
            <w:r>
              <w:t>commencement of RIA works</w:t>
            </w:r>
            <w:r w:rsidRPr="0074674A">
              <w:t xml:space="preserve"> until December 2019.</w:t>
            </w:r>
          </w:p>
        </w:tc>
        <w:tc>
          <w:tcPr>
            <w:tcW w:w="4253" w:type="dxa"/>
            <w:tcBorders>
              <w:top w:val="none" w:sz="0" w:space="0" w:color="auto"/>
              <w:bottom w:val="none" w:sz="0" w:space="0" w:color="auto"/>
            </w:tcBorders>
          </w:tcPr>
          <w:p w14:paraId="5C8A53D6" w14:textId="77777777" w:rsidR="004661AE" w:rsidRPr="0074674A" w:rsidRDefault="004661AE" w:rsidP="00D2493C">
            <w:pPr>
              <w:cnfStyle w:val="000000100000" w:firstRow="0" w:lastRow="0" w:firstColumn="0" w:lastColumn="0" w:oddVBand="0" w:evenVBand="0" w:oddHBand="1" w:evenHBand="0" w:firstRowFirstColumn="0" w:firstRowLastColumn="0" w:lastRowFirstColumn="0" w:lastRowLastColumn="0"/>
            </w:pPr>
            <w:r w:rsidRPr="0074674A">
              <w:t>KPMG Audit Reports: Q4 2018, Q1 2019, Q2 2019, Q3 2019, Q4 2019</w:t>
            </w:r>
          </w:p>
        </w:tc>
      </w:tr>
      <w:tr w:rsidR="004661AE" w:rsidRPr="0004034D" w14:paraId="7C83FBAC" w14:textId="77777777" w:rsidTr="00E70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bottom w:val="none" w:sz="0" w:space="0" w:color="auto"/>
            </w:tcBorders>
          </w:tcPr>
          <w:p w14:paraId="5A892C2E" w14:textId="3CD40ED9" w:rsidR="004661AE" w:rsidRPr="0074674A" w:rsidRDefault="004661AE" w:rsidP="00D2493C">
            <w:r w:rsidRPr="0074674A">
              <w:t>GC82 - Rail Systems Works</w:t>
            </w:r>
            <w:r w:rsidR="00EE4386">
              <w:t>, being delivered by Rail Systems A</w:t>
            </w:r>
            <w:r w:rsidR="00EE4386" w:rsidRPr="006E5633">
              <w:t>lliance</w:t>
            </w:r>
            <w:r w:rsidRPr="006E5633">
              <w:t xml:space="preserve"> (RSA)</w:t>
            </w:r>
          </w:p>
        </w:tc>
        <w:tc>
          <w:tcPr>
            <w:tcW w:w="3260" w:type="dxa"/>
            <w:tcBorders>
              <w:top w:val="none" w:sz="0" w:space="0" w:color="auto"/>
              <w:bottom w:val="none" w:sz="0" w:space="0" w:color="auto"/>
            </w:tcBorders>
          </w:tcPr>
          <w:p w14:paraId="5B70B9CD" w14:textId="77777777" w:rsidR="004661AE" w:rsidRPr="0074674A" w:rsidRDefault="004661AE" w:rsidP="00D2493C">
            <w:pPr>
              <w:cnfStyle w:val="000000010000" w:firstRow="0" w:lastRow="0" w:firstColumn="0" w:lastColumn="0" w:oddVBand="0" w:evenVBand="0" w:oddHBand="0" w:evenHBand="1" w:firstRowFirstColumn="0" w:firstRowLastColumn="0" w:lastRowFirstColumn="0" w:lastRowLastColumn="0"/>
            </w:pPr>
            <w:r w:rsidRPr="0074674A">
              <w:t>Works have not commenced under GC82</w:t>
            </w:r>
          </w:p>
        </w:tc>
        <w:tc>
          <w:tcPr>
            <w:tcW w:w="4253" w:type="dxa"/>
            <w:tcBorders>
              <w:top w:val="none" w:sz="0" w:space="0" w:color="auto"/>
              <w:bottom w:val="none" w:sz="0" w:space="0" w:color="auto"/>
            </w:tcBorders>
          </w:tcPr>
          <w:p w14:paraId="0E94C631" w14:textId="77777777" w:rsidR="004661AE" w:rsidRPr="0074674A" w:rsidRDefault="004661AE" w:rsidP="00D2493C">
            <w:pPr>
              <w:cnfStyle w:val="000000010000" w:firstRow="0" w:lastRow="0" w:firstColumn="0" w:lastColumn="0" w:oddVBand="0" w:evenVBand="0" w:oddHBand="0" w:evenHBand="1" w:firstRowFirstColumn="0" w:firstRowLastColumn="0" w:lastRowFirstColumn="0" w:lastRowLastColumn="0"/>
            </w:pPr>
            <w:r w:rsidRPr="0074674A">
              <w:t>RSA has progressed design work</w:t>
            </w:r>
            <w:r>
              <w:t xml:space="preserve"> for works under </w:t>
            </w:r>
            <w:r w:rsidRPr="0074674A">
              <w:t>GC82</w:t>
            </w:r>
            <w:r>
              <w:t>,</w:t>
            </w:r>
            <w:r w:rsidRPr="0074674A">
              <w:t xml:space="preserve"> which is relevant to selected EPRs</w:t>
            </w:r>
            <w:r>
              <w:t xml:space="preserve">. However, no RSA works were audited during the period relevant to this report. </w:t>
            </w:r>
          </w:p>
        </w:tc>
      </w:tr>
    </w:tbl>
    <w:p w14:paraId="6E5AE653" w14:textId="77777777" w:rsidR="004661AE" w:rsidRPr="0004034D" w:rsidRDefault="004661AE" w:rsidP="00F64B17">
      <w:pPr>
        <w:pStyle w:val="Bullet1"/>
        <w:numPr>
          <w:ilvl w:val="0"/>
          <w:numId w:val="0"/>
        </w:numPr>
        <w:ind w:left="360" w:hanging="360"/>
        <w:rPr>
          <w:rFonts w:eastAsia="Times New Roman"/>
        </w:rPr>
      </w:pPr>
      <w:r>
        <w:rPr>
          <w:rFonts w:eastAsia="Times New Roman"/>
        </w:rPr>
        <w:t xml:space="preserve">The following Packages are </w:t>
      </w:r>
      <w:r w:rsidRPr="00F64B17">
        <w:rPr>
          <w:rFonts w:eastAsia="Times New Roman"/>
          <w:u w:val="single"/>
        </w:rPr>
        <w:t>excluded</w:t>
      </w:r>
      <w:r>
        <w:rPr>
          <w:rFonts w:eastAsia="Times New Roman"/>
        </w:rPr>
        <w:t xml:space="preserve"> from this report and will be covered in separate reports:  </w:t>
      </w:r>
    </w:p>
    <w:p w14:paraId="18E939D9" w14:textId="3C74E48A" w:rsidR="00444AC3" w:rsidRPr="004661AE" w:rsidRDefault="00AD5BFB" w:rsidP="004661AE">
      <w:pPr>
        <w:pStyle w:val="Bullet1"/>
        <w:numPr>
          <w:ilvl w:val="0"/>
          <w:numId w:val="40"/>
        </w:numPr>
        <w:rPr>
          <w:rFonts w:eastAsia="Times New Roman"/>
        </w:rPr>
      </w:pPr>
      <w:r w:rsidRPr="004661AE">
        <w:rPr>
          <w:rFonts w:eastAsia="Times New Roman"/>
        </w:rPr>
        <w:t>Tunnels and Stations Works Package, being delivered by CYP</w:t>
      </w:r>
      <w:bookmarkStart w:id="19" w:name="_Hlk61612489"/>
      <w:r w:rsidR="000A5CC4" w:rsidRPr="004661AE">
        <w:rPr>
          <w:rFonts w:eastAsia="Times New Roman"/>
        </w:rPr>
        <w:t xml:space="preserve"> (report</w:t>
      </w:r>
      <w:r w:rsidR="00F11579" w:rsidRPr="004661AE">
        <w:rPr>
          <w:rFonts w:eastAsia="Times New Roman"/>
        </w:rPr>
        <w:t xml:space="preserve"> in development</w:t>
      </w:r>
      <w:r w:rsidR="000A5CC4" w:rsidRPr="004661AE">
        <w:rPr>
          <w:rFonts w:eastAsia="Times New Roman"/>
        </w:rPr>
        <w:t xml:space="preserve">). </w:t>
      </w:r>
      <w:bookmarkEnd w:id="19"/>
    </w:p>
    <w:p w14:paraId="79BA3792" w14:textId="549F3D5A" w:rsidR="007E1723" w:rsidRPr="007E1723" w:rsidRDefault="007E1723" w:rsidP="007E1723">
      <w:pPr>
        <w:pStyle w:val="Bullet1"/>
        <w:numPr>
          <w:ilvl w:val="0"/>
          <w:numId w:val="40"/>
        </w:numPr>
        <w:rPr>
          <w:rFonts w:eastAsia="Times New Roman"/>
        </w:rPr>
      </w:pPr>
      <w:r w:rsidRPr="007E1723">
        <w:rPr>
          <w:rFonts w:eastAsia="Times New Roman"/>
        </w:rPr>
        <w:t xml:space="preserve">The Rail Systems Works Package for </w:t>
      </w:r>
      <w:r w:rsidR="004F76AE">
        <w:rPr>
          <w:rFonts w:eastAsia="Times New Roman"/>
        </w:rPr>
        <w:t>H</w:t>
      </w:r>
      <w:r w:rsidR="004F76AE" w:rsidRPr="007E1723">
        <w:rPr>
          <w:rFonts w:eastAsia="Times New Roman"/>
        </w:rPr>
        <w:t xml:space="preserve">igh </w:t>
      </w:r>
      <w:r w:rsidR="004F76AE">
        <w:rPr>
          <w:rFonts w:eastAsia="Times New Roman"/>
        </w:rPr>
        <w:t>C</w:t>
      </w:r>
      <w:r w:rsidRPr="007E1723">
        <w:rPr>
          <w:rFonts w:eastAsia="Times New Roman"/>
        </w:rPr>
        <w:t xml:space="preserve">apacity </w:t>
      </w:r>
      <w:r w:rsidR="004F76AE">
        <w:rPr>
          <w:rFonts w:eastAsia="Times New Roman"/>
        </w:rPr>
        <w:t>S</w:t>
      </w:r>
      <w:r w:rsidRPr="007E1723">
        <w:rPr>
          <w:rFonts w:eastAsia="Times New Roman"/>
        </w:rPr>
        <w:t>ignalling, rail systems integration and commissioning,</w:t>
      </w:r>
      <w:r>
        <w:rPr>
          <w:rFonts w:eastAsia="Times New Roman"/>
        </w:rPr>
        <w:t xml:space="preserve"> </w:t>
      </w:r>
      <w:r w:rsidRPr="007E1723">
        <w:rPr>
          <w:rFonts w:eastAsia="Times New Roman"/>
        </w:rPr>
        <w:t>being delivered by the RS</w:t>
      </w:r>
      <w:r w:rsidR="004F76AE">
        <w:rPr>
          <w:rFonts w:eastAsia="Times New Roman"/>
        </w:rPr>
        <w:t>A</w:t>
      </w:r>
      <w:r w:rsidR="009F5F7D">
        <w:rPr>
          <w:rFonts w:eastAsia="Times New Roman"/>
        </w:rPr>
        <w:t>, which no works ha</w:t>
      </w:r>
      <w:r w:rsidR="00AC11BC">
        <w:rPr>
          <w:rFonts w:eastAsia="Times New Roman"/>
        </w:rPr>
        <w:t>d</w:t>
      </w:r>
      <w:r w:rsidR="009F5F7D">
        <w:rPr>
          <w:rFonts w:eastAsia="Times New Roman"/>
        </w:rPr>
        <w:t xml:space="preserve"> commenced </w:t>
      </w:r>
      <w:r w:rsidR="00AC11BC">
        <w:rPr>
          <w:rFonts w:eastAsia="Times New Roman"/>
        </w:rPr>
        <w:t xml:space="preserve">during the timeframe specified within this report </w:t>
      </w:r>
      <w:r w:rsidRPr="007E1723">
        <w:rPr>
          <w:rFonts w:eastAsia="Times New Roman"/>
        </w:rPr>
        <w:t>(</w:t>
      </w:r>
      <w:r w:rsidR="00AC11BC">
        <w:rPr>
          <w:rFonts w:eastAsia="Times New Roman"/>
        </w:rPr>
        <w:t xml:space="preserve">findings </w:t>
      </w:r>
      <w:r>
        <w:rPr>
          <w:rFonts w:eastAsia="Times New Roman"/>
        </w:rPr>
        <w:t>will be included in future additions of this report</w:t>
      </w:r>
      <w:r w:rsidR="009F5F7D">
        <w:rPr>
          <w:rFonts w:eastAsia="Times New Roman"/>
        </w:rPr>
        <w:t>, combined with RIA findings</w:t>
      </w:r>
      <w:r w:rsidRPr="007E1723">
        <w:rPr>
          <w:rFonts w:eastAsia="Times New Roman"/>
        </w:rPr>
        <w:t>).</w:t>
      </w:r>
    </w:p>
    <w:p w14:paraId="145E3A29" w14:textId="6F3237DC" w:rsidR="00D6299C" w:rsidRPr="00272202" w:rsidRDefault="008731D7" w:rsidP="00116BB3">
      <w:pPr>
        <w:pStyle w:val="Heading1"/>
        <w:numPr>
          <w:ilvl w:val="0"/>
          <w:numId w:val="11"/>
        </w:numPr>
        <w:ind w:left="0" w:right="424" w:firstLine="0"/>
      </w:pPr>
      <w:bookmarkStart w:id="20" w:name="_Toc96586772"/>
      <w:r>
        <w:lastRenderedPageBreak/>
        <w:t>Environmental Management</w:t>
      </w:r>
      <w:bookmarkEnd w:id="20"/>
      <w:r>
        <w:t xml:space="preserve"> </w:t>
      </w:r>
    </w:p>
    <w:p w14:paraId="2F207A2A" w14:textId="7495F464" w:rsidR="00AD558B" w:rsidRPr="00272202" w:rsidRDefault="008731D7" w:rsidP="00AD558B">
      <w:pPr>
        <w:pStyle w:val="Heading2"/>
      </w:pPr>
      <w:bookmarkStart w:id="21" w:name="_Toc96586773"/>
      <w:r>
        <w:t>Environmental Governance Framework</w:t>
      </w:r>
      <w:bookmarkEnd w:id="21"/>
      <w:r>
        <w:t xml:space="preserve"> </w:t>
      </w:r>
    </w:p>
    <w:p w14:paraId="16D5919D" w14:textId="7D32E3C7" w:rsidR="00B87502" w:rsidRDefault="00277433" w:rsidP="00277433">
      <w:pPr>
        <w:pStyle w:val="BodyText"/>
      </w:pPr>
      <w:r>
        <w:t>An Environment Effects Statement (EES) has been prepared for the MTP and, following the statutory EES process, an Incorporated Document was approved by the Minister for Planning</w:t>
      </w:r>
      <w:r w:rsidR="00B87502">
        <w:t xml:space="preserve">, containing compliance obligations </w:t>
      </w:r>
      <w:r>
        <w:t xml:space="preserve">which must be </w:t>
      </w:r>
      <w:r w:rsidR="00B87502">
        <w:t>achieved by the Delivery Partners</w:t>
      </w:r>
      <w:r>
        <w:t xml:space="preserve">. </w:t>
      </w:r>
    </w:p>
    <w:p w14:paraId="5224AB07" w14:textId="197C473F" w:rsidR="00277433" w:rsidRDefault="00B87502" w:rsidP="00277433">
      <w:pPr>
        <w:pStyle w:val="BodyText"/>
      </w:pPr>
      <w:r>
        <w:t>E</w:t>
      </w:r>
      <w:r w:rsidR="00277433">
        <w:t xml:space="preserve">ach Delivery Partner </w:t>
      </w:r>
      <w:r>
        <w:t xml:space="preserve">is required </w:t>
      </w:r>
      <w:r w:rsidR="00277433">
        <w:t xml:space="preserve">to: </w:t>
      </w:r>
    </w:p>
    <w:p w14:paraId="63C20E5F" w14:textId="71FFD873" w:rsidR="00277433" w:rsidRDefault="00277433" w:rsidP="00277433">
      <w:pPr>
        <w:pStyle w:val="Bullet1"/>
        <w:numPr>
          <w:ilvl w:val="0"/>
          <w:numId w:val="30"/>
        </w:numPr>
      </w:pPr>
      <w:r>
        <w:t>Comply with the requirements of the Incorporated Document</w:t>
      </w:r>
      <w:r w:rsidR="00654A6F">
        <w:t xml:space="preserve"> under the </w:t>
      </w:r>
      <w:r w:rsidR="00654A6F" w:rsidRPr="00654A6F">
        <w:t xml:space="preserve">Planning Scheme Amendment (GC82) </w:t>
      </w:r>
      <w:r w:rsidR="000C37C9">
        <w:t xml:space="preserve">which </w:t>
      </w:r>
      <w:r w:rsidR="00654A6F" w:rsidRPr="00654A6F">
        <w:t>was approved and published in the Government Gazette on 26 June 2018.</w:t>
      </w:r>
    </w:p>
    <w:p w14:paraId="26AE42C2" w14:textId="13CC88C9" w:rsidR="00277433" w:rsidRDefault="00277433" w:rsidP="00277433">
      <w:pPr>
        <w:pStyle w:val="Bullet1"/>
        <w:numPr>
          <w:ilvl w:val="0"/>
          <w:numId w:val="30"/>
        </w:numPr>
      </w:pPr>
      <w:r>
        <w:t xml:space="preserve">Comply with the </w:t>
      </w:r>
      <w:r w:rsidR="007B67F5">
        <w:t xml:space="preserve">Environmental Management Framework (EMF that has </w:t>
      </w:r>
      <w:r>
        <w:t>been approved by the Minister for Planning and is published on the MTP website. Among other things, the EMF includes the E</w:t>
      </w:r>
      <w:r w:rsidR="00382179">
        <w:t>nvironmental Performance Requirements (E</w:t>
      </w:r>
      <w:r>
        <w:t>PRs</w:t>
      </w:r>
      <w:r w:rsidR="00382179">
        <w:t>)</w:t>
      </w:r>
      <w:r>
        <w:t xml:space="preserve">, the Residential Impact Mitigation Guidelines (RIMG) and the Business Support Guidelines for Construction (BSGC). </w:t>
      </w:r>
    </w:p>
    <w:p w14:paraId="0643C3B4" w14:textId="6038DFEE" w:rsidR="00277433" w:rsidRDefault="00277433" w:rsidP="00277433">
      <w:pPr>
        <w:pStyle w:val="Bullet1"/>
        <w:numPr>
          <w:ilvl w:val="0"/>
          <w:numId w:val="30"/>
        </w:numPr>
      </w:pPr>
      <w:r>
        <w:t xml:space="preserve">Comply with the EPRs, which includes a requirement to prepare plans to document the approach to compliance (noting </w:t>
      </w:r>
      <w:r w:rsidR="00AD5BFB">
        <w:t>RIA and RSA</w:t>
      </w:r>
      <w:r w:rsidR="007B67F5">
        <w:t xml:space="preserve"> will have different plans</w:t>
      </w:r>
      <w:r>
        <w:t>).</w:t>
      </w:r>
    </w:p>
    <w:p w14:paraId="1C86B20D" w14:textId="77777777" w:rsidR="00EE4386" w:rsidRDefault="00EE4386" w:rsidP="00EE4386">
      <w:pPr>
        <w:pStyle w:val="Bullet1"/>
      </w:pPr>
      <w:r>
        <w:t xml:space="preserve">Develop, implement and maintain a project-specific Environmental Management System (EMS) that meets the requirements of ISO14001:2015 Environmental Management Systems, Construction Environmental Management Plan (CEMP) and Site Environmental Implementation Plans (SEIPs) for the design and construction phases, where applicable. </w:t>
      </w:r>
    </w:p>
    <w:p w14:paraId="2E7A4595" w14:textId="77777777" w:rsidR="00277433" w:rsidRDefault="00277433" w:rsidP="00277433">
      <w:pPr>
        <w:pStyle w:val="Bullet1"/>
        <w:numPr>
          <w:ilvl w:val="0"/>
          <w:numId w:val="30"/>
        </w:numPr>
      </w:pPr>
      <w:r>
        <w:t xml:space="preserve">Develop a Community and Stakeholder Engagement Management Plan (CSEMP) consistent with the RPV CSEMP.  </w:t>
      </w:r>
    </w:p>
    <w:p w14:paraId="23CC2139" w14:textId="77777777" w:rsidR="00277433" w:rsidRDefault="00277433" w:rsidP="00277433">
      <w:pPr>
        <w:pStyle w:val="BodyText"/>
        <w:rPr>
          <w:rFonts w:ascii="Times New Roman" w:hAnsi="Times New Roman" w:cs="Times New Roman"/>
          <w:color w:val="auto"/>
          <w:sz w:val="24"/>
          <w:szCs w:val="24"/>
          <w:lang w:eastAsia="en-GB"/>
        </w:rPr>
      </w:pPr>
      <w:r>
        <w:t>The governance framework and relevant roles and responsibilities for MTP are set out in the EMF and are included in Section 3 of this Summary Report.</w:t>
      </w:r>
      <w:r>
        <w:rPr>
          <w:rFonts w:ascii="Times New Roman" w:hAnsi="Times New Roman" w:cs="Times New Roman"/>
          <w:color w:val="auto"/>
          <w:sz w:val="24"/>
          <w:szCs w:val="24"/>
          <w:lang w:eastAsia="en-GB"/>
        </w:rPr>
        <w:t xml:space="preserve"> </w:t>
      </w:r>
    </w:p>
    <w:p w14:paraId="6923551B" w14:textId="73944BC6" w:rsidR="00277433" w:rsidRDefault="00277433" w:rsidP="00277433">
      <w:pPr>
        <w:pStyle w:val="BodyText"/>
      </w:pPr>
      <w:r>
        <w:t xml:space="preserve">The governance framework for MTP is presented in </w:t>
      </w:r>
      <w:r>
        <w:fldChar w:fldCharType="begin"/>
      </w:r>
      <w:r>
        <w:instrText xml:space="preserve"> REF _Ref15894652 \h  \* MERGEFORMAT </w:instrText>
      </w:r>
      <w:r>
        <w:fldChar w:fldCharType="separate"/>
      </w:r>
      <w:r w:rsidR="00E77B24" w:rsidRPr="00331739">
        <w:t xml:space="preserve">Figure </w:t>
      </w:r>
      <w:r w:rsidR="00E77B24">
        <w:rPr>
          <w:noProof/>
        </w:rPr>
        <w:t>0</w:t>
      </w:r>
      <w:r w:rsidR="00E77B24" w:rsidRPr="00331739">
        <w:rPr>
          <w:noProof/>
        </w:rPr>
        <w:noBreakHyphen/>
      </w:r>
      <w:r w:rsidR="00E77B24">
        <w:rPr>
          <w:noProof/>
        </w:rPr>
        <w:t>1</w:t>
      </w:r>
      <w:r>
        <w:fldChar w:fldCharType="end"/>
      </w:r>
      <w:r>
        <w:t>.</w:t>
      </w:r>
    </w:p>
    <w:p w14:paraId="0B84DF01" w14:textId="64451835" w:rsidR="00277433" w:rsidRDefault="00277433" w:rsidP="0074674A">
      <w:pPr>
        <w:pStyle w:val="BodyText"/>
        <w:jc w:val="center"/>
      </w:pPr>
      <w:r>
        <w:rPr>
          <w:noProof/>
          <w:lang w:val="en-AU" w:eastAsia="en-AU"/>
        </w:rPr>
        <w:lastRenderedPageBreak/>
        <w:drawing>
          <wp:inline distT="0" distB="0" distL="0" distR="0" wp14:anchorId="29F36E75" wp14:editId="5497F2A9">
            <wp:extent cx="3324225" cy="6457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24225" cy="6457950"/>
                    </a:xfrm>
                    <a:prstGeom prst="rect">
                      <a:avLst/>
                    </a:prstGeom>
                    <a:noFill/>
                    <a:ln>
                      <a:noFill/>
                    </a:ln>
                  </pic:spPr>
                </pic:pic>
              </a:graphicData>
            </a:graphic>
          </wp:inline>
        </w:drawing>
      </w:r>
    </w:p>
    <w:p w14:paraId="5AFB81AD" w14:textId="3A8D19A5" w:rsidR="00277433" w:rsidRPr="00C01912" w:rsidRDefault="00277433" w:rsidP="004A265C">
      <w:pPr>
        <w:pStyle w:val="Caption"/>
      </w:pPr>
      <w:bookmarkStart w:id="22" w:name="_Ref15894652"/>
      <w:r w:rsidRPr="00331739">
        <w:t xml:space="preserve">Figure </w:t>
      </w:r>
      <w:r w:rsidRPr="00331739">
        <w:fldChar w:fldCharType="begin"/>
      </w:r>
      <w:r w:rsidRPr="00CB59BD">
        <w:instrText xml:space="preserve"> STYLEREF 1 \s </w:instrText>
      </w:r>
      <w:r w:rsidRPr="00331739">
        <w:fldChar w:fldCharType="separate"/>
      </w:r>
      <w:r w:rsidR="00E77B24">
        <w:rPr>
          <w:noProof/>
        </w:rPr>
        <w:t>0</w:t>
      </w:r>
      <w:r w:rsidRPr="00331739">
        <w:fldChar w:fldCharType="end"/>
      </w:r>
      <w:r w:rsidRPr="00331739">
        <w:noBreakHyphen/>
      </w:r>
      <w:r w:rsidRPr="00331739">
        <w:fldChar w:fldCharType="begin"/>
      </w:r>
      <w:r w:rsidRPr="00CB59BD">
        <w:instrText xml:space="preserve"> SEQ Figure \* ARABIC \s 1 </w:instrText>
      </w:r>
      <w:r w:rsidRPr="00331739">
        <w:fldChar w:fldCharType="separate"/>
      </w:r>
      <w:r w:rsidR="00E77B24">
        <w:rPr>
          <w:noProof/>
        </w:rPr>
        <w:t>1</w:t>
      </w:r>
      <w:r w:rsidRPr="00331739">
        <w:fldChar w:fldCharType="end"/>
      </w:r>
      <w:bookmarkEnd w:id="22"/>
      <w:r w:rsidRPr="00331739">
        <w:t xml:space="preserve"> Governance Framework</w:t>
      </w:r>
    </w:p>
    <w:p w14:paraId="7DAA9EBD" w14:textId="77777777" w:rsidR="00277433" w:rsidRPr="00CB59BD" w:rsidRDefault="00277433" w:rsidP="00D2493C">
      <w:pPr>
        <w:pStyle w:val="Heading3"/>
        <w:numPr>
          <w:ilvl w:val="2"/>
          <w:numId w:val="29"/>
        </w:numPr>
        <w:spacing w:before="240"/>
      </w:pPr>
      <w:r w:rsidRPr="00BB3BBE">
        <w:t>Environmental Management Framework</w:t>
      </w:r>
    </w:p>
    <w:p w14:paraId="1598B126" w14:textId="77777777" w:rsidR="00277433" w:rsidRPr="00CB59BD" w:rsidRDefault="00277433" w:rsidP="00277433">
      <w:pPr>
        <w:pStyle w:val="BodyText"/>
      </w:pPr>
      <w:r w:rsidRPr="00CB59BD">
        <w:t xml:space="preserve">The Incorporated Document describes the requirements of the EMF. The main elements of the EMF for the design and construction phase are: </w:t>
      </w:r>
    </w:p>
    <w:p w14:paraId="1DD0B548" w14:textId="77777777" w:rsidR="00277433" w:rsidRPr="00CB59BD" w:rsidRDefault="00277433" w:rsidP="00277433">
      <w:pPr>
        <w:pStyle w:val="Bullet1"/>
        <w:numPr>
          <w:ilvl w:val="0"/>
          <w:numId w:val="30"/>
        </w:numPr>
      </w:pPr>
      <w:r w:rsidRPr="00CB59BD">
        <w:t>Applicable legislative requirements and approvals.</w:t>
      </w:r>
    </w:p>
    <w:p w14:paraId="6AC740A7" w14:textId="77777777" w:rsidR="00277433" w:rsidRPr="00812A86" w:rsidRDefault="00277433" w:rsidP="00277433">
      <w:pPr>
        <w:pStyle w:val="Bullet1"/>
        <w:numPr>
          <w:ilvl w:val="0"/>
          <w:numId w:val="30"/>
        </w:numPr>
      </w:pPr>
      <w:r w:rsidRPr="00812A86">
        <w:t>EPRs, which address matters set out in the Incorporated Document and identified through the EES.</w:t>
      </w:r>
    </w:p>
    <w:p w14:paraId="79083B07" w14:textId="77777777" w:rsidR="00277433" w:rsidRPr="003C23B8" w:rsidRDefault="00277433" w:rsidP="00277433">
      <w:pPr>
        <w:pStyle w:val="Bullet1"/>
        <w:numPr>
          <w:ilvl w:val="0"/>
          <w:numId w:val="30"/>
        </w:numPr>
      </w:pPr>
      <w:r w:rsidRPr="003C23B8">
        <w:t>The RIMG and the BSGC.</w:t>
      </w:r>
    </w:p>
    <w:p w14:paraId="4BCD7F31" w14:textId="77777777" w:rsidR="00277433" w:rsidRPr="00331739" w:rsidRDefault="00277433" w:rsidP="00277433">
      <w:pPr>
        <w:pStyle w:val="Bullet1"/>
        <w:numPr>
          <w:ilvl w:val="0"/>
          <w:numId w:val="30"/>
        </w:numPr>
      </w:pPr>
      <w:r w:rsidRPr="001B0377">
        <w:lastRenderedPageBreak/>
        <w:t xml:space="preserve">A CEMP, together with subordinate document including SEIPs, EMS and other plans identified in the Incorporated Document and EMF. </w:t>
      </w:r>
    </w:p>
    <w:p w14:paraId="25955A30" w14:textId="09567554" w:rsidR="00277433" w:rsidRPr="00331739" w:rsidRDefault="00277433" w:rsidP="00277433">
      <w:pPr>
        <w:pStyle w:val="BodyText"/>
      </w:pPr>
      <w:r w:rsidRPr="00331739">
        <w:t xml:space="preserve">The EMF documentation is summarised in </w:t>
      </w:r>
      <w:r w:rsidRPr="00331739">
        <w:fldChar w:fldCharType="begin"/>
      </w:r>
      <w:r w:rsidRPr="00CB59BD">
        <w:instrText xml:space="preserve"> REF _Ref534982814 \h </w:instrText>
      </w:r>
      <w:r w:rsidR="00331739">
        <w:instrText xml:space="preserve"> \* MERGEFORMAT </w:instrText>
      </w:r>
      <w:r w:rsidRPr="00331739">
        <w:fldChar w:fldCharType="separate"/>
      </w:r>
      <w:r w:rsidR="00E77B24" w:rsidRPr="00331739">
        <w:t xml:space="preserve">Figure </w:t>
      </w:r>
      <w:r w:rsidR="00E77B24">
        <w:rPr>
          <w:noProof/>
        </w:rPr>
        <w:t>0</w:t>
      </w:r>
      <w:r w:rsidR="00E77B24" w:rsidRPr="00331739">
        <w:rPr>
          <w:noProof/>
        </w:rPr>
        <w:noBreakHyphen/>
      </w:r>
      <w:r w:rsidR="00E77B24">
        <w:rPr>
          <w:noProof/>
        </w:rPr>
        <w:t>2</w:t>
      </w:r>
      <w:r w:rsidRPr="00331739">
        <w:fldChar w:fldCharType="end"/>
      </w:r>
      <w:r w:rsidRPr="00331739">
        <w:t xml:space="preserve">. </w:t>
      </w:r>
    </w:p>
    <w:p w14:paraId="6DB19FAD" w14:textId="372B5F9A" w:rsidR="00277433" w:rsidRPr="00331739" w:rsidRDefault="00277433" w:rsidP="0074674A">
      <w:pPr>
        <w:pStyle w:val="BodyText"/>
        <w:jc w:val="center"/>
      </w:pPr>
      <w:r w:rsidRPr="00331739">
        <w:rPr>
          <w:noProof/>
          <w:lang w:val="en-AU" w:eastAsia="en-AU"/>
        </w:rPr>
        <w:drawing>
          <wp:inline distT="0" distB="0" distL="0" distR="0" wp14:anchorId="7AE15545" wp14:editId="5139F2FB">
            <wp:extent cx="4819650" cy="7362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9650" cy="7362825"/>
                    </a:xfrm>
                    <a:prstGeom prst="rect">
                      <a:avLst/>
                    </a:prstGeom>
                    <a:noFill/>
                    <a:ln>
                      <a:noFill/>
                    </a:ln>
                  </pic:spPr>
                </pic:pic>
              </a:graphicData>
            </a:graphic>
          </wp:inline>
        </w:drawing>
      </w:r>
    </w:p>
    <w:p w14:paraId="5247B18C" w14:textId="007DFCE0" w:rsidR="00277433" w:rsidRPr="00331739" w:rsidRDefault="00277433" w:rsidP="004A265C">
      <w:pPr>
        <w:pStyle w:val="Caption"/>
      </w:pPr>
      <w:bookmarkStart w:id="23" w:name="_Ref534982814"/>
      <w:r w:rsidRPr="00331739">
        <w:t xml:space="preserve">Figure </w:t>
      </w:r>
      <w:r w:rsidRPr="00331739">
        <w:fldChar w:fldCharType="begin"/>
      </w:r>
      <w:r w:rsidRPr="00812A86">
        <w:instrText xml:space="preserve"> STYLEREF 1 \s </w:instrText>
      </w:r>
      <w:r w:rsidRPr="00331739">
        <w:fldChar w:fldCharType="separate"/>
      </w:r>
      <w:r w:rsidR="00E77B24">
        <w:rPr>
          <w:noProof/>
        </w:rPr>
        <w:t>0</w:t>
      </w:r>
      <w:r w:rsidRPr="00331739">
        <w:fldChar w:fldCharType="end"/>
      </w:r>
      <w:r w:rsidRPr="00331739">
        <w:noBreakHyphen/>
      </w:r>
      <w:r w:rsidRPr="00331739">
        <w:fldChar w:fldCharType="begin"/>
      </w:r>
      <w:r w:rsidRPr="00812A86">
        <w:instrText xml:space="preserve"> SEQ Figure \* ARABIC \s 1 </w:instrText>
      </w:r>
      <w:r w:rsidRPr="00331739">
        <w:fldChar w:fldCharType="separate"/>
      </w:r>
      <w:r w:rsidR="00E77B24">
        <w:rPr>
          <w:noProof/>
        </w:rPr>
        <w:t>2</w:t>
      </w:r>
      <w:r w:rsidRPr="00331739">
        <w:fldChar w:fldCharType="end"/>
      </w:r>
      <w:bookmarkEnd w:id="23"/>
      <w:r w:rsidRPr="00331739">
        <w:t xml:space="preserve"> Environmental Management Framework</w:t>
      </w:r>
    </w:p>
    <w:p w14:paraId="237331E3" w14:textId="77777777" w:rsidR="00277433" w:rsidRPr="00331739" w:rsidRDefault="00277433" w:rsidP="00277433">
      <w:pPr>
        <w:pStyle w:val="BodyText"/>
      </w:pPr>
      <w:r w:rsidRPr="00331739">
        <w:t>The EMF requires that the Delivery Partners develop and implement an EMS certified to ISO 14001:2015 and consistent with relevant legislation, policy and guidelines and RPV’s Environmental Policy.</w:t>
      </w:r>
    </w:p>
    <w:p w14:paraId="154D85C5" w14:textId="29921767" w:rsidR="00277433" w:rsidRPr="00812A86" w:rsidRDefault="00277433" w:rsidP="00277433">
      <w:pPr>
        <w:pStyle w:val="BodyText"/>
      </w:pPr>
      <w:r w:rsidRPr="00C01912">
        <w:lastRenderedPageBreak/>
        <w:t>The EMF provides the governance framework to manage environmental aspects identified through the EES process, including the Minister for Planning’s</w:t>
      </w:r>
      <w:r w:rsidR="00A04F1D">
        <w:t xml:space="preserve"> a</w:t>
      </w:r>
      <w:r w:rsidRPr="00C01912">
        <w:t>ssessment, for the design, construction and operational phases of the MTP.</w:t>
      </w:r>
    </w:p>
    <w:p w14:paraId="5A1181CC" w14:textId="77777777" w:rsidR="00277433" w:rsidRPr="00812A86" w:rsidRDefault="00277433" w:rsidP="00277433">
      <w:pPr>
        <w:pStyle w:val="Heading3"/>
        <w:numPr>
          <w:ilvl w:val="2"/>
          <w:numId w:val="29"/>
        </w:numPr>
      </w:pPr>
      <w:r w:rsidRPr="00812A86">
        <w:t>Environmental Performance Requirements</w:t>
      </w:r>
    </w:p>
    <w:p w14:paraId="6CAD67E4" w14:textId="77777777" w:rsidR="00277433" w:rsidRPr="00812A86" w:rsidRDefault="00277433" w:rsidP="00277433">
      <w:pPr>
        <w:pStyle w:val="BodyText"/>
      </w:pPr>
      <w:r w:rsidRPr="00812A86">
        <w:t xml:space="preserve">EPRs have been developed through the EES and associated consultation processes, and to reflect the Minister for Planning’s assessment of the EES and the requirements of the Incorporated Document.  </w:t>
      </w:r>
    </w:p>
    <w:p w14:paraId="53778E89" w14:textId="4C67063B" w:rsidR="00277433" w:rsidRPr="00331739" w:rsidRDefault="00277433" w:rsidP="00277433">
      <w:pPr>
        <w:pStyle w:val="BodyText"/>
      </w:pPr>
      <w:r w:rsidRPr="003C23B8">
        <w:t>MTP</w:t>
      </w:r>
      <w:r w:rsidR="00F24597">
        <w:t xml:space="preserve"> is required to be delivered in </w:t>
      </w:r>
      <w:r w:rsidRPr="003C23B8">
        <w:t>accordance with approved EPRs that define the project-wide environmental outcomes that must be achieved during design, construction and operation of MTP</w:t>
      </w:r>
      <w:r w:rsidR="00382179">
        <w:t xml:space="preserve">. </w:t>
      </w:r>
      <w:r w:rsidRPr="003C23B8">
        <w:t>This performance-based approach allows for a delive</w:t>
      </w:r>
      <w:r w:rsidRPr="001B0377">
        <w:t>ry model with sufficient flexibility to encourage innovation by the private sector to determine how any recommended EPRs would be achieved.</w:t>
      </w:r>
    </w:p>
    <w:p w14:paraId="2CA40F96" w14:textId="2766D4DC" w:rsidR="00277433" w:rsidRPr="00BB3BBE" w:rsidRDefault="00277433" w:rsidP="00277433">
      <w:pPr>
        <w:pStyle w:val="BodyText"/>
      </w:pPr>
      <w:r w:rsidRPr="00331739">
        <w:t>The EES presented a risk-based assessment of environmental effects of the MTP, in accordance with the EES Scoping Requirements. Potential mitigation measures were typically included in the EES as examples of how an environmental effect could be mitigated and to illustrate how an EPR could be im</w:t>
      </w:r>
      <w:r w:rsidRPr="00BB3BBE">
        <w:t>plemented. However, the EES generally did not mandate or commit to a particular mitigation or management outcome. In the same manner, the EPRs do not typically mandate or require a particular mitigation or management solution. Instead, the EPRs are implemented by applying a</w:t>
      </w:r>
      <w:r w:rsidR="00382179">
        <w:t>n</w:t>
      </w:r>
      <w:r w:rsidRPr="00BB3BBE">
        <w:t xml:space="preserve"> assessment of the nature and extent of the relevant environmental effects, and the most practicable means of mitigating and managing those effects. This method is used so that the management and mitigation measures implemented are proportional to the effect they are designed to address and achieve the outcome prescribed by the EPR.  </w:t>
      </w:r>
    </w:p>
    <w:p w14:paraId="2CF6C3F6" w14:textId="77777777" w:rsidR="00277433" w:rsidRPr="00812A86" w:rsidRDefault="00277433" w:rsidP="00277433">
      <w:pPr>
        <w:pStyle w:val="BodyText"/>
      </w:pPr>
      <w:r w:rsidRPr="00812A86">
        <w:t xml:space="preserve">The Incorporated Document requires that the MTP is constructed and operated in accordance with the EPRs approved by the Minister for Planning. Each Delivery Partner is to comply with the EPRs and prepare necessary plans prior to commencement of their scope of work to document the approach to compliance with each EPR. </w:t>
      </w:r>
    </w:p>
    <w:p w14:paraId="11C87F60" w14:textId="77777777" w:rsidR="00277433" w:rsidRPr="00812A86" w:rsidRDefault="00277433" w:rsidP="00277433">
      <w:pPr>
        <w:pStyle w:val="Heading3"/>
        <w:numPr>
          <w:ilvl w:val="2"/>
          <w:numId w:val="29"/>
        </w:numPr>
      </w:pPr>
      <w:r w:rsidRPr="00812A86">
        <w:t>Associated Management Plans</w:t>
      </w:r>
    </w:p>
    <w:p w14:paraId="53CB3288" w14:textId="77777777" w:rsidR="00277433" w:rsidRDefault="00277433" w:rsidP="00277433">
      <w:pPr>
        <w:pStyle w:val="BodyText"/>
      </w:pPr>
      <w:r w:rsidRPr="003C23B8">
        <w:t>RPV together with the Delivery Partners (as relevant) prepared plans to comply with the approval requirements in the</w:t>
      </w:r>
      <w:r w:rsidRPr="001B0377">
        <w:t xml:space="preserve"> Incorporated Document. RPV and the Delivery Partners developed and implemented these management plans and programs in accordance with the processes detailed in the EMF.</w:t>
      </w:r>
    </w:p>
    <w:p w14:paraId="11BF1404" w14:textId="648DD28C" w:rsidR="00004F85" w:rsidRPr="00272202" w:rsidRDefault="00004F85" w:rsidP="00004F85">
      <w:pPr>
        <w:pStyle w:val="Heading2"/>
      </w:pPr>
      <w:bookmarkStart w:id="24" w:name="_Toc96586774"/>
      <w:r>
        <w:t xml:space="preserve">Roles and </w:t>
      </w:r>
      <w:r w:rsidR="007E0ECA">
        <w:t>Responsibilities</w:t>
      </w:r>
      <w:bookmarkEnd w:id="24"/>
      <w:r w:rsidR="007E0ECA">
        <w:t xml:space="preserve"> </w:t>
      </w:r>
    </w:p>
    <w:p w14:paraId="16F51D1C" w14:textId="6F326C62" w:rsidR="00C01912" w:rsidRDefault="00C01912" w:rsidP="00C01912">
      <w:pPr>
        <w:pStyle w:val="Heading3"/>
        <w:numPr>
          <w:ilvl w:val="2"/>
          <w:numId w:val="29"/>
        </w:numPr>
      </w:pPr>
      <w:r>
        <w:t xml:space="preserve">Rail Projects </w:t>
      </w:r>
      <w:r w:rsidR="00C94E30">
        <w:t>Victora</w:t>
      </w:r>
    </w:p>
    <w:p w14:paraId="546A81E7" w14:textId="1941CD15" w:rsidR="00C01912" w:rsidRDefault="00C01912" w:rsidP="00C01912">
      <w:pPr>
        <w:pStyle w:val="BodyText"/>
      </w:pPr>
      <w:r>
        <w:t>RPV, on behalf of the Victorian Government, is responsible for delivering MTP in line with the requirements and objectives of DoT and the Victorian Government. RPV forms part of the MTIA, which is responsible for facilitating the development and delivery of the biggest transport infrastructure program in Victorian history.</w:t>
      </w:r>
    </w:p>
    <w:p w14:paraId="150666BE" w14:textId="77777777" w:rsidR="00C01912" w:rsidRDefault="00C01912" w:rsidP="00C01912">
      <w:pPr>
        <w:pStyle w:val="BodyText"/>
      </w:pPr>
      <w:r>
        <w:t xml:space="preserve">The key roles and responsibilities of RPV for the MTP are set out in the EMF and include:  </w:t>
      </w:r>
    </w:p>
    <w:p w14:paraId="31A0491D" w14:textId="77777777" w:rsidR="00C01912" w:rsidRDefault="00C01912" w:rsidP="00C01912">
      <w:pPr>
        <w:pStyle w:val="Bullet1"/>
        <w:numPr>
          <w:ilvl w:val="0"/>
          <w:numId w:val="30"/>
        </w:numPr>
      </w:pPr>
      <w:r>
        <w:t xml:space="preserve">Obtain applicable principal statutory approvals including the Planning Scheme Amendment (PSA), Cultural Heritage Management Plan (CHMP) and some heritage permits, where it is more appropriate for RPV to seek these consents.  </w:t>
      </w:r>
    </w:p>
    <w:p w14:paraId="6D2198F3" w14:textId="77777777" w:rsidR="00C01912" w:rsidRDefault="00C01912" w:rsidP="00C01912">
      <w:pPr>
        <w:pStyle w:val="Bullet1"/>
        <w:numPr>
          <w:ilvl w:val="0"/>
          <w:numId w:val="30"/>
        </w:numPr>
      </w:pPr>
      <w:r>
        <w:t xml:space="preserve">Establish the EMF, including the RIMG and the BSGC for approval by the Minister for Planning as required by the Incorporated Document. </w:t>
      </w:r>
    </w:p>
    <w:p w14:paraId="3CF5A40E" w14:textId="7DE0BBC8" w:rsidR="00C01912" w:rsidRDefault="00C01912" w:rsidP="00C01912">
      <w:pPr>
        <w:pStyle w:val="Bullet1"/>
        <w:numPr>
          <w:ilvl w:val="0"/>
          <w:numId w:val="30"/>
        </w:numPr>
      </w:pPr>
      <w:r>
        <w:t>Establish the U</w:t>
      </w:r>
      <w:r w:rsidR="00C8320A">
        <w:t xml:space="preserve">rban </w:t>
      </w:r>
      <w:r>
        <w:t>D</w:t>
      </w:r>
      <w:r w:rsidR="00C8320A">
        <w:t xml:space="preserve">esign </w:t>
      </w:r>
      <w:r>
        <w:t>S</w:t>
      </w:r>
      <w:r w:rsidR="00C8320A">
        <w:t>trategy (UDS)</w:t>
      </w:r>
      <w:r>
        <w:t xml:space="preserve"> and the CSEMF for approval by the Minister for Planning, as required by the Incorporated Document and EPRs.</w:t>
      </w:r>
    </w:p>
    <w:p w14:paraId="36A377A4" w14:textId="77777777" w:rsidR="00C01912" w:rsidRDefault="00C01912" w:rsidP="00C01912">
      <w:pPr>
        <w:pStyle w:val="Bullet1"/>
        <w:numPr>
          <w:ilvl w:val="0"/>
          <w:numId w:val="30"/>
        </w:numPr>
      </w:pPr>
      <w:r>
        <w:lastRenderedPageBreak/>
        <w:t>Develop and implement the RPV EMS, in accordance with ISO 14001:2015.</w:t>
      </w:r>
    </w:p>
    <w:p w14:paraId="38319E27" w14:textId="77777777" w:rsidR="00C01912" w:rsidRDefault="00C01912" w:rsidP="00C01912">
      <w:pPr>
        <w:pStyle w:val="Bullet1"/>
        <w:numPr>
          <w:ilvl w:val="0"/>
          <w:numId w:val="30"/>
        </w:numPr>
      </w:pPr>
      <w:r>
        <w:t>Monitor compliance with the EPRs across all Project Contracts and comply with the EPRs applicable to RPV.</w:t>
      </w:r>
    </w:p>
    <w:p w14:paraId="628D1442" w14:textId="1B9DBCD1" w:rsidR="00C01912" w:rsidRDefault="00C01912" w:rsidP="00C01912">
      <w:pPr>
        <w:pStyle w:val="Bullet1"/>
        <w:numPr>
          <w:ilvl w:val="0"/>
          <w:numId w:val="30"/>
        </w:numPr>
      </w:pPr>
      <w:r>
        <w:t xml:space="preserve">Together with each Delivery Partner for each of the Project Contracts, develop and submit the </w:t>
      </w:r>
      <w:r w:rsidR="00382179">
        <w:t xml:space="preserve">requisite </w:t>
      </w:r>
      <w:r>
        <w:t xml:space="preserve">plans to comply with the Incorporated Document and the EMF. </w:t>
      </w:r>
    </w:p>
    <w:p w14:paraId="594F1CDD" w14:textId="30DFD2CA" w:rsidR="00C01912" w:rsidRDefault="00C01912" w:rsidP="00C01912">
      <w:pPr>
        <w:pStyle w:val="Bullet1"/>
        <w:numPr>
          <w:ilvl w:val="0"/>
          <w:numId w:val="30"/>
        </w:numPr>
      </w:pPr>
      <w:r>
        <w:t xml:space="preserve">Review and approve contract documentation for each Project Contract in accordance with the EMF, including the CEMPs, SEIPs, Transport Management Plans, </w:t>
      </w:r>
      <w:r w:rsidR="00A81B96">
        <w:t>B</w:t>
      </w:r>
      <w:r w:rsidR="00431F8C">
        <w:t xml:space="preserve">usiness </w:t>
      </w:r>
      <w:r w:rsidR="00A81B96">
        <w:t>D</w:t>
      </w:r>
      <w:r w:rsidR="00431F8C">
        <w:t xml:space="preserve">isruption </w:t>
      </w:r>
      <w:r w:rsidR="00A81B96">
        <w:t>P</w:t>
      </w:r>
      <w:r w:rsidR="00431F8C">
        <w:t>lan</w:t>
      </w:r>
      <w:r w:rsidR="00A81B96">
        <w:t>s</w:t>
      </w:r>
      <w:r w:rsidR="00431F8C">
        <w:t xml:space="preserve"> (BDPs)</w:t>
      </w:r>
      <w:r>
        <w:t xml:space="preserve"> and Construction Noise and Vibration Management Plans</w:t>
      </w:r>
      <w:r w:rsidR="00735561">
        <w:t xml:space="preserve"> (CNVMP)</w:t>
      </w:r>
      <w:r>
        <w:t xml:space="preserve"> as required by the Incorporated Document. </w:t>
      </w:r>
    </w:p>
    <w:p w14:paraId="4B1331E9" w14:textId="77777777" w:rsidR="00C01912" w:rsidRDefault="00C01912" w:rsidP="00C01912">
      <w:pPr>
        <w:pStyle w:val="Bullet1"/>
        <w:numPr>
          <w:ilvl w:val="0"/>
          <w:numId w:val="30"/>
        </w:numPr>
      </w:pPr>
      <w:r>
        <w:t xml:space="preserve">Review the CSEMP for each Project Contract. </w:t>
      </w:r>
    </w:p>
    <w:p w14:paraId="3A6E9980" w14:textId="77777777" w:rsidR="00C01912" w:rsidRDefault="00C01912" w:rsidP="00C01912">
      <w:pPr>
        <w:pStyle w:val="Bullet1"/>
        <w:numPr>
          <w:ilvl w:val="0"/>
          <w:numId w:val="30"/>
        </w:numPr>
      </w:pPr>
      <w:r>
        <w:t xml:space="preserve">Prior to commencement of work, verify that the Delivery Partner has complied with the relevant EPRs. </w:t>
      </w:r>
    </w:p>
    <w:p w14:paraId="26800709" w14:textId="0D61609E" w:rsidR="0016019C" w:rsidRDefault="00C01912" w:rsidP="00D2493C">
      <w:pPr>
        <w:pStyle w:val="Bullet1"/>
      </w:pPr>
      <w:r>
        <w:t xml:space="preserve">Review the </w:t>
      </w:r>
      <w:r w:rsidR="00382179">
        <w:t xml:space="preserve">Delivery Partner’s </w:t>
      </w:r>
      <w:r>
        <w:t>performance against the approved EPRs and take corrective action as necessary.</w:t>
      </w:r>
    </w:p>
    <w:p w14:paraId="62F036E5" w14:textId="1C55035F" w:rsidR="00382179" w:rsidRDefault="00382179" w:rsidP="009626AB">
      <w:pPr>
        <w:pStyle w:val="Bullet1"/>
      </w:pPr>
      <w:r>
        <w:t>Commission the Independent Environmental Auditor to determine Delivery Partner compliance with the EMF, EPRs and relevant Delivery Partner Management</w:t>
      </w:r>
      <w:r w:rsidR="00DA37EC">
        <w:t>.</w:t>
      </w:r>
    </w:p>
    <w:p w14:paraId="66FF9588" w14:textId="77777777" w:rsidR="00C01912" w:rsidRDefault="00C01912" w:rsidP="00D2493C">
      <w:pPr>
        <w:pStyle w:val="Heading3"/>
        <w:numPr>
          <w:ilvl w:val="2"/>
          <w:numId w:val="29"/>
        </w:numPr>
        <w:spacing w:before="240"/>
      </w:pPr>
      <w:r>
        <w:t>Delivery Partners</w:t>
      </w:r>
    </w:p>
    <w:p w14:paraId="761878B7" w14:textId="77777777" w:rsidR="00C01912" w:rsidRDefault="00C01912" w:rsidP="00C01912">
      <w:pPr>
        <w:pStyle w:val="BodyText"/>
      </w:pPr>
      <w:r>
        <w:t xml:space="preserve">Construction of MTP is being delivered by RPV on behalf of the Victorian Government in partnerships with contracted Delivery Partners. The key roles and responsibilities of each Delivery Partner for the MTP are set out in the EMF and the contractual obligations and include: </w:t>
      </w:r>
    </w:p>
    <w:p w14:paraId="23DBFD6B" w14:textId="77777777" w:rsidR="00C01912" w:rsidRDefault="00C01912" w:rsidP="00C01912">
      <w:pPr>
        <w:pStyle w:val="Bullet1"/>
        <w:numPr>
          <w:ilvl w:val="0"/>
          <w:numId w:val="30"/>
        </w:numPr>
      </w:pPr>
      <w:r>
        <w:t xml:space="preserve">Comply with the EMF (including the EPRs, RIMG, BSGC and CSEMF), legislative and approval requirements.  </w:t>
      </w:r>
    </w:p>
    <w:p w14:paraId="4995ABF1" w14:textId="77777777" w:rsidR="00C01912" w:rsidRDefault="00C01912" w:rsidP="00C01912">
      <w:pPr>
        <w:pStyle w:val="Bullet1"/>
        <w:numPr>
          <w:ilvl w:val="0"/>
          <w:numId w:val="30"/>
        </w:numPr>
      </w:pPr>
      <w:r>
        <w:t xml:space="preserve">Obtain any additional permits from regulatory authorities (other than the approvals that would be obtained by or jointly with RPV). </w:t>
      </w:r>
    </w:p>
    <w:p w14:paraId="0DF20DA0" w14:textId="046F0ABD" w:rsidR="00C01912" w:rsidRDefault="00C01912" w:rsidP="00C01912">
      <w:pPr>
        <w:pStyle w:val="Bullet1"/>
        <w:numPr>
          <w:ilvl w:val="0"/>
          <w:numId w:val="30"/>
        </w:numPr>
      </w:pPr>
      <w:r>
        <w:t xml:space="preserve">Develop and implement a project specific EMS or apply their existing EMS to the specific activities for the MTP, that is certified to ISO 14001:2015. </w:t>
      </w:r>
    </w:p>
    <w:p w14:paraId="1A017B22" w14:textId="45CE6A68" w:rsidR="00C01912" w:rsidRDefault="00C01912" w:rsidP="00C01912">
      <w:pPr>
        <w:pStyle w:val="Bullet1"/>
        <w:numPr>
          <w:ilvl w:val="0"/>
          <w:numId w:val="30"/>
        </w:numPr>
      </w:pPr>
      <w:r>
        <w:t>Prepare a CEMP, SEIPs and associated work method statements</w:t>
      </w:r>
      <w:r w:rsidR="00F2793B">
        <w:t xml:space="preserve"> (WMS)</w:t>
      </w:r>
      <w:r>
        <w:t xml:space="preserve">, and other plans required by the Incorporated Document, EPRs or Project Contracts. </w:t>
      </w:r>
    </w:p>
    <w:p w14:paraId="45DD902F" w14:textId="77777777" w:rsidR="00C01912" w:rsidRDefault="00C01912" w:rsidP="00C01912">
      <w:pPr>
        <w:pStyle w:val="Bullet1"/>
        <w:numPr>
          <w:ilvl w:val="0"/>
          <w:numId w:val="30"/>
        </w:numPr>
      </w:pPr>
      <w:r>
        <w:t xml:space="preserve">Develop a CSEMP consistent with RPV’s CSEMF approved by the Minister for Planning in accordance with EPR SC3. </w:t>
      </w:r>
    </w:p>
    <w:p w14:paraId="5FF123D4" w14:textId="77777777" w:rsidR="00C01912" w:rsidRDefault="00C01912" w:rsidP="00C01912">
      <w:pPr>
        <w:pStyle w:val="Bullet1"/>
        <w:numPr>
          <w:ilvl w:val="0"/>
          <w:numId w:val="30"/>
        </w:numPr>
      </w:pPr>
      <w:r>
        <w:t xml:space="preserve">Provide adequate resources to establish, implement, maintain and improve the CEMP, SEIPs and the EMS.  </w:t>
      </w:r>
    </w:p>
    <w:p w14:paraId="40F8642B" w14:textId="77777777" w:rsidR="00C01912" w:rsidRDefault="00C01912" w:rsidP="00C01912">
      <w:pPr>
        <w:pStyle w:val="Bullet1"/>
        <w:numPr>
          <w:ilvl w:val="0"/>
          <w:numId w:val="30"/>
        </w:numPr>
      </w:pPr>
      <w:r>
        <w:t xml:space="preserve">Implement and maintain compliance with the EPRs. </w:t>
      </w:r>
    </w:p>
    <w:p w14:paraId="14278B88" w14:textId="77777777" w:rsidR="00C01912" w:rsidRDefault="00C01912" w:rsidP="00C01912">
      <w:pPr>
        <w:pStyle w:val="Bullet1"/>
        <w:numPr>
          <w:ilvl w:val="0"/>
          <w:numId w:val="30"/>
        </w:numPr>
      </w:pPr>
      <w:r>
        <w:t xml:space="preserve">Undertake environmental audits to confirm compliance with the EMF, EPRs and plans required by the Incorporated Document. </w:t>
      </w:r>
    </w:p>
    <w:p w14:paraId="4C20A5F0" w14:textId="77777777" w:rsidR="00C01912" w:rsidRDefault="00C01912" w:rsidP="00C01912">
      <w:pPr>
        <w:pStyle w:val="Bullet1"/>
        <w:numPr>
          <w:ilvl w:val="0"/>
          <w:numId w:val="30"/>
        </w:numPr>
      </w:pPr>
      <w:r>
        <w:t xml:space="preserve">Prior to commencement of work, ensure that all sub-contractors have complied with the relevant EPRs, CEMP and plans required to comply with the EPRs and Incorporated Document, where relevant. </w:t>
      </w:r>
    </w:p>
    <w:p w14:paraId="1B8AD79C" w14:textId="77777777" w:rsidR="00C01912" w:rsidRDefault="00C01912" w:rsidP="00C01912">
      <w:pPr>
        <w:pStyle w:val="Bullet1"/>
        <w:numPr>
          <w:ilvl w:val="0"/>
          <w:numId w:val="30"/>
        </w:numPr>
      </w:pPr>
      <w:r>
        <w:t xml:space="preserve">Review of sub-contractor’s performance against the EPRs and CEMP and take corrective action as necessary. </w:t>
      </w:r>
    </w:p>
    <w:p w14:paraId="53696E8B" w14:textId="77777777" w:rsidR="00487A06" w:rsidRDefault="00487A06" w:rsidP="007E6622">
      <w:pPr>
        <w:pStyle w:val="Bullet1"/>
        <w:numPr>
          <w:ilvl w:val="0"/>
          <w:numId w:val="0"/>
        </w:numPr>
      </w:pPr>
    </w:p>
    <w:p w14:paraId="5C762FE1" w14:textId="77777777" w:rsidR="00C01912" w:rsidRDefault="00C01912" w:rsidP="00D2493C">
      <w:pPr>
        <w:pStyle w:val="Heading3"/>
        <w:numPr>
          <w:ilvl w:val="2"/>
          <w:numId w:val="29"/>
        </w:numPr>
        <w:spacing w:before="240"/>
      </w:pPr>
      <w:r>
        <w:lastRenderedPageBreak/>
        <w:t>Independent Environmental Auditor</w:t>
      </w:r>
    </w:p>
    <w:p w14:paraId="51854F92" w14:textId="223C0A5E" w:rsidR="004661AE" w:rsidRDefault="004661AE" w:rsidP="00C01912">
      <w:pPr>
        <w:pStyle w:val="BodyText"/>
      </w:pPr>
      <w:r>
        <w:t>The IEA undertakes environmental audits of compliance with plans required to comply with the EPRs and Incorporated Document prior to implementation, as well as during project activities, to verify compliance with the EMF, EPRs, environmental management plans and approval requirements. This also includes investigations into trends in complaints, by topic or on a random basis.</w:t>
      </w:r>
    </w:p>
    <w:p w14:paraId="024A7DEB" w14:textId="77777777" w:rsidR="004661AE" w:rsidRDefault="004661AE" w:rsidP="00F015E1">
      <w:pPr>
        <w:pStyle w:val="BodyText"/>
      </w:pPr>
      <w:r>
        <w:t xml:space="preserve">The key roles and responsibilities of the IEA during the Main Works Packages, as specified in the EMF, are:  </w:t>
      </w:r>
    </w:p>
    <w:p w14:paraId="7ECD46BB" w14:textId="74668253" w:rsidR="004661AE" w:rsidRDefault="004661AE" w:rsidP="004661AE">
      <w:pPr>
        <w:pStyle w:val="BodyText"/>
        <w:numPr>
          <w:ilvl w:val="0"/>
          <w:numId w:val="53"/>
        </w:numPr>
      </w:pPr>
      <w:r>
        <w:t>Prior to commencement of work, verify that the Delivery Partner has complied with the relevant EPRs, the EMF and the Incorporated Document, by reviewing management plans required by the EPRs</w:t>
      </w:r>
      <w:r w:rsidR="00EE4386">
        <w:t>.</w:t>
      </w:r>
      <w:r>
        <w:t xml:space="preserve"> . </w:t>
      </w:r>
    </w:p>
    <w:p w14:paraId="241F7424" w14:textId="77777777" w:rsidR="004661AE" w:rsidRDefault="004661AE" w:rsidP="004661AE">
      <w:pPr>
        <w:pStyle w:val="Bullet1"/>
        <w:numPr>
          <w:ilvl w:val="0"/>
          <w:numId w:val="53"/>
        </w:numPr>
      </w:pPr>
      <w:r>
        <w:t xml:space="preserve">Conduct audits of the Delivery Partner’s works to assess compliance with the CEMP, EMF, EPRs and plans required by the EPRs and Incorporated Document. </w:t>
      </w:r>
    </w:p>
    <w:p w14:paraId="68BA7D9F" w14:textId="496B8272" w:rsidR="004661AE" w:rsidRPr="004661AE" w:rsidRDefault="004661AE" w:rsidP="004661AE">
      <w:pPr>
        <w:pStyle w:val="Bullet1"/>
        <w:numPr>
          <w:ilvl w:val="0"/>
          <w:numId w:val="53"/>
        </w:numPr>
      </w:pPr>
      <w:r>
        <w:t>Prepare audit reports containing the results of audits.</w:t>
      </w:r>
    </w:p>
    <w:p w14:paraId="43D40BA7" w14:textId="2007DD1E" w:rsidR="004661AE" w:rsidRPr="00E7098A" w:rsidRDefault="004661AE" w:rsidP="004661AE">
      <w:pPr>
        <w:pStyle w:val="Bullet1"/>
        <w:numPr>
          <w:ilvl w:val="0"/>
          <w:numId w:val="53"/>
        </w:numPr>
      </w:pPr>
      <w:r w:rsidRPr="00E7098A">
        <w:t>Review complaints which may highlight instances of non-conformance with applicable EPRs.</w:t>
      </w:r>
    </w:p>
    <w:p w14:paraId="145E3A2C" w14:textId="77777777" w:rsidR="00D6299C" w:rsidRDefault="00D6299C" w:rsidP="00D6299C">
      <w:pPr>
        <w:pStyle w:val="BodyText"/>
      </w:pPr>
      <w:r>
        <w:br w:type="page"/>
      </w:r>
    </w:p>
    <w:p w14:paraId="145E3A2D" w14:textId="003902E3" w:rsidR="00D6299C" w:rsidRDefault="007027EF" w:rsidP="00116BB3">
      <w:pPr>
        <w:pStyle w:val="Heading1"/>
        <w:numPr>
          <w:ilvl w:val="0"/>
          <w:numId w:val="11"/>
        </w:numPr>
        <w:ind w:left="0" w:right="141" w:firstLine="0"/>
      </w:pPr>
      <w:bookmarkStart w:id="25" w:name="_Toc96586775"/>
      <w:r>
        <w:lastRenderedPageBreak/>
        <w:t xml:space="preserve">Conduct of Audits </w:t>
      </w:r>
      <w:bookmarkEnd w:id="25"/>
    </w:p>
    <w:p w14:paraId="3AEE6D37" w14:textId="2C3C52F2" w:rsidR="00AD558B" w:rsidRDefault="005021F0" w:rsidP="00AD558B">
      <w:pPr>
        <w:pStyle w:val="Heading2"/>
      </w:pPr>
      <w:bookmarkStart w:id="26" w:name="_Toc96586776"/>
      <w:r>
        <w:t xml:space="preserve">IEA </w:t>
      </w:r>
      <w:r w:rsidR="007027EF">
        <w:t>Audit Requ</w:t>
      </w:r>
      <w:r w:rsidR="00572768">
        <w:t>irements</w:t>
      </w:r>
      <w:bookmarkEnd w:id="26"/>
    </w:p>
    <w:p w14:paraId="26F69157" w14:textId="531769A2" w:rsidR="00630413" w:rsidRDefault="00630413" w:rsidP="003C23B8">
      <w:pPr>
        <w:pStyle w:val="BodyText"/>
      </w:pPr>
      <w:r>
        <w:t xml:space="preserve">RPV </w:t>
      </w:r>
      <w:r w:rsidR="009F0CF3">
        <w:t xml:space="preserve">is </w:t>
      </w:r>
      <w:r>
        <w:t xml:space="preserve">responsible for engaging an IEA for each of the RIA and RSA contracts. </w:t>
      </w:r>
    </w:p>
    <w:p w14:paraId="471D68FB" w14:textId="16CDAE9D" w:rsidR="003C23B8" w:rsidRDefault="003C23B8" w:rsidP="003C23B8">
      <w:pPr>
        <w:pStyle w:val="BodyText"/>
      </w:pPr>
      <w:r>
        <w:fldChar w:fldCharType="begin"/>
      </w:r>
      <w:r>
        <w:instrText xml:space="preserve"> REF _Ref15900747 \h </w:instrText>
      </w:r>
      <w:r>
        <w:fldChar w:fldCharType="separate"/>
      </w:r>
      <w:r w:rsidR="00E77B24" w:rsidRPr="00AD5BFB">
        <w:t xml:space="preserve">Table </w:t>
      </w:r>
      <w:r w:rsidR="00E77B24">
        <w:rPr>
          <w:noProof/>
        </w:rPr>
        <w:t>0</w:t>
      </w:r>
      <w:r w:rsidR="00E77B24" w:rsidRPr="00AD5BFB">
        <w:noBreakHyphen/>
      </w:r>
      <w:r w:rsidR="00E77B24">
        <w:rPr>
          <w:noProof/>
        </w:rPr>
        <w:t>1</w:t>
      </w:r>
      <w:r>
        <w:fldChar w:fldCharType="end"/>
      </w:r>
      <w:r>
        <w:t xml:space="preserve"> presents the IEA</w:t>
      </w:r>
      <w:r w:rsidR="00B87502">
        <w:t xml:space="preserve">’s </w:t>
      </w:r>
      <w:r w:rsidR="00EA18AF">
        <w:t xml:space="preserve">appointed by </w:t>
      </w:r>
      <w:r w:rsidR="00630413">
        <w:t>RPV</w:t>
      </w:r>
      <w:r>
        <w:t>.</w:t>
      </w:r>
      <w:r w:rsidR="00A016DB">
        <w:t xml:space="preserve"> </w:t>
      </w:r>
      <w:r w:rsidR="00EA18AF">
        <w:t xml:space="preserve">Given </w:t>
      </w:r>
      <w:r w:rsidR="00A016DB">
        <w:t xml:space="preserve">no works were completed </w:t>
      </w:r>
      <w:r w:rsidR="00EA18AF">
        <w:t xml:space="preserve">for the </w:t>
      </w:r>
      <w:r w:rsidR="00A016DB">
        <w:t>Rail Systems Works Package</w:t>
      </w:r>
      <w:r w:rsidR="00EA18AF">
        <w:t xml:space="preserve"> during the scope of this report</w:t>
      </w:r>
      <w:r w:rsidR="00A016DB">
        <w:t xml:space="preserve">, </w:t>
      </w:r>
      <w:r w:rsidR="00EA18AF">
        <w:t xml:space="preserve">there is no further commentary relevant to RSA. </w:t>
      </w:r>
    </w:p>
    <w:p w14:paraId="4E514671" w14:textId="714917FD" w:rsidR="003C23B8" w:rsidRPr="00AD5BFB" w:rsidRDefault="003C23B8" w:rsidP="003C23B8">
      <w:pPr>
        <w:pStyle w:val="Caption"/>
      </w:pPr>
      <w:bookmarkStart w:id="27" w:name="_Ref15900747"/>
      <w:bookmarkStart w:id="28" w:name="_Ref15900723"/>
      <w:r w:rsidRPr="00AD5BFB">
        <w:t xml:space="preserve">Table </w:t>
      </w:r>
      <w:r w:rsidR="00F64B17" w:rsidRPr="00AD5BFB">
        <w:fldChar w:fldCharType="begin"/>
      </w:r>
      <w:r w:rsidR="00F64B17" w:rsidRPr="00AD5BFB">
        <w:instrText xml:space="preserve"> STYLEREF 1 \s </w:instrText>
      </w:r>
      <w:r w:rsidR="00F64B17" w:rsidRPr="00AD5BFB">
        <w:fldChar w:fldCharType="separate"/>
      </w:r>
      <w:r w:rsidR="00E77B24">
        <w:rPr>
          <w:noProof/>
        </w:rPr>
        <w:t>0</w:t>
      </w:r>
      <w:r w:rsidR="00F64B17" w:rsidRPr="00AD5BFB">
        <w:fldChar w:fldCharType="end"/>
      </w:r>
      <w:r w:rsidR="00F64B17" w:rsidRPr="00AD5BFB">
        <w:noBreakHyphen/>
      </w:r>
      <w:r w:rsidR="00F64B17" w:rsidRPr="00AD5BFB">
        <w:fldChar w:fldCharType="begin"/>
      </w:r>
      <w:r w:rsidR="00F64B17" w:rsidRPr="00AD5BFB">
        <w:instrText xml:space="preserve"> SEQ Table \* ARABIC \s 1 </w:instrText>
      </w:r>
      <w:r w:rsidR="00F64B17" w:rsidRPr="00AD5BFB">
        <w:fldChar w:fldCharType="separate"/>
      </w:r>
      <w:r w:rsidR="00E77B24">
        <w:rPr>
          <w:noProof/>
        </w:rPr>
        <w:t>1</w:t>
      </w:r>
      <w:r w:rsidR="00F64B17" w:rsidRPr="00AD5BFB">
        <w:fldChar w:fldCharType="end"/>
      </w:r>
      <w:bookmarkEnd w:id="27"/>
      <w:r w:rsidRPr="00AD5BFB">
        <w:t xml:space="preserve"> </w:t>
      </w:r>
      <w:r w:rsidR="002C7890" w:rsidRPr="00AD5BFB">
        <w:t>Main</w:t>
      </w:r>
      <w:r w:rsidRPr="00AD5BFB">
        <w:t xml:space="preserve"> Works </w:t>
      </w:r>
      <w:bookmarkEnd w:id="28"/>
      <w:r w:rsidRPr="00AD5BFB">
        <w:t>Independent Environmental Auditors</w:t>
      </w:r>
    </w:p>
    <w:tbl>
      <w:tblPr>
        <w:tblStyle w:val="MRL"/>
        <w:tblW w:w="5000" w:type="pct"/>
        <w:tblCellMar>
          <w:top w:w="28" w:type="dxa"/>
          <w:left w:w="85" w:type="dxa"/>
          <w:bottom w:w="28" w:type="dxa"/>
          <w:right w:w="85" w:type="dxa"/>
        </w:tblCellMar>
        <w:tblLook w:val="04A0" w:firstRow="1" w:lastRow="0" w:firstColumn="1" w:lastColumn="0" w:noHBand="0" w:noVBand="1"/>
      </w:tblPr>
      <w:tblGrid>
        <w:gridCol w:w="4396"/>
        <w:gridCol w:w="2762"/>
        <w:gridCol w:w="2764"/>
      </w:tblGrid>
      <w:tr w:rsidR="003C23B8" w:rsidRPr="00AD5BFB" w14:paraId="44F77620" w14:textId="77777777" w:rsidTr="003C23B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15" w:type="pct"/>
            <w:tcBorders>
              <w:top w:val="nil"/>
              <w:left w:val="nil"/>
              <w:bottom w:val="single" w:sz="4" w:space="0" w:color="BFBFBF" w:themeColor="background1" w:themeShade="BF"/>
              <w:right w:val="single" w:sz="4" w:space="0" w:color="BFBFBF" w:themeColor="background1" w:themeShade="BF"/>
            </w:tcBorders>
            <w:vAlign w:val="top"/>
            <w:hideMark/>
          </w:tcPr>
          <w:p w14:paraId="1F082E0D" w14:textId="36A834C5" w:rsidR="003C23B8" w:rsidRPr="00AD5BFB" w:rsidRDefault="00487A06">
            <w:pPr>
              <w:pStyle w:val="TableHeader"/>
              <w:spacing w:before="144" w:after="144"/>
            </w:pPr>
            <w:r>
              <w:t>MAIN</w:t>
            </w:r>
            <w:r w:rsidRPr="00AD5BFB">
              <w:t xml:space="preserve"> </w:t>
            </w:r>
            <w:r w:rsidR="003C23B8" w:rsidRPr="00AD5BFB">
              <w:t>Works Package</w:t>
            </w:r>
          </w:p>
        </w:tc>
        <w:tc>
          <w:tcPr>
            <w:tcW w:w="139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DB69C3" w14:textId="77777777" w:rsidR="003C23B8" w:rsidRPr="00AD5BFB" w:rsidRDefault="003C23B8">
            <w:pPr>
              <w:pStyle w:val="TableHeader"/>
              <w:spacing w:before="144" w:after="144"/>
              <w:cnfStyle w:val="100000000000" w:firstRow="1" w:lastRow="0" w:firstColumn="0" w:lastColumn="0" w:oddVBand="0" w:evenVBand="0" w:oddHBand="0" w:evenHBand="0" w:firstRowFirstColumn="0" w:firstRowLastColumn="0" w:lastRowFirstColumn="0" w:lastRowLastColumn="0"/>
            </w:pPr>
            <w:r w:rsidRPr="00AD5BFB">
              <w:t>Delivery Partner</w:t>
            </w:r>
          </w:p>
        </w:tc>
        <w:tc>
          <w:tcPr>
            <w:tcW w:w="1393" w:type="pct"/>
            <w:tcBorders>
              <w:top w:val="nil"/>
              <w:left w:val="single" w:sz="4" w:space="0" w:color="BFBFBF" w:themeColor="background1" w:themeShade="BF"/>
              <w:bottom w:val="single" w:sz="4" w:space="0" w:color="BFBFBF" w:themeColor="background1" w:themeShade="BF"/>
              <w:right w:val="nil"/>
            </w:tcBorders>
            <w:vAlign w:val="top"/>
            <w:hideMark/>
          </w:tcPr>
          <w:p w14:paraId="57752ACA" w14:textId="77777777" w:rsidR="003C23B8" w:rsidRPr="00AD5BFB" w:rsidRDefault="003C23B8">
            <w:pPr>
              <w:pStyle w:val="TableHeader"/>
              <w:spacing w:before="144" w:after="144"/>
              <w:cnfStyle w:val="100000000000" w:firstRow="1" w:lastRow="0" w:firstColumn="0" w:lastColumn="0" w:oddVBand="0" w:evenVBand="0" w:oddHBand="0" w:evenHBand="0" w:firstRowFirstColumn="0" w:firstRowLastColumn="0" w:lastRowFirstColumn="0" w:lastRowLastColumn="0"/>
            </w:pPr>
            <w:r w:rsidRPr="00AD5BFB">
              <w:t>IEA</w:t>
            </w:r>
          </w:p>
        </w:tc>
      </w:tr>
      <w:tr w:rsidR="003C23B8" w:rsidRPr="00AD5BFB" w14:paraId="4F574A3C" w14:textId="77777777" w:rsidTr="003C23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15" w:type="pct"/>
            <w:tcBorders>
              <w:left w:val="nil"/>
              <w:right w:val="single" w:sz="4" w:space="0" w:color="BFBFBF" w:themeColor="background1" w:themeShade="BF"/>
            </w:tcBorders>
            <w:vAlign w:val="top"/>
            <w:hideMark/>
          </w:tcPr>
          <w:p w14:paraId="56FA9D8A" w14:textId="4E03A978" w:rsidR="003C23B8" w:rsidRPr="00AD5BFB" w:rsidRDefault="000C350B" w:rsidP="00D2493C">
            <w:bookmarkStart w:id="29" w:name="_Hlk16146244"/>
            <w:r w:rsidRPr="00AD5BFB">
              <w:t>Rail Infrastructure Works Package</w:t>
            </w:r>
          </w:p>
        </w:tc>
        <w:tc>
          <w:tcPr>
            <w:tcW w:w="1392" w:type="pct"/>
            <w:tcBorders>
              <w:left w:val="single" w:sz="4" w:space="0" w:color="BFBFBF" w:themeColor="background1" w:themeShade="BF"/>
              <w:right w:val="single" w:sz="4" w:space="0" w:color="BFBFBF" w:themeColor="background1" w:themeShade="BF"/>
            </w:tcBorders>
            <w:hideMark/>
          </w:tcPr>
          <w:p w14:paraId="677AABCB" w14:textId="7D893CD4" w:rsidR="003C23B8" w:rsidRPr="00AD5BFB" w:rsidRDefault="000C350B" w:rsidP="00D2493C">
            <w:pPr>
              <w:cnfStyle w:val="000000100000" w:firstRow="0" w:lastRow="0" w:firstColumn="0" w:lastColumn="0" w:oddVBand="0" w:evenVBand="0" w:oddHBand="1" w:evenHBand="0" w:firstRowFirstColumn="0" w:firstRowLastColumn="0" w:lastRowFirstColumn="0" w:lastRowLastColumn="0"/>
            </w:pPr>
            <w:r w:rsidRPr="00AD5BFB">
              <w:t>Rail Infrastructure Alliance</w:t>
            </w:r>
          </w:p>
        </w:tc>
        <w:tc>
          <w:tcPr>
            <w:tcW w:w="1393" w:type="pct"/>
            <w:tcBorders>
              <w:left w:val="single" w:sz="4" w:space="0" w:color="BFBFBF" w:themeColor="background1" w:themeShade="BF"/>
              <w:right w:val="nil"/>
            </w:tcBorders>
            <w:vAlign w:val="top"/>
            <w:hideMark/>
          </w:tcPr>
          <w:p w14:paraId="681D83D4" w14:textId="0897012B" w:rsidR="003C23B8" w:rsidRPr="00AD5BFB" w:rsidRDefault="005A6954" w:rsidP="00D2493C">
            <w:pPr>
              <w:cnfStyle w:val="000000100000" w:firstRow="0" w:lastRow="0" w:firstColumn="0" w:lastColumn="0" w:oddVBand="0" w:evenVBand="0" w:oddHBand="1" w:evenHBand="0" w:firstRowFirstColumn="0" w:firstRowLastColumn="0" w:lastRowFirstColumn="0" w:lastRowLastColumn="0"/>
            </w:pPr>
            <w:r w:rsidRPr="00AD5BFB">
              <w:t>KPMG</w:t>
            </w:r>
          </w:p>
        </w:tc>
      </w:tr>
      <w:tr w:rsidR="003C23B8" w14:paraId="38F737DC" w14:textId="77777777" w:rsidTr="003C23B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15" w:type="pct"/>
            <w:tcBorders>
              <w:left w:val="nil"/>
              <w:right w:val="single" w:sz="4" w:space="0" w:color="BFBFBF" w:themeColor="background1" w:themeShade="BF"/>
            </w:tcBorders>
            <w:vAlign w:val="top"/>
            <w:hideMark/>
          </w:tcPr>
          <w:p w14:paraId="62C7C10D" w14:textId="14EF81DC" w:rsidR="003C23B8" w:rsidRPr="00AD5BFB" w:rsidRDefault="000C350B" w:rsidP="00D2493C">
            <w:r w:rsidRPr="00AD5BFB">
              <w:t>Rail Systems Works Package</w:t>
            </w:r>
          </w:p>
        </w:tc>
        <w:tc>
          <w:tcPr>
            <w:tcW w:w="1392" w:type="pct"/>
            <w:tcBorders>
              <w:left w:val="single" w:sz="4" w:space="0" w:color="BFBFBF" w:themeColor="background1" w:themeShade="BF"/>
              <w:right w:val="single" w:sz="4" w:space="0" w:color="BFBFBF" w:themeColor="background1" w:themeShade="BF"/>
            </w:tcBorders>
            <w:hideMark/>
          </w:tcPr>
          <w:p w14:paraId="24460716" w14:textId="43559DAD" w:rsidR="003C23B8" w:rsidRPr="00AD5BFB" w:rsidRDefault="000C350B" w:rsidP="00D2493C">
            <w:pPr>
              <w:cnfStyle w:val="000000010000" w:firstRow="0" w:lastRow="0" w:firstColumn="0" w:lastColumn="0" w:oddVBand="0" w:evenVBand="0" w:oddHBand="0" w:evenHBand="1" w:firstRowFirstColumn="0" w:firstRowLastColumn="0" w:lastRowFirstColumn="0" w:lastRowLastColumn="0"/>
            </w:pPr>
            <w:r w:rsidRPr="00AD5BFB">
              <w:t>Rail Systems Alliance</w:t>
            </w:r>
          </w:p>
        </w:tc>
        <w:tc>
          <w:tcPr>
            <w:tcW w:w="1393" w:type="pct"/>
            <w:tcBorders>
              <w:left w:val="single" w:sz="4" w:space="0" w:color="BFBFBF" w:themeColor="background1" w:themeShade="BF"/>
              <w:right w:val="nil"/>
            </w:tcBorders>
            <w:vAlign w:val="top"/>
            <w:hideMark/>
          </w:tcPr>
          <w:p w14:paraId="2D8A9808" w14:textId="2414743D" w:rsidR="003C23B8" w:rsidRDefault="005A6954" w:rsidP="00D2493C">
            <w:pPr>
              <w:cnfStyle w:val="000000010000" w:firstRow="0" w:lastRow="0" w:firstColumn="0" w:lastColumn="0" w:oddVBand="0" w:evenVBand="0" w:oddHBand="0" w:evenHBand="1" w:firstRowFirstColumn="0" w:firstRowLastColumn="0" w:lastRowFirstColumn="0" w:lastRowLastColumn="0"/>
            </w:pPr>
            <w:r w:rsidRPr="00AD5BFB">
              <w:t>KPMG</w:t>
            </w:r>
          </w:p>
        </w:tc>
        <w:bookmarkEnd w:id="29"/>
      </w:tr>
    </w:tbl>
    <w:p w14:paraId="29CEC001" w14:textId="16F1252C" w:rsidR="00F015E1" w:rsidRDefault="002C7890" w:rsidP="00D2493C">
      <w:pPr>
        <w:pStyle w:val="BodyText"/>
        <w:spacing w:before="240"/>
      </w:pPr>
      <w:r>
        <w:t xml:space="preserve">Audits of each Delivery Partner’s CEMP, sub-plans and SEIPs were required prior to works commencing to confirm compliance with ISO 14001:2015, the EMF, relevant EPRs and Incorporated Document. Site audits were scheduled on a quarterly basis through the delivery of the </w:t>
      </w:r>
      <w:r w:rsidR="00DD11A3">
        <w:t xml:space="preserve">Main </w:t>
      </w:r>
      <w:r>
        <w:t xml:space="preserve">Works Package and considered: </w:t>
      </w:r>
    </w:p>
    <w:p w14:paraId="12AECA67" w14:textId="6B072131" w:rsidR="00F015E1" w:rsidRDefault="002C7890" w:rsidP="00D2493C">
      <w:pPr>
        <w:pStyle w:val="Bullet1"/>
      </w:pPr>
      <w:r>
        <w:t>The timing of works</w:t>
      </w:r>
      <w:r w:rsidR="00791716">
        <w:t>.</w:t>
      </w:r>
    </w:p>
    <w:p w14:paraId="109AF6CB" w14:textId="5D498938" w:rsidR="00F015E1" w:rsidRDefault="002C7890" w:rsidP="00D2493C">
      <w:pPr>
        <w:pStyle w:val="Bullet1"/>
      </w:pPr>
      <w:r>
        <w:t xml:space="preserve">The nature of the works including consideration of the level of associated </w:t>
      </w:r>
      <w:r w:rsidR="00791716">
        <w:t>risk.</w:t>
      </w:r>
      <w:r>
        <w:t xml:space="preserve"> </w:t>
      </w:r>
    </w:p>
    <w:p w14:paraId="5DA26E5B" w14:textId="59A18B14" w:rsidR="00F015E1" w:rsidRDefault="002C7890" w:rsidP="00D2493C">
      <w:pPr>
        <w:pStyle w:val="Bullet1"/>
      </w:pPr>
      <w:r>
        <w:t xml:space="preserve">Incident investigation </w:t>
      </w:r>
      <w:r w:rsidR="00791716">
        <w:t>outcomes.</w:t>
      </w:r>
    </w:p>
    <w:p w14:paraId="68F0F9CE" w14:textId="25617674" w:rsidR="00F015E1" w:rsidRDefault="002C7890" w:rsidP="00D2493C">
      <w:pPr>
        <w:pStyle w:val="Bullet1"/>
      </w:pPr>
      <w:r>
        <w:t>Complaints received, particularly if related to EPRs and indicate instances of non-conformances</w:t>
      </w:r>
      <w:r w:rsidR="00791716">
        <w:t>.</w:t>
      </w:r>
    </w:p>
    <w:p w14:paraId="0D104420" w14:textId="3C50331C" w:rsidR="00F015E1" w:rsidRDefault="002C7890" w:rsidP="00D2493C">
      <w:pPr>
        <w:pStyle w:val="Bullet1"/>
      </w:pPr>
      <w:r>
        <w:t>Previous audit outcomes</w:t>
      </w:r>
      <w:r w:rsidR="00791716">
        <w:t>.</w:t>
      </w:r>
    </w:p>
    <w:p w14:paraId="5612E25E" w14:textId="004A8684" w:rsidR="002C7890" w:rsidRDefault="002C7890" w:rsidP="00D2493C">
      <w:pPr>
        <w:pStyle w:val="Bullet1"/>
      </w:pPr>
      <w:r>
        <w:t>Management review outcomes</w:t>
      </w:r>
      <w:r w:rsidR="002A535C">
        <w:t>: u</w:t>
      </w:r>
      <w:r>
        <w:t>pon the completion of each audit, an audit report detailing all the findings was submitted to RPV.</w:t>
      </w:r>
    </w:p>
    <w:p w14:paraId="6E31BBA1" w14:textId="6D72BD74" w:rsidR="005D2EE8" w:rsidRDefault="005021F0" w:rsidP="001C0297">
      <w:pPr>
        <w:pStyle w:val="Heading2"/>
      </w:pPr>
      <w:bookmarkStart w:id="30" w:name="_Toc96586777"/>
      <w:r>
        <w:t xml:space="preserve">IEA </w:t>
      </w:r>
      <w:r w:rsidR="00D07932">
        <w:t xml:space="preserve">Audit </w:t>
      </w:r>
      <w:r w:rsidR="009601BE">
        <w:t>Methodology</w:t>
      </w:r>
      <w:bookmarkEnd w:id="30"/>
    </w:p>
    <w:p w14:paraId="5A9793F2" w14:textId="257FB80B" w:rsidR="009601BE" w:rsidRPr="009A797B" w:rsidRDefault="009601BE" w:rsidP="0074674A">
      <w:pPr>
        <w:pStyle w:val="Heading3"/>
      </w:pPr>
      <w:r>
        <w:t>Audit Overview</w:t>
      </w:r>
    </w:p>
    <w:p w14:paraId="7058D1FE" w14:textId="4608572A" w:rsidR="00C4308F" w:rsidRDefault="00EA18AF" w:rsidP="00C4308F">
      <w:pPr>
        <w:pStyle w:val="BodyText"/>
      </w:pPr>
      <w:r>
        <w:t>The MTP EMF</w:t>
      </w:r>
      <w:r w:rsidR="00C4308F">
        <w:t xml:space="preserve"> </w:t>
      </w:r>
      <w:r>
        <w:t>outlines the IEA responsibilities</w:t>
      </w:r>
      <w:r w:rsidR="00763ED6">
        <w:t>, including</w:t>
      </w:r>
      <w:r>
        <w:t xml:space="preserve">: </w:t>
      </w:r>
    </w:p>
    <w:p w14:paraId="1A7CFBD4" w14:textId="6BC5916F" w:rsidR="00C4308F" w:rsidRDefault="00C4308F" w:rsidP="00D2493C">
      <w:pPr>
        <w:pStyle w:val="Bullet1"/>
      </w:pPr>
      <w:r>
        <w:t>Prior to commencement of work, verify that the contractor has complied with the relevant EPRs, th</w:t>
      </w:r>
      <w:r w:rsidR="00CD661E">
        <w:t>e</w:t>
      </w:r>
      <w:r>
        <w:t xml:space="preserve"> EMF and the Incorporated Document</w:t>
      </w:r>
      <w:r w:rsidR="00791716">
        <w:t>.</w:t>
      </w:r>
    </w:p>
    <w:p w14:paraId="47D5C5E9" w14:textId="15694E7B" w:rsidR="00C4308F" w:rsidRDefault="00C4308F" w:rsidP="00D2493C">
      <w:pPr>
        <w:pStyle w:val="Bullet1"/>
      </w:pPr>
      <w:r>
        <w:t>Conduct audits of the contractor’s works to assess compliance with the CEMP</w:t>
      </w:r>
      <w:r w:rsidR="00763ED6">
        <w:t xml:space="preserve">, </w:t>
      </w:r>
      <w:r>
        <w:t>EMF, EPRs and plans required by the EPRs and Incorporated Document</w:t>
      </w:r>
      <w:r w:rsidR="00791716">
        <w:t>.</w:t>
      </w:r>
    </w:p>
    <w:p w14:paraId="6F1669F0" w14:textId="7D2E15F2" w:rsidR="00C4308F" w:rsidRDefault="00C4308F" w:rsidP="00D2493C">
      <w:pPr>
        <w:pStyle w:val="Bullet1"/>
      </w:pPr>
      <w:r>
        <w:t xml:space="preserve">Prepare a </w:t>
      </w:r>
      <w:r w:rsidR="00CD661E">
        <w:t>six</w:t>
      </w:r>
      <w:r w:rsidR="00763ED6">
        <w:t>-</w:t>
      </w:r>
      <w:r>
        <w:t xml:space="preserve">monthly report summarising the </w:t>
      </w:r>
      <w:r w:rsidR="00B506B9">
        <w:t>C</w:t>
      </w:r>
      <w:r>
        <w:t xml:space="preserve">ontractor’s compliance with the EMF and provide to RPV and the </w:t>
      </w:r>
      <w:r w:rsidR="00763ED6">
        <w:t>Delivery Partner</w:t>
      </w:r>
      <w:r w:rsidR="00791716">
        <w:t>.</w:t>
      </w:r>
    </w:p>
    <w:p w14:paraId="49EB046A" w14:textId="6C0CE7A9" w:rsidR="00C4308F" w:rsidRDefault="00C4308F" w:rsidP="00D2493C">
      <w:pPr>
        <w:pStyle w:val="Bullet1"/>
      </w:pPr>
      <w:r>
        <w:t>Prepare audit reports containing the results of audits</w:t>
      </w:r>
      <w:r w:rsidR="00791716">
        <w:t>.</w:t>
      </w:r>
    </w:p>
    <w:p w14:paraId="58319713" w14:textId="0BBCACFB" w:rsidR="00523062" w:rsidRPr="005A2796" w:rsidRDefault="00C4308F" w:rsidP="00D2493C">
      <w:pPr>
        <w:pStyle w:val="Bullet1"/>
        <w:rPr>
          <w:szCs w:val="20"/>
        </w:rPr>
      </w:pPr>
      <w:r>
        <w:lastRenderedPageBreak/>
        <w:t>Review complaints which may highlight instances of non-conformance with applicable EPRs.</w:t>
      </w:r>
    </w:p>
    <w:p w14:paraId="64E18D95" w14:textId="7CC73318" w:rsidR="00FD3E6A" w:rsidRDefault="005C0E2F" w:rsidP="00FD3E6A">
      <w:pPr>
        <w:pStyle w:val="Heading3"/>
      </w:pPr>
      <w:r>
        <w:t>A</w:t>
      </w:r>
      <w:r w:rsidR="00FD3E6A">
        <w:t xml:space="preserve">udit </w:t>
      </w:r>
      <w:r w:rsidR="002A535C">
        <w:t>P</w:t>
      </w:r>
      <w:r w:rsidR="00B85191">
        <w:t>rogram</w:t>
      </w:r>
    </w:p>
    <w:p w14:paraId="646C2C03" w14:textId="4CAE0712" w:rsidR="00C94E30" w:rsidRDefault="002A535C" w:rsidP="002A535C">
      <w:pPr>
        <w:pStyle w:val="BodyText"/>
      </w:pPr>
      <w:r>
        <w:t>Audits of</w:t>
      </w:r>
      <w:r w:rsidDel="0089763A">
        <w:t xml:space="preserve"> </w:t>
      </w:r>
      <w:r w:rsidR="0089763A">
        <w:t>the</w:t>
      </w:r>
      <w:r>
        <w:t xml:space="preserve"> Delivery Partner’s CEMP, sub-plans and SEIPs involved a review of each document to assess compliance with ISO 14001:2015, the EMF, relevant EPRs and Incorporated Document. During site inspections, compliance was assessed through observation of project activities, interviews and review of relevant environmental records.</w:t>
      </w:r>
    </w:p>
    <w:p w14:paraId="0ADE9DD2" w14:textId="46203D40" w:rsidR="00735561" w:rsidRDefault="00C94E30" w:rsidP="00735561">
      <w:pPr>
        <w:pStyle w:val="BodyText"/>
      </w:pPr>
      <w:r>
        <w:t xml:space="preserve">The IEA carried out both pre-commencement (desktop audits - prior to commencement of works) and implementation audits (during construction) within the audit summary period. </w:t>
      </w:r>
      <w:r w:rsidR="00DD11A3" w:rsidRPr="00DD11A3">
        <w:t xml:space="preserve">The audit schedule was developed so that the EPRs considered in each audit would be relevant to the construction activities at that time. </w:t>
      </w:r>
      <w:r w:rsidR="00E61C9B">
        <w:t>Prior to each audit</w:t>
      </w:r>
      <w:r w:rsidR="00CD1219">
        <w:t>,</w:t>
      </w:r>
      <w:r w:rsidR="00E61C9B">
        <w:t xml:space="preserve"> k</w:t>
      </w:r>
      <w:r w:rsidR="00D07932">
        <w:t xml:space="preserve">ey </w:t>
      </w:r>
      <w:r w:rsidR="00DD11A3">
        <w:t>environmental</w:t>
      </w:r>
      <w:r w:rsidR="00D07932">
        <w:t xml:space="preserve"> </w:t>
      </w:r>
      <w:r w:rsidR="00DD11A3">
        <w:t xml:space="preserve">aspects </w:t>
      </w:r>
      <w:r w:rsidR="00D07932">
        <w:t>were identified</w:t>
      </w:r>
      <w:r w:rsidR="00E61C9B">
        <w:t xml:space="preserve"> in consultation with RPV</w:t>
      </w:r>
      <w:r w:rsidR="006E05A8">
        <w:t xml:space="preserve">, </w:t>
      </w:r>
      <w:r w:rsidR="00763ED6">
        <w:t>the Delivery Partner</w:t>
      </w:r>
      <w:r w:rsidR="006E05A8">
        <w:t xml:space="preserve"> and</w:t>
      </w:r>
      <w:r w:rsidR="00E61C9B">
        <w:t xml:space="preserve"> RIA</w:t>
      </w:r>
      <w:r w:rsidR="00C4308F">
        <w:t xml:space="preserve">. </w:t>
      </w:r>
      <w:r w:rsidR="00DF2CE4">
        <w:t xml:space="preserve">The key </w:t>
      </w:r>
      <w:r w:rsidR="00DD11A3">
        <w:t>environmental aspects</w:t>
      </w:r>
      <w:r w:rsidR="00DF2CE4">
        <w:t xml:space="preserve"> were decided b</w:t>
      </w:r>
      <w:r w:rsidR="00C4308F">
        <w:t>ased on these discussions</w:t>
      </w:r>
      <w:r w:rsidR="00DF2CE4">
        <w:t xml:space="preserve">, taking into consideration </w:t>
      </w:r>
      <w:r w:rsidR="00D07932">
        <w:t xml:space="preserve">previous findings and </w:t>
      </w:r>
      <w:r w:rsidR="00CD1219">
        <w:t xml:space="preserve">any relevant </w:t>
      </w:r>
      <w:r w:rsidR="00E61C9B">
        <w:t>stakeholder engagement</w:t>
      </w:r>
      <w:r w:rsidR="00D07932">
        <w:t xml:space="preserve">. </w:t>
      </w:r>
    </w:p>
    <w:p w14:paraId="05C2CB49" w14:textId="5D74242B" w:rsidR="006E05A8" w:rsidRPr="006E05A8" w:rsidRDefault="00D07932" w:rsidP="0074674A">
      <w:pPr>
        <w:pStyle w:val="BodyText"/>
        <w:rPr>
          <w:szCs w:val="20"/>
        </w:rPr>
      </w:pPr>
      <w:r w:rsidRPr="00735561">
        <w:rPr>
          <w:szCs w:val="20"/>
        </w:rPr>
        <w:t xml:space="preserve">These key </w:t>
      </w:r>
      <w:r w:rsidR="00907672">
        <w:rPr>
          <w:szCs w:val="20"/>
        </w:rPr>
        <w:t>environmental aspects</w:t>
      </w:r>
      <w:r w:rsidRPr="00735561">
        <w:rPr>
          <w:szCs w:val="20"/>
        </w:rPr>
        <w:t xml:space="preserve"> </w:t>
      </w:r>
      <w:r w:rsidR="00C4308F" w:rsidRPr="00735561">
        <w:rPr>
          <w:szCs w:val="20"/>
        </w:rPr>
        <w:t>form</w:t>
      </w:r>
      <w:r w:rsidRPr="00735561">
        <w:rPr>
          <w:szCs w:val="20"/>
        </w:rPr>
        <w:t>ed</w:t>
      </w:r>
      <w:r w:rsidR="00C4308F" w:rsidRPr="00735561">
        <w:rPr>
          <w:szCs w:val="20"/>
        </w:rPr>
        <w:t xml:space="preserve"> the scope for </w:t>
      </w:r>
      <w:r w:rsidRPr="00735561">
        <w:rPr>
          <w:szCs w:val="20"/>
        </w:rPr>
        <w:t xml:space="preserve">each </w:t>
      </w:r>
      <w:r w:rsidR="00C4308F" w:rsidRPr="00735561">
        <w:rPr>
          <w:szCs w:val="20"/>
        </w:rPr>
        <w:t>environmental audit</w:t>
      </w:r>
      <w:r w:rsidR="002B4BF6" w:rsidRPr="00735561">
        <w:rPr>
          <w:szCs w:val="20"/>
        </w:rPr>
        <w:t xml:space="preserve"> and broadly covered </w:t>
      </w:r>
      <w:r w:rsidR="002A535C" w:rsidRPr="00735561">
        <w:rPr>
          <w:szCs w:val="20"/>
        </w:rPr>
        <w:t xml:space="preserve">the documentation listed in Section 4.2.1.1 and </w:t>
      </w:r>
      <w:r w:rsidR="002B4BF6" w:rsidRPr="00735561">
        <w:rPr>
          <w:szCs w:val="20"/>
        </w:rPr>
        <w:t xml:space="preserve">the works listed in </w:t>
      </w:r>
      <w:r w:rsidR="002A535C" w:rsidRPr="00735561">
        <w:rPr>
          <w:szCs w:val="20"/>
        </w:rPr>
        <w:t>S</w:t>
      </w:r>
      <w:r w:rsidR="002B4BF6" w:rsidRPr="00735561">
        <w:rPr>
          <w:szCs w:val="20"/>
        </w:rPr>
        <w:t>ection 4.2.</w:t>
      </w:r>
      <w:r w:rsidR="002A535C" w:rsidRPr="00735561">
        <w:rPr>
          <w:szCs w:val="20"/>
        </w:rPr>
        <w:t>1</w:t>
      </w:r>
      <w:r w:rsidR="002B4BF6" w:rsidRPr="00735561">
        <w:rPr>
          <w:szCs w:val="20"/>
        </w:rPr>
        <w:t>.2</w:t>
      </w:r>
      <w:r w:rsidR="00184FC0">
        <w:rPr>
          <w:szCs w:val="20"/>
        </w:rPr>
        <w:t xml:space="preserve"> and </w:t>
      </w:r>
      <w:r w:rsidR="00184FC0">
        <w:rPr>
          <w:szCs w:val="20"/>
        </w:rPr>
        <w:fldChar w:fldCharType="begin"/>
      </w:r>
      <w:r w:rsidR="00184FC0">
        <w:rPr>
          <w:szCs w:val="20"/>
        </w:rPr>
        <w:instrText xml:space="preserve"> REF _Ref67402519 \r \h </w:instrText>
      </w:r>
      <w:r w:rsidR="00184FC0">
        <w:rPr>
          <w:szCs w:val="20"/>
        </w:rPr>
      </w:r>
      <w:r w:rsidR="00184FC0">
        <w:rPr>
          <w:szCs w:val="20"/>
        </w:rPr>
        <w:fldChar w:fldCharType="separate"/>
      </w:r>
      <w:r w:rsidR="00E77B24">
        <w:rPr>
          <w:szCs w:val="20"/>
        </w:rPr>
        <w:t>4.2.2.3</w:t>
      </w:r>
      <w:r w:rsidR="00184FC0">
        <w:rPr>
          <w:szCs w:val="20"/>
        </w:rPr>
        <w:fldChar w:fldCharType="end"/>
      </w:r>
      <w:r w:rsidR="002A535C" w:rsidRPr="00735561">
        <w:rPr>
          <w:szCs w:val="20"/>
        </w:rPr>
        <w:t>.</w:t>
      </w:r>
      <w:r w:rsidR="00C94E30" w:rsidRPr="00735561">
        <w:rPr>
          <w:szCs w:val="20"/>
        </w:rPr>
        <w:t xml:space="preserve"> </w:t>
      </w:r>
      <w:r w:rsidR="003F0D28" w:rsidRPr="00735561">
        <w:rPr>
          <w:szCs w:val="20"/>
        </w:rPr>
        <w:t>During the course of the audit program KPMG followed up the status of findings</w:t>
      </w:r>
      <w:r w:rsidR="00CD1219" w:rsidRPr="00735561">
        <w:rPr>
          <w:szCs w:val="20"/>
        </w:rPr>
        <w:t xml:space="preserve"> of the previous reports</w:t>
      </w:r>
      <w:r w:rsidR="003F0D28" w:rsidRPr="00735561">
        <w:rPr>
          <w:szCs w:val="20"/>
        </w:rPr>
        <w:t xml:space="preserve"> until each finding was satisfied and closed. </w:t>
      </w:r>
    </w:p>
    <w:p w14:paraId="1539E1C2" w14:textId="6887361F" w:rsidR="00523062" w:rsidRDefault="00523062" w:rsidP="00523062">
      <w:pPr>
        <w:pStyle w:val="Heading4"/>
      </w:pPr>
      <w:r>
        <w:t xml:space="preserve">Documentation </w:t>
      </w:r>
    </w:p>
    <w:p w14:paraId="0481AFF3" w14:textId="5CC07CD6" w:rsidR="00507963" w:rsidRDefault="002A535C" w:rsidP="00507963">
      <w:pPr>
        <w:autoSpaceDE w:val="0"/>
        <w:autoSpaceDN w:val="0"/>
        <w:adjustRightInd w:val="0"/>
        <w:spacing w:before="0" w:after="0"/>
        <w:rPr>
          <w:sz w:val="20"/>
        </w:rPr>
      </w:pPr>
      <w:bookmarkStart w:id="31" w:name="_Hlk59212680"/>
      <w:r>
        <w:rPr>
          <w:sz w:val="20"/>
        </w:rPr>
        <w:t xml:space="preserve">The MTP EMF required </w:t>
      </w:r>
      <w:r w:rsidR="00507963">
        <w:rPr>
          <w:sz w:val="20"/>
        </w:rPr>
        <w:t xml:space="preserve">RIA </w:t>
      </w:r>
      <w:r>
        <w:rPr>
          <w:sz w:val="20"/>
        </w:rPr>
        <w:t>to produce the following management plans and environmental documentation</w:t>
      </w:r>
      <w:r w:rsidR="00507963" w:rsidRPr="00296F2D">
        <w:rPr>
          <w:sz w:val="20"/>
        </w:rPr>
        <w:t xml:space="preserve">: </w:t>
      </w:r>
      <w:bookmarkEnd w:id="31"/>
    </w:p>
    <w:p w14:paraId="7E47B7A5" w14:textId="4B9C67B4" w:rsidR="00507963" w:rsidRDefault="006E05A8" w:rsidP="00D2493C">
      <w:pPr>
        <w:pStyle w:val="Bullet1"/>
      </w:pPr>
      <w:r>
        <w:t>CEMP</w:t>
      </w:r>
      <w:r w:rsidR="00507963">
        <w:t xml:space="preserve"> and associated sub plans</w:t>
      </w:r>
    </w:p>
    <w:p w14:paraId="205D21E4" w14:textId="4A433550" w:rsidR="00507963" w:rsidRDefault="006E05A8" w:rsidP="00D2493C">
      <w:pPr>
        <w:pStyle w:val="Bullet1"/>
      </w:pPr>
      <w:r>
        <w:t>SEIP</w:t>
      </w:r>
    </w:p>
    <w:p w14:paraId="2FE9DF80" w14:textId="0CAC96CB" w:rsidR="00507963" w:rsidRPr="003222B1" w:rsidRDefault="00507963" w:rsidP="00D2493C">
      <w:pPr>
        <w:pStyle w:val="Bullet1"/>
      </w:pPr>
      <w:r w:rsidRPr="003222B1">
        <w:t>Air Quality Management Plan</w:t>
      </w:r>
      <w:r>
        <w:t xml:space="preserve"> </w:t>
      </w:r>
    </w:p>
    <w:p w14:paraId="3A3009C4" w14:textId="77777777" w:rsidR="00507963" w:rsidRPr="003222B1" w:rsidRDefault="00507963" w:rsidP="00D2493C">
      <w:pPr>
        <w:pStyle w:val="Bullet1"/>
      </w:pPr>
      <w:r w:rsidRPr="003222B1">
        <w:t>Ecology Management Plan</w:t>
      </w:r>
    </w:p>
    <w:p w14:paraId="5FF37CFE" w14:textId="77777777" w:rsidR="00507963" w:rsidRPr="003222B1" w:rsidRDefault="00507963" w:rsidP="00D2493C">
      <w:pPr>
        <w:pStyle w:val="Bullet1"/>
      </w:pPr>
      <w:r w:rsidRPr="003222B1">
        <w:t>Heritage Management Plan</w:t>
      </w:r>
    </w:p>
    <w:p w14:paraId="1B0EFF7B" w14:textId="77777777" w:rsidR="00507963" w:rsidRPr="003222B1" w:rsidRDefault="00507963" w:rsidP="00D2493C">
      <w:pPr>
        <w:pStyle w:val="Bullet1"/>
      </w:pPr>
      <w:r w:rsidRPr="003222B1">
        <w:t xml:space="preserve">Surface Water Management Plan </w:t>
      </w:r>
    </w:p>
    <w:p w14:paraId="296BD80B" w14:textId="77777777" w:rsidR="00507963" w:rsidRPr="003222B1" w:rsidRDefault="00507963" w:rsidP="00D2493C">
      <w:pPr>
        <w:pStyle w:val="Bullet1"/>
      </w:pPr>
      <w:r w:rsidRPr="003222B1">
        <w:t xml:space="preserve">Spoil Management Plan </w:t>
      </w:r>
    </w:p>
    <w:p w14:paraId="0A44D72E" w14:textId="77777777" w:rsidR="00507963" w:rsidRPr="003222B1" w:rsidRDefault="00507963" w:rsidP="00D2493C">
      <w:pPr>
        <w:pStyle w:val="Bullet1"/>
      </w:pPr>
      <w:r w:rsidRPr="003222B1">
        <w:t xml:space="preserve">Monitoring Management Plan </w:t>
      </w:r>
    </w:p>
    <w:p w14:paraId="1E3267C0" w14:textId="77777777" w:rsidR="00507963" w:rsidRPr="003222B1" w:rsidRDefault="00507963" w:rsidP="00D2493C">
      <w:pPr>
        <w:pStyle w:val="Bullet1"/>
      </w:pPr>
      <w:r w:rsidRPr="003222B1">
        <w:t xml:space="preserve">Construction Noise &amp; Vibration Management Plan </w:t>
      </w:r>
    </w:p>
    <w:p w14:paraId="0EC2F77C" w14:textId="2CCCE66E" w:rsidR="00507963" w:rsidRPr="003222B1" w:rsidRDefault="00507963" w:rsidP="00D2493C">
      <w:pPr>
        <w:pStyle w:val="Bullet1"/>
      </w:pPr>
      <w:r w:rsidRPr="003222B1">
        <w:t xml:space="preserve">Health and Safety </w:t>
      </w:r>
      <w:r>
        <w:t xml:space="preserve">Management </w:t>
      </w:r>
      <w:r w:rsidRPr="003222B1">
        <w:t>Plan</w:t>
      </w:r>
    </w:p>
    <w:p w14:paraId="2FA2128C" w14:textId="5421925B" w:rsidR="00507963" w:rsidRPr="001C0297" w:rsidRDefault="00507963" w:rsidP="00D2493C">
      <w:pPr>
        <w:pStyle w:val="Bullet1"/>
      </w:pPr>
      <w:r>
        <w:t>Tree Management Plan</w:t>
      </w:r>
    </w:p>
    <w:p w14:paraId="26F89822" w14:textId="38FD2F08" w:rsidR="00507963" w:rsidRPr="001C0297" w:rsidRDefault="00507963" w:rsidP="00D2493C">
      <w:pPr>
        <w:pStyle w:val="Bullet1"/>
      </w:pPr>
      <w:r>
        <w:t>Traffic Management Plans</w:t>
      </w:r>
    </w:p>
    <w:p w14:paraId="64021C99" w14:textId="7A624F2E" w:rsidR="00507963" w:rsidRPr="001C0297" w:rsidRDefault="00507963" w:rsidP="00D2493C">
      <w:pPr>
        <w:pStyle w:val="Bullet1"/>
      </w:pPr>
      <w:r>
        <w:t>Urban Design Management Plan</w:t>
      </w:r>
    </w:p>
    <w:p w14:paraId="2884930B" w14:textId="0FC6560F" w:rsidR="002738A3" w:rsidRPr="001C0297" w:rsidRDefault="002738A3" w:rsidP="00D2493C">
      <w:pPr>
        <w:pStyle w:val="Bullet1"/>
      </w:pPr>
      <w:r>
        <w:t>Urban Ecology Management Plan</w:t>
      </w:r>
    </w:p>
    <w:p w14:paraId="0DCF5D7A" w14:textId="4BB0CCDF" w:rsidR="00507963" w:rsidRPr="001C0297" w:rsidRDefault="00507963" w:rsidP="00D2493C">
      <w:pPr>
        <w:pStyle w:val="Bullet1"/>
      </w:pPr>
      <w:r>
        <w:t xml:space="preserve">Sustainability Management Plan </w:t>
      </w:r>
    </w:p>
    <w:p w14:paraId="1102CA85" w14:textId="0F611E80" w:rsidR="00507963" w:rsidRPr="001C0297" w:rsidRDefault="006E05A8" w:rsidP="00D2493C">
      <w:pPr>
        <w:pStyle w:val="Bullet1"/>
      </w:pPr>
      <w:r>
        <w:t>BDP</w:t>
      </w:r>
    </w:p>
    <w:p w14:paraId="5B47B103" w14:textId="5843429F" w:rsidR="002738A3" w:rsidRPr="001C0297" w:rsidRDefault="006E05A8" w:rsidP="00D2493C">
      <w:pPr>
        <w:pStyle w:val="Bullet1"/>
      </w:pPr>
      <w:r>
        <w:rPr>
          <w:szCs w:val="20"/>
        </w:rPr>
        <w:lastRenderedPageBreak/>
        <w:t>CSEMP</w:t>
      </w:r>
    </w:p>
    <w:p w14:paraId="22A4DB8E" w14:textId="6D54CE18" w:rsidR="002738A3" w:rsidRPr="001C0297" w:rsidRDefault="002738A3" w:rsidP="00D2493C">
      <w:pPr>
        <w:pStyle w:val="Bullet1"/>
      </w:pPr>
      <w:r w:rsidRPr="001C0297">
        <w:rPr>
          <w:szCs w:val="20"/>
        </w:rPr>
        <w:t>Ground Movement Management Plan</w:t>
      </w:r>
    </w:p>
    <w:p w14:paraId="6973701E" w14:textId="37E75DBF" w:rsidR="002738A3" w:rsidRPr="001C0297" w:rsidRDefault="002738A3" w:rsidP="00D2493C">
      <w:pPr>
        <w:pStyle w:val="Bullet1"/>
      </w:pPr>
      <w:r>
        <w:rPr>
          <w:szCs w:val="20"/>
        </w:rPr>
        <w:t xml:space="preserve">EMS Manual </w:t>
      </w:r>
    </w:p>
    <w:p w14:paraId="57BDCB8B" w14:textId="275FBCF5" w:rsidR="00507963" w:rsidRPr="00507963" w:rsidRDefault="002738A3" w:rsidP="00D2493C">
      <w:pPr>
        <w:pStyle w:val="Bullet1"/>
      </w:pPr>
      <w:r>
        <w:rPr>
          <w:szCs w:val="20"/>
        </w:rPr>
        <w:t xml:space="preserve">Other </w:t>
      </w:r>
      <w:r w:rsidR="00C94E30">
        <w:rPr>
          <w:szCs w:val="20"/>
        </w:rPr>
        <w:t>documentation (</w:t>
      </w:r>
      <w:r>
        <w:rPr>
          <w:szCs w:val="20"/>
        </w:rPr>
        <w:t>as required</w:t>
      </w:r>
      <w:r w:rsidR="00C94E30">
        <w:rPr>
          <w:szCs w:val="20"/>
        </w:rPr>
        <w:t>)</w:t>
      </w:r>
      <w:r w:rsidR="00F976CB">
        <w:rPr>
          <w:szCs w:val="20"/>
        </w:rPr>
        <w:t>.</w:t>
      </w:r>
    </w:p>
    <w:p w14:paraId="4CE6F6AB" w14:textId="233DAD31" w:rsidR="00296F2D" w:rsidRDefault="00296F2D" w:rsidP="00523062">
      <w:pPr>
        <w:pStyle w:val="Heading4"/>
      </w:pPr>
      <w:r>
        <w:t>Works</w:t>
      </w:r>
    </w:p>
    <w:p w14:paraId="3990AF19" w14:textId="009B0DB0" w:rsidR="004661AE" w:rsidRPr="004661AE" w:rsidRDefault="004661AE">
      <w:pPr>
        <w:rPr>
          <w:sz w:val="20"/>
        </w:rPr>
      </w:pPr>
      <w:r w:rsidRPr="0074674A">
        <w:rPr>
          <w:sz w:val="20"/>
        </w:rPr>
        <w:t xml:space="preserve">The RIA works under GC82 </w:t>
      </w:r>
      <w:r>
        <w:rPr>
          <w:sz w:val="20"/>
        </w:rPr>
        <w:t>are being undertaken</w:t>
      </w:r>
      <w:r w:rsidRPr="0074674A">
        <w:rPr>
          <w:sz w:val="20"/>
        </w:rPr>
        <w:t xml:space="preserve"> in three key construction precincts: Western</w:t>
      </w:r>
      <w:r w:rsidR="006A20F5">
        <w:rPr>
          <w:sz w:val="20"/>
        </w:rPr>
        <w:t xml:space="preserve"> (Tunnel Entrance)</w:t>
      </w:r>
      <w:r w:rsidRPr="0074674A">
        <w:rPr>
          <w:sz w:val="20"/>
        </w:rPr>
        <w:t xml:space="preserve"> Portal,</w:t>
      </w:r>
      <w:r>
        <w:rPr>
          <w:sz w:val="20"/>
        </w:rPr>
        <w:t xml:space="preserve"> </w:t>
      </w:r>
      <w:r w:rsidRPr="00296F2D">
        <w:rPr>
          <w:sz w:val="20"/>
        </w:rPr>
        <w:t>Eastern</w:t>
      </w:r>
      <w:r w:rsidR="006A20F5">
        <w:rPr>
          <w:sz w:val="20"/>
        </w:rPr>
        <w:t xml:space="preserve"> (Tunnel Entrance)</w:t>
      </w:r>
      <w:r w:rsidRPr="00296F2D">
        <w:rPr>
          <w:sz w:val="20"/>
        </w:rPr>
        <w:t xml:space="preserve"> Portal </w:t>
      </w:r>
      <w:r>
        <w:rPr>
          <w:sz w:val="20"/>
        </w:rPr>
        <w:t xml:space="preserve">and Western Turnback. Key activities being carried out by RIA under the </w:t>
      </w:r>
      <w:r w:rsidRPr="0074674A">
        <w:rPr>
          <w:sz w:val="20"/>
        </w:rPr>
        <w:t>Rail Infrastructure &amp; Systems Package, include:</w:t>
      </w:r>
      <w:r>
        <w:t xml:space="preserve"> </w:t>
      </w:r>
    </w:p>
    <w:p w14:paraId="3B679015" w14:textId="6DF02539" w:rsidR="006E05A8" w:rsidRPr="00296F2D" w:rsidRDefault="006E05A8" w:rsidP="006E05A8">
      <w:pPr>
        <w:pStyle w:val="Bullet1"/>
      </w:pPr>
      <w:r>
        <w:t>Construction of concrete structures including approach, decline and cut and cover</w:t>
      </w:r>
    </w:p>
    <w:p w14:paraId="0F0F4BBA" w14:textId="50BABE99" w:rsidR="006E05A8" w:rsidRDefault="006E05A8" w:rsidP="006E05A8">
      <w:pPr>
        <w:pStyle w:val="Bullet1"/>
      </w:pPr>
      <w:r>
        <w:t>Structural steel works</w:t>
      </w:r>
    </w:p>
    <w:p w14:paraId="58D8C6BB" w14:textId="77777777" w:rsidR="006E05A8" w:rsidRPr="00296F2D" w:rsidRDefault="006E05A8" w:rsidP="006E05A8">
      <w:pPr>
        <w:pStyle w:val="Bullet1"/>
      </w:pPr>
      <w:r>
        <w:t>Services works; including power and drainage</w:t>
      </w:r>
    </w:p>
    <w:p w14:paraId="0F4CDB90" w14:textId="77777777" w:rsidR="006E05A8" w:rsidRDefault="006E05A8" w:rsidP="006E05A8">
      <w:pPr>
        <w:pStyle w:val="Bullet1"/>
      </w:pPr>
      <w:r>
        <w:t>Road construction</w:t>
      </w:r>
    </w:p>
    <w:p w14:paraId="128FDECF" w14:textId="77777777" w:rsidR="006E05A8" w:rsidRDefault="006E05A8" w:rsidP="006E05A8">
      <w:pPr>
        <w:pStyle w:val="Bullet1"/>
      </w:pPr>
      <w:r>
        <w:t xml:space="preserve">Landscaping </w:t>
      </w:r>
    </w:p>
    <w:p w14:paraId="34636738" w14:textId="77777777" w:rsidR="006E05A8" w:rsidRDefault="006E05A8" w:rsidP="006E05A8">
      <w:pPr>
        <w:pStyle w:val="Bullet1"/>
      </w:pPr>
      <w:r>
        <w:t>T</w:t>
      </w:r>
      <w:r w:rsidRPr="00296F2D">
        <w:t xml:space="preserve">raffic management </w:t>
      </w:r>
    </w:p>
    <w:p w14:paraId="647B95C6" w14:textId="77777777" w:rsidR="006E05A8" w:rsidRPr="00296F2D" w:rsidRDefault="006E05A8" w:rsidP="006E05A8">
      <w:pPr>
        <w:pStyle w:val="Bullet1"/>
      </w:pPr>
      <w:r>
        <w:t xml:space="preserve">Cut and cover tunnelling </w:t>
      </w:r>
    </w:p>
    <w:p w14:paraId="742DC33D" w14:textId="77777777" w:rsidR="006E05A8" w:rsidRPr="00F469BB" w:rsidRDefault="006E05A8" w:rsidP="006E05A8">
      <w:pPr>
        <w:pStyle w:val="Bullet1"/>
      </w:pPr>
      <w:r>
        <w:t>Combined services route installation and relocation</w:t>
      </w:r>
    </w:p>
    <w:p w14:paraId="1AA7F419" w14:textId="77777777" w:rsidR="006E05A8" w:rsidRPr="00F469BB" w:rsidRDefault="006E05A8" w:rsidP="006E05A8">
      <w:pPr>
        <w:pStyle w:val="Bullet1"/>
      </w:pPr>
      <w:r>
        <w:t xml:space="preserve">Signalling equipment installation </w:t>
      </w:r>
    </w:p>
    <w:p w14:paraId="384C1D27" w14:textId="77777777" w:rsidR="006E05A8" w:rsidRPr="00F469BB" w:rsidRDefault="006E05A8" w:rsidP="006E05A8">
      <w:pPr>
        <w:pStyle w:val="Bullet1"/>
      </w:pPr>
      <w:r>
        <w:t xml:space="preserve">overheard wiring works </w:t>
      </w:r>
    </w:p>
    <w:p w14:paraId="5B07323D" w14:textId="77777777" w:rsidR="006E05A8" w:rsidRDefault="006E05A8" w:rsidP="006E05A8">
      <w:pPr>
        <w:pStyle w:val="Bullet1"/>
      </w:pPr>
      <w:r>
        <w:t xml:space="preserve">Track works </w:t>
      </w:r>
    </w:p>
    <w:p w14:paraId="3E1F3C88" w14:textId="5049EC03" w:rsidR="006E05A8" w:rsidRDefault="006E05A8" w:rsidP="006E05A8">
      <w:pPr>
        <w:pStyle w:val="Bullet1"/>
      </w:pPr>
      <w:r>
        <w:t xml:space="preserve">Construction of a third station platform West Footscray platform. </w:t>
      </w:r>
    </w:p>
    <w:p w14:paraId="3EF001BC" w14:textId="6C3DBEF7" w:rsidR="00184FC0" w:rsidRDefault="00184FC0" w:rsidP="00184FC0">
      <w:pPr>
        <w:pStyle w:val="Heading4"/>
      </w:pPr>
      <w:bookmarkStart w:id="32" w:name="_Ref67402519"/>
      <w:r>
        <w:t>Complaints</w:t>
      </w:r>
      <w:bookmarkEnd w:id="32"/>
      <w:r>
        <w:t xml:space="preserve"> </w:t>
      </w:r>
    </w:p>
    <w:p w14:paraId="2F4B3FE8" w14:textId="599D136F" w:rsidR="00184FC0" w:rsidRPr="00E7098A" w:rsidRDefault="00184FC0" w:rsidP="00184FC0">
      <w:pPr>
        <w:autoSpaceDE w:val="0"/>
        <w:autoSpaceDN w:val="0"/>
        <w:adjustRightInd w:val="0"/>
        <w:spacing w:before="0" w:after="0"/>
        <w:rPr>
          <w:sz w:val="20"/>
        </w:rPr>
      </w:pPr>
      <w:r w:rsidRPr="00E7098A">
        <w:rPr>
          <w:sz w:val="20"/>
        </w:rPr>
        <w:t xml:space="preserve">Complaints are addressed during the course of the IEA Audits </w:t>
      </w:r>
      <w:r>
        <w:rPr>
          <w:sz w:val="20"/>
        </w:rPr>
        <w:t xml:space="preserve">through </w:t>
      </w:r>
      <w:r w:rsidRPr="00E7098A">
        <w:rPr>
          <w:sz w:val="20"/>
        </w:rPr>
        <w:t>auditing EPR</w:t>
      </w:r>
      <w:r>
        <w:rPr>
          <w:sz w:val="20"/>
        </w:rPr>
        <w:t xml:space="preserve"> SC4</w:t>
      </w:r>
      <w:r w:rsidRPr="00E7098A">
        <w:rPr>
          <w:sz w:val="20"/>
        </w:rPr>
        <w:t xml:space="preserve"> Communications</w:t>
      </w:r>
    </w:p>
    <w:p w14:paraId="184898D0" w14:textId="1A1F2D09" w:rsidR="00184FC0" w:rsidRDefault="00184FC0" w:rsidP="00184FC0">
      <w:pPr>
        <w:autoSpaceDE w:val="0"/>
        <w:autoSpaceDN w:val="0"/>
        <w:adjustRightInd w:val="0"/>
        <w:spacing w:before="0" w:after="0"/>
        <w:rPr>
          <w:sz w:val="20"/>
        </w:rPr>
      </w:pPr>
      <w:r w:rsidRPr="00E7098A">
        <w:rPr>
          <w:sz w:val="20"/>
        </w:rPr>
        <w:t>and Stakeholder</w:t>
      </w:r>
      <w:r>
        <w:rPr>
          <w:sz w:val="20"/>
        </w:rPr>
        <w:t xml:space="preserve"> </w:t>
      </w:r>
      <w:r w:rsidRPr="00E7098A">
        <w:rPr>
          <w:sz w:val="20"/>
        </w:rPr>
        <w:t>Relations</w:t>
      </w:r>
      <w:r>
        <w:rPr>
          <w:sz w:val="20"/>
        </w:rPr>
        <w:t xml:space="preserve"> and how the delivery partner </w:t>
      </w:r>
      <w:r w:rsidR="00924EAF">
        <w:rPr>
          <w:sz w:val="20"/>
        </w:rPr>
        <w:t>is</w:t>
      </w:r>
      <w:r>
        <w:rPr>
          <w:sz w:val="20"/>
        </w:rPr>
        <w:t xml:space="preserve"> implementing the complaints management process.</w:t>
      </w:r>
    </w:p>
    <w:p w14:paraId="6C0D903C" w14:textId="4DE9AAC1" w:rsidR="00184FC0" w:rsidRPr="00184FC0" w:rsidRDefault="00184FC0" w:rsidP="00E7098A">
      <w:pPr>
        <w:autoSpaceDE w:val="0"/>
        <w:autoSpaceDN w:val="0"/>
        <w:adjustRightInd w:val="0"/>
        <w:spacing w:before="0" w:after="0"/>
      </w:pPr>
      <w:r w:rsidRPr="00184FC0">
        <w:rPr>
          <w:sz w:val="20"/>
        </w:rPr>
        <w:t xml:space="preserve">Findings against this process may result in non-conformance if complaints are not being appropriately managed. Where no there are no specific IEA findings against under the CEMP, complaints are being managed in accordance with the relevant plans. </w:t>
      </w:r>
    </w:p>
    <w:p w14:paraId="20AF1D8A" w14:textId="2B59AC2D" w:rsidR="00FD3E6A" w:rsidRDefault="005C0E2F" w:rsidP="002C7890">
      <w:pPr>
        <w:pStyle w:val="Heading3"/>
      </w:pPr>
      <w:r>
        <w:t>A</w:t>
      </w:r>
      <w:r w:rsidR="00FD3E6A">
        <w:t xml:space="preserve">udit </w:t>
      </w:r>
      <w:r w:rsidR="002A535C">
        <w:t>C</w:t>
      </w:r>
      <w:r w:rsidR="00537981">
        <w:t>lassifications</w:t>
      </w:r>
    </w:p>
    <w:p w14:paraId="5335EF79" w14:textId="77777777" w:rsidR="004661AE" w:rsidRDefault="004661AE" w:rsidP="00DE64EC">
      <w:pPr>
        <w:pStyle w:val="BodyText"/>
      </w:pPr>
      <w:r>
        <w:t xml:space="preserve">The IEA (KPMG) used different audit classifications during the relevant period that were attributable to the type of audit being carried out. </w:t>
      </w:r>
    </w:p>
    <w:p w14:paraId="5730E92B" w14:textId="759E0543" w:rsidR="004661AE" w:rsidRDefault="004661AE" w:rsidP="00D2493C">
      <w:pPr>
        <w:pStyle w:val="Bullet1"/>
      </w:pPr>
      <w:r>
        <w:t>Pre-commencement audits were documentation-based</w:t>
      </w:r>
      <w:r w:rsidRPr="00EE4BF0">
        <w:t xml:space="preserve"> </w:t>
      </w:r>
      <w:r>
        <w:t>desktop audits, testing plans, sub-plans and other relevant documentation against selected EPRs. A compliance-based classification was agreed as the most suitable means of rating the findings.</w:t>
      </w:r>
    </w:p>
    <w:p w14:paraId="0A6E0C43" w14:textId="77777777" w:rsidR="004661AE" w:rsidRDefault="004661AE" w:rsidP="00D2493C">
      <w:pPr>
        <w:pStyle w:val="Bullet1"/>
      </w:pPr>
      <w:r>
        <w:t xml:space="preserve">Implementation Audits were initially agreed to be based on risk levels to consider the relative potential impacts of non-compliances. </w:t>
      </w:r>
    </w:p>
    <w:p w14:paraId="507AF91F" w14:textId="03992B7F" w:rsidR="00971D30" w:rsidRDefault="004661AE" w:rsidP="00E7098A">
      <w:pPr>
        <w:pStyle w:val="BodyText"/>
      </w:pPr>
      <w:r>
        <w:lastRenderedPageBreak/>
        <w:t xml:space="preserve">However, after initial Implementation Audits had been completed, it was decided that audit findings would be better suited as a compliance-based classification, which also better aligned to the purpose of the audits. This also allowed for consistency with the pre-commencement desktop audits and a direct comparison of findings. </w:t>
      </w:r>
    </w:p>
    <w:p w14:paraId="04697E64" w14:textId="6D4026E6" w:rsidR="007B67F5" w:rsidRDefault="009C4FC9" w:rsidP="00D2493C">
      <w:pPr>
        <w:pStyle w:val="Caption"/>
      </w:pPr>
      <w:r w:rsidRPr="00AD5BFB">
        <w:t xml:space="preserve">Table </w:t>
      </w:r>
      <w:r w:rsidRPr="00AD5BFB">
        <w:fldChar w:fldCharType="begin"/>
      </w:r>
      <w:r w:rsidRPr="00AD5BFB">
        <w:instrText xml:space="preserve"> STYLEREF 1 \s </w:instrText>
      </w:r>
      <w:r w:rsidRPr="00AD5BFB">
        <w:fldChar w:fldCharType="separate"/>
      </w:r>
      <w:r w:rsidR="00E77B24">
        <w:rPr>
          <w:noProof/>
        </w:rPr>
        <w:t>0</w:t>
      </w:r>
      <w:r w:rsidRPr="00AD5BFB">
        <w:fldChar w:fldCharType="end"/>
      </w:r>
      <w:r w:rsidRPr="00AD5BFB">
        <w:noBreakHyphen/>
      </w:r>
      <w:r>
        <w:t>2</w:t>
      </w:r>
      <w:r w:rsidRPr="00AD5BFB">
        <w:t xml:space="preserve"> </w:t>
      </w:r>
      <w:r>
        <w:t xml:space="preserve">audit classifications </w:t>
      </w:r>
    </w:p>
    <w:tbl>
      <w:tblPr>
        <w:tblStyle w:val="MRL"/>
        <w:tblW w:w="0" w:type="auto"/>
        <w:tblLook w:val="04A0" w:firstRow="1" w:lastRow="0" w:firstColumn="1" w:lastColumn="0" w:noHBand="0" w:noVBand="1"/>
      </w:tblPr>
      <w:tblGrid>
        <w:gridCol w:w="1150"/>
        <w:gridCol w:w="7234"/>
      </w:tblGrid>
      <w:tr w:rsidR="007B67F5" w14:paraId="71472C19" w14:textId="77777777" w:rsidTr="00D249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E2272BB" w14:textId="05383F34" w:rsidR="007B67F5" w:rsidRPr="007B67F5" w:rsidRDefault="007B67F5" w:rsidP="007B67F5">
            <w:pPr>
              <w:spacing w:before="144" w:after="144" w:line="360" w:lineRule="auto"/>
              <w:rPr>
                <w:rFonts w:eastAsia="Times New Roman"/>
                <w:color w:val="auto"/>
                <w:sz w:val="18"/>
                <w:szCs w:val="18"/>
              </w:rPr>
            </w:pPr>
            <w:r w:rsidRPr="007B67F5">
              <w:rPr>
                <w:rFonts w:eastAsia="Times New Roman"/>
                <w:color w:val="auto"/>
                <w:sz w:val="18"/>
                <w:szCs w:val="18"/>
              </w:rPr>
              <w:t xml:space="preserve">FINDING </w:t>
            </w:r>
          </w:p>
        </w:tc>
        <w:tc>
          <w:tcPr>
            <w:tcW w:w="7234" w:type="dxa"/>
          </w:tcPr>
          <w:p w14:paraId="6A9856CF" w14:textId="1DC73171" w:rsidR="007B67F5" w:rsidRPr="007B67F5" w:rsidRDefault="007B67F5" w:rsidP="007B67F5">
            <w:pPr>
              <w:spacing w:before="144" w:after="144" w:line="360" w:lineRule="auto"/>
              <w:cnfStyle w:val="100000000000" w:firstRow="1" w:lastRow="0" w:firstColumn="0" w:lastColumn="0" w:oddVBand="0" w:evenVBand="0" w:oddHBand="0" w:evenHBand="0" w:firstRowFirstColumn="0" w:firstRowLastColumn="0" w:lastRowFirstColumn="0" w:lastRowLastColumn="0"/>
              <w:rPr>
                <w:rFonts w:eastAsia="Times New Roman"/>
                <w:color w:val="auto"/>
                <w:sz w:val="18"/>
                <w:szCs w:val="18"/>
              </w:rPr>
            </w:pPr>
            <w:r w:rsidRPr="007B67F5">
              <w:rPr>
                <w:rFonts w:eastAsia="Times New Roman"/>
                <w:color w:val="auto"/>
                <w:sz w:val="18"/>
                <w:szCs w:val="18"/>
              </w:rPr>
              <w:t xml:space="preserve">DESCRIPTION </w:t>
            </w:r>
          </w:p>
        </w:tc>
      </w:tr>
      <w:tr w:rsidR="007B67F5" w14:paraId="70E18CEB" w14:textId="77777777" w:rsidTr="00D24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273A04F" w14:textId="77777777" w:rsidR="007B67F5" w:rsidRPr="007B67F5" w:rsidRDefault="007B67F5" w:rsidP="00D2493C">
            <w:r w:rsidRPr="007B67F5">
              <w:t>Complies (C)</w:t>
            </w:r>
          </w:p>
        </w:tc>
        <w:tc>
          <w:tcPr>
            <w:tcW w:w="7234" w:type="dxa"/>
          </w:tcPr>
          <w:p w14:paraId="196C756D" w14:textId="3C007DDF" w:rsidR="007B67F5" w:rsidRPr="007B67F5" w:rsidRDefault="007B67F5" w:rsidP="00D2493C">
            <w:pPr>
              <w:cnfStyle w:val="000000100000" w:firstRow="0" w:lastRow="0" w:firstColumn="0" w:lastColumn="0" w:oddVBand="0" w:evenVBand="0" w:oddHBand="1" w:evenHBand="0" w:firstRowFirstColumn="0" w:firstRowLastColumn="0" w:lastRowFirstColumn="0" w:lastRowLastColumn="0"/>
            </w:pPr>
            <w:r w:rsidRPr="007B67F5">
              <w:t>The response fully satisfies the requirement (being a requirement of a</w:t>
            </w:r>
            <w:r w:rsidR="0017001A">
              <w:t xml:space="preserve"> </w:t>
            </w:r>
            <w:r w:rsidRPr="007B67F5">
              <w:t>framework, standard or other guidance used to set the performance standard of the project).</w:t>
            </w:r>
          </w:p>
        </w:tc>
      </w:tr>
      <w:tr w:rsidR="007B67F5" w14:paraId="6D70ADAD" w14:textId="77777777" w:rsidTr="00D24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7E807AA" w14:textId="4BA8E2DD" w:rsidR="007B67F5" w:rsidRPr="007B67F5" w:rsidRDefault="007B67F5" w:rsidP="00D2493C">
            <w:r w:rsidRPr="007B67F5">
              <w:t>Does Not Comply (DNC)</w:t>
            </w:r>
          </w:p>
        </w:tc>
        <w:tc>
          <w:tcPr>
            <w:tcW w:w="7234" w:type="dxa"/>
          </w:tcPr>
          <w:p w14:paraId="3B7AB4A3" w14:textId="77777777" w:rsidR="007B67F5" w:rsidRPr="007B67F5" w:rsidRDefault="007B67F5" w:rsidP="00D2493C">
            <w:pPr>
              <w:cnfStyle w:val="000000010000" w:firstRow="0" w:lastRow="0" w:firstColumn="0" w:lastColumn="0" w:oddVBand="0" w:evenVBand="0" w:oddHBand="0" w:evenHBand="1" w:firstRowFirstColumn="0" w:firstRowLastColumn="0" w:lastRowFirstColumn="0" w:lastRowLastColumn="0"/>
            </w:pPr>
            <w:r w:rsidRPr="007B67F5">
              <w:t>The response does not satisfy the requirement.</w:t>
            </w:r>
          </w:p>
        </w:tc>
      </w:tr>
      <w:tr w:rsidR="007B67F5" w14:paraId="16FF59D8" w14:textId="77777777" w:rsidTr="00D24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6C3A53C" w14:textId="29142130" w:rsidR="007B67F5" w:rsidRPr="007B67F5" w:rsidRDefault="007B67F5" w:rsidP="00D2493C">
            <w:r w:rsidRPr="007B67F5">
              <w:t>Partially complies (PC)</w:t>
            </w:r>
          </w:p>
        </w:tc>
        <w:tc>
          <w:tcPr>
            <w:tcW w:w="7234" w:type="dxa"/>
          </w:tcPr>
          <w:p w14:paraId="6AA6AB1D" w14:textId="2722DE9D" w:rsidR="007B67F5" w:rsidRPr="007B67F5" w:rsidRDefault="007B67F5" w:rsidP="00D2493C">
            <w:pPr>
              <w:cnfStyle w:val="000000100000" w:firstRow="0" w:lastRow="0" w:firstColumn="0" w:lastColumn="0" w:oddVBand="0" w:evenVBand="0" w:oddHBand="1" w:evenHBand="0" w:firstRowFirstColumn="0" w:firstRowLastColumn="0" w:lastRowFirstColumn="0" w:lastRowLastColumn="0"/>
            </w:pPr>
            <w:r w:rsidRPr="007B67F5">
              <w:t>The response partially satisfies the requirement; is in progress to satisfy the</w:t>
            </w:r>
            <w:r w:rsidR="00566C3B">
              <w:t xml:space="preserve"> </w:t>
            </w:r>
            <w:r w:rsidR="00566C3B" w:rsidRPr="007B67F5">
              <w:t>requirement or</w:t>
            </w:r>
            <w:r w:rsidRPr="007B67F5">
              <w:t xml:space="preserve"> is part of a demonstrated Sub-Plan or plan to satisfy the requirement.</w:t>
            </w:r>
          </w:p>
        </w:tc>
      </w:tr>
      <w:tr w:rsidR="007B67F5" w14:paraId="478C3963" w14:textId="77777777" w:rsidTr="00D24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D2672EE" w14:textId="17B3393C" w:rsidR="007B67F5" w:rsidRPr="007B67F5" w:rsidRDefault="007B67F5" w:rsidP="00D2493C">
            <w:r w:rsidRPr="007B67F5">
              <w:t>Potential Improvement Opportunity (PIO)</w:t>
            </w:r>
          </w:p>
        </w:tc>
        <w:tc>
          <w:tcPr>
            <w:tcW w:w="7234" w:type="dxa"/>
          </w:tcPr>
          <w:p w14:paraId="27140EE5" w14:textId="78EF135D" w:rsidR="007B67F5" w:rsidRPr="007B67F5" w:rsidRDefault="007B67F5" w:rsidP="00D2493C">
            <w:pPr>
              <w:cnfStyle w:val="000000010000" w:firstRow="0" w:lastRow="0" w:firstColumn="0" w:lastColumn="0" w:oddVBand="0" w:evenVBand="0" w:oddHBand="0" w:evenHBand="1" w:firstRowFirstColumn="0" w:firstRowLastColumn="0" w:lastRowFirstColumn="0" w:lastRowLastColumn="0"/>
            </w:pPr>
            <w:r w:rsidRPr="007B67F5">
              <w:t>Where in the course of the audit work, an opportunity has been identified to improve a process or procedure.</w:t>
            </w:r>
            <w:r w:rsidR="002B1232">
              <w:t xml:space="preserve"> </w:t>
            </w:r>
            <w:r w:rsidR="00B74C23" w:rsidRPr="00B74C23">
              <w:rPr>
                <w:lang w:val="en-AU"/>
              </w:rPr>
              <w:t xml:space="preserve">A PIO is an opportunity to improve upon a process or procedure. </w:t>
            </w:r>
            <w:r w:rsidR="00773D1F">
              <w:rPr>
                <w:lang w:val="en-AU"/>
              </w:rPr>
              <w:t>It</w:t>
            </w:r>
            <w:r w:rsidR="00B74C23" w:rsidRPr="00B74C23">
              <w:rPr>
                <w:lang w:val="en-AU"/>
              </w:rPr>
              <w:t xml:space="preserve"> does</w:t>
            </w:r>
            <w:r w:rsidR="00B74C23">
              <w:rPr>
                <w:lang w:val="en-AU"/>
              </w:rPr>
              <w:t xml:space="preserve"> </w:t>
            </w:r>
            <w:r w:rsidR="00B74C23" w:rsidRPr="00B74C23">
              <w:rPr>
                <w:lang w:val="en-AU"/>
              </w:rPr>
              <w:t xml:space="preserve">not represent a non-compliance and </w:t>
            </w:r>
            <w:r w:rsidR="00B84C2A">
              <w:rPr>
                <w:lang w:val="en-AU"/>
              </w:rPr>
              <w:t>therefore</w:t>
            </w:r>
            <w:r w:rsidR="00B74C23" w:rsidRPr="00B74C23">
              <w:rPr>
                <w:lang w:val="en-AU"/>
              </w:rPr>
              <w:t xml:space="preserve"> is not required to be addressed to</w:t>
            </w:r>
            <w:r w:rsidR="00B74C23">
              <w:rPr>
                <w:lang w:val="en-AU"/>
              </w:rPr>
              <w:t xml:space="preserve"> </w:t>
            </w:r>
            <w:r w:rsidR="00B74C23" w:rsidRPr="00B74C23">
              <w:rPr>
                <w:lang w:val="en-AU"/>
              </w:rPr>
              <w:t>achieve compliance. For this reason, there is no follow up required to close</w:t>
            </w:r>
            <w:r w:rsidR="00B74C23">
              <w:rPr>
                <w:lang w:val="en-AU"/>
              </w:rPr>
              <w:t xml:space="preserve"> </w:t>
            </w:r>
            <w:r w:rsidR="00B74C23" w:rsidRPr="00B74C23">
              <w:rPr>
                <w:lang w:val="en-AU"/>
              </w:rPr>
              <w:t>out PIOs.</w:t>
            </w:r>
          </w:p>
        </w:tc>
      </w:tr>
      <w:tr w:rsidR="00814977" w:rsidRPr="007B67F5" w14:paraId="21AE2C03" w14:textId="77777777" w:rsidTr="00D24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01F6437" w14:textId="77777777" w:rsidR="00814977" w:rsidRPr="007B67F5" w:rsidRDefault="00814977" w:rsidP="00D2493C">
            <w:r w:rsidRPr="009F22EC">
              <w:rPr>
                <w:bCs/>
              </w:rPr>
              <w:t xml:space="preserve">Critical </w:t>
            </w:r>
          </w:p>
        </w:tc>
        <w:tc>
          <w:tcPr>
            <w:tcW w:w="7234" w:type="dxa"/>
          </w:tcPr>
          <w:p w14:paraId="3F545784" w14:textId="77777777" w:rsidR="00814977" w:rsidRPr="007B67F5" w:rsidRDefault="00814977" w:rsidP="00D2493C">
            <w:pPr>
              <w:cnfStyle w:val="000000100000" w:firstRow="0" w:lastRow="0" w:firstColumn="0" w:lastColumn="0" w:oddVBand="0" w:evenVBand="0" w:oddHBand="1" w:evenHBand="0" w:firstRowFirstColumn="0" w:firstRowLastColumn="0" w:lastRowFirstColumn="0" w:lastRowLastColumn="0"/>
            </w:pPr>
            <w:r w:rsidRPr="009F22EC">
              <w:rPr>
                <w:bCs/>
              </w:rPr>
              <w:t>Issue represents control weakness, which could cause or is causing severe disruption of the process or severe adverse effect on the ability to achieve activity / process / project objectives.</w:t>
            </w:r>
          </w:p>
        </w:tc>
      </w:tr>
      <w:tr w:rsidR="00814977" w:rsidRPr="007B67F5" w14:paraId="5A9DD625" w14:textId="77777777" w:rsidTr="00D24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1DB2663" w14:textId="77777777" w:rsidR="00814977" w:rsidRPr="007B67F5" w:rsidRDefault="00814977" w:rsidP="00D2493C">
            <w:r>
              <w:t>High</w:t>
            </w:r>
          </w:p>
        </w:tc>
        <w:tc>
          <w:tcPr>
            <w:tcW w:w="7234" w:type="dxa"/>
          </w:tcPr>
          <w:p w14:paraId="3F5C7FC1" w14:textId="77777777" w:rsidR="00814977" w:rsidRPr="007B67F5" w:rsidRDefault="00814977" w:rsidP="00D2493C">
            <w:pPr>
              <w:cnfStyle w:val="000000010000" w:firstRow="0" w:lastRow="0" w:firstColumn="0" w:lastColumn="0" w:oddVBand="0" w:evenVBand="0" w:oddHBand="0" w:evenHBand="1" w:firstRowFirstColumn="0" w:firstRowLastColumn="0" w:lastRowFirstColumn="0" w:lastRowLastColumn="0"/>
            </w:pPr>
            <w:r w:rsidRPr="00046C73">
              <w:t>Issue represents a control weakness, which could have or is having major adverse effect on the ability to achieve activity / process / project objectives.</w:t>
            </w:r>
          </w:p>
        </w:tc>
      </w:tr>
      <w:tr w:rsidR="00814977" w:rsidRPr="00046C73" w14:paraId="2E8AC59F" w14:textId="77777777" w:rsidTr="00D24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42D2AC5" w14:textId="77777777" w:rsidR="00814977" w:rsidRDefault="00814977" w:rsidP="00D2493C">
            <w:r>
              <w:t>Moderate</w:t>
            </w:r>
          </w:p>
        </w:tc>
        <w:tc>
          <w:tcPr>
            <w:tcW w:w="7234" w:type="dxa"/>
          </w:tcPr>
          <w:p w14:paraId="03CEC5E6" w14:textId="77777777" w:rsidR="00814977" w:rsidRPr="00046C73" w:rsidRDefault="00814977" w:rsidP="00D2493C">
            <w:pPr>
              <w:cnfStyle w:val="000000100000" w:firstRow="0" w:lastRow="0" w:firstColumn="0" w:lastColumn="0" w:oddVBand="0" w:evenVBand="0" w:oddHBand="1" w:evenHBand="0" w:firstRowFirstColumn="0" w:firstRowLastColumn="0" w:lastRowFirstColumn="0" w:lastRowLastColumn="0"/>
            </w:pPr>
            <w:r w:rsidRPr="00046C73">
              <w:t>Issue represents a control weakness, which could have or is having significant adverse effect on the ability to achieve activity / process / project objectives</w:t>
            </w:r>
          </w:p>
        </w:tc>
      </w:tr>
      <w:tr w:rsidR="00814977" w:rsidRPr="00046C73" w14:paraId="228941B6" w14:textId="77777777" w:rsidTr="00D24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CCC4007" w14:textId="77777777" w:rsidR="00814977" w:rsidRDefault="00814977" w:rsidP="00D2493C">
            <w:r>
              <w:t>Low</w:t>
            </w:r>
          </w:p>
        </w:tc>
        <w:tc>
          <w:tcPr>
            <w:tcW w:w="7234" w:type="dxa"/>
          </w:tcPr>
          <w:p w14:paraId="62C10928" w14:textId="77777777" w:rsidR="00814977" w:rsidRPr="00046C73" w:rsidRDefault="00814977" w:rsidP="00D2493C">
            <w:pPr>
              <w:cnfStyle w:val="000000010000" w:firstRow="0" w:lastRow="0" w:firstColumn="0" w:lastColumn="0" w:oddVBand="0" w:evenVBand="0" w:oddHBand="0" w:evenHBand="1" w:firstRowFirstColumn="0" w:firstRowLastColumn="0" w:lastRowFirstColumn="0" w:lastRowLastColumn="0"/>
            </w:pPr>
            <w:r w:rsidRPr="00046C73">
              <w:t>Issue represents a minor control weakness, with minimal but reportable impact on the ability to achieve activity / process / project objectives.</w:t>
            </w:r>
          </w:p>
        </w:tc>
      </w:tr>
    </w:tbl>
    <w:p w14:paraId="67E09E29" w14:textId="02534EBA" w:rsidR="00AD558B" w:rsidRPr="00344987" w:rsidRDefault="00AD558B" w:rsidP="00AD558B">
      <w:pPr>
        <w:pStyle w:val="BodyText"/>
      </w:pPr>
    </w:p>
    <w:p w14:paraId="74D64607" w14:textId="6C4AC4D2" w:rsidR="005C0E2F" w:rsidRDefault="00814977" w:rsidP="00116BB3">
      <w:pPr>
        <w:pStyle w:val="Heading1"/>
        <w:ind w:right="141"/>
      </w:pPr>
      <w:bookmarkStart w:id="33" w:name="_Toc96586778"/>
      <w:r>
        <w:lastRenderedPageBreak/>
        <w:t xml:space="preserve">Completed </w:t>
      </w:r>
      <w:r w:rsidR="005C0E2F">
        <w:t>Audit</w:t>
      </w:r>
      <w:r>
        <w:t>s</w:t>
      </w:r>
      <w:bookmarkEnd w:id="33"/>
    </w:p>
    <w:p w14:paraId="293FCBD6" w14:textId="00F69BD9" w:rsidR="000E74FC" w:rsidRDefault="000E74FC" w:rsidP="000E74FC">
      <w:pPr>
        <w:pStyle w:val="Heading2"/>
      </w:pPr>
      <w:bookmarkStart w:id="34" w:name="_Toc96586779"/>
      <w:r>
        <w:t>Pre-commencement Audit Q4 2018</w:t>
      </w:r>
      <w:bookmarkEnd w:id="34"/>
      <w:r>
        <w:t xml:space="preserve"> </w:t>
      </w:r>
    </w:p>
    <w:p w14:paraId="266384B4" w14:textId="37799BAE" w:rsidR="00814977" w:rsidRDefault="00814977" w:rsidP="00814977">
      <w:pPr>
        <w:pStyle w:val="Heading3"/>
      </w:pPr>
      <w:r>
        <w:t>Audit Scope</w:t>
      </w:r>
    </w:p>
    <w:p w14:paraId="28E88B6D" w14:textId="26265AFD" w:rsidR="006A50D3" w:rsidRPr="0074674A" w:rsidRDefault="00650528" w:rsidP="00F003DA">
      <w:pPr>
        <w:pStyle w:val="BodyText"/>
        <w:rPr>
          <w:highlight w:val="yellow"/>
        </w:rPr>
      </w:pPr>
      <w:r>
        <w:t>The</w:t>
      </w:r>
      <w:r w:rsidR="00365DDE">
        <w:t xml:space="preserve"> Pre-</w:t>
      </w:r>
      <w:r w:rsidR="005021F0">
        <w:t>c</w:t>
      </w:r>
      <w:r w:rsidR="00365DDE">
        <w:t xml:space="preserve">ommencement Audit conducted in </w:t>
      </w:r>
      <w:r w:rsidR="005021F0">
        <w:t xml:space="preserve">Q4 </w:t>
      </w:r>
      <w:r w:rsidR="00365DDE">
        <w:t xml:space="preserve">2018 </w:t>
      </w:r>
      <w:r>
        <w:t xml:space="preserve">reviewed the compliance of </w:t>
      </w:r>
      <w:r w:rsidR="00724FCC">
        <w:t>RIA</w:t>
      </w:r>
      <w:r>
        <w:t xml:space="preserve">’s early works at the Eastern </w:t>
      </w:r>
      <w:r w:rsidR="006A20F5">
        <w:t xml:space="preserve">(Tunnel Entrance) </w:t>
      </w:r>
      <w:r>
        <w:t>Portal and Western</w:t>
      </w:r>
      <w:r w:rsidR="006A20F5">
        <w:t xml:space="preserve"> (Tunnel Entrance)</w:t>
      </w:r>
      <w:r>
        <w:t xml:space="preserve"> Portal</w:t>
      </w:r>
      <w:r w:rsidR="00365DDE">
        <w:t xml:space="preserve"> </w:t>
      </w:r>
      <w:r>
        <w:t>against EPRs</w:t>
      </w:r>
      <w:r w:rsidR="005021F0">
        <w:t>.</w:t>
      </w:r>
      <w:r>
        <w:t xml:space="preserve"> </w:t>
      </w:r>
      <w:r w:rsidR="00F003DA">
        <w:t>This include</w:t>
      </w:r>
      <w:r w:rsidR="00F27D9F">
        <w:t>d</w:t>
      </w:r>
      <w:r w:rsidR="00F003DA">
        <w:t xml:space="preserve"> </w:t>
      </w:r>
      <w:r w:rsidR="00F003DA" w:rsidRPr="00F003DA">
        <w:t>c</w:t>
      </w:r>
      <w:r w:rsidR="006A50D3" w:rsidRPr="00BF51DB">
        <w:t xml:space="preserve">onfirmation that the RIA’s </w:t>
      </w:r>
      <w:r w:rsidR="005021F0">
        <w:t>m</w:t>
      </w:r>
      <w:r w:rsidR="006A50D3" w:rsidRPr="00BF51DB">
        <w:t xml:space="preserve">anagement </w:t>
      </w:r>
      <w:r w:rsidR="005021F0">
        <w:t>p</w:t>
      </w:r>
      <w:r w:rsidR="006A50D3" w:rsidRPr="00BF51DB">
        <w:t>lans (including the CEMP and associated sub-management</w:t>
      </w:r>
      <w:r w:rsidR="006A50D3" w:rsidRPr="00EA49F4">
        <w:t xml:space="preserve"> plans) </w:t>
      </w:r>
      <w:r w:rsidR="005021F0">
        <w:t xml:space="preserve">complied with </w:t>
      </w:r>
      <w:r w:rsidR="006A50D3" w:rsidRPr="00F003DA">
        <w:t>requirements</w:t>
      </w:r>
      <w:r w:rsidR="00F003DA" w:rsidRPr="0074674A">
        <w:t xml:space="preserve">. </w:t>
      </w:r>
    </w:p>
    <w:p w14:paraId="475114E5" w14:textId="2876A011" w:rsidR="00860C54" w:rsidRDefault="00860C54" w:rsidP="00860C54">
      <w:pPr>
        <w:pStyle w:val="BodyText"/>
      </w:pPr>
      <w:r>
        <w:t>EPRs reviewed within the scope of the Pre-</w:t>
      </w:r>
      <w:r w:rsidR="005021F0">
        <w:t>c</w:t>
      </w:r>
      <w:r>
        <w:t>ommencement Audit Q</w:t>
      </w:r>
      <w:r w:rsidR="005248BF">
        <w:t>4</w:t>
      </w:r>
      <w:r>
        <w:t xml:space="preserve"> 201</w:t>
      </w:r>
      <w:r w:rsidR="005248BF">
        <w:t>8</w:t>
      </w:r>
      <w:r>
        <w:t xml:space="preserve"> were:</w:t>
      </w:r>
    </w:p>
    <w:p w14:paraId="14EC01D3" w14:textId="210E6DF0" w:rsidR="00860C54" w:rsidRPr="00296F2D" w:rsidRDefault="00860C54" w:rsidP="00D2493C">
      <w:pPr>
        <w:pStyle w:val="Bullet1"/>
      </w:pPr>
      <w:r>
        <w:t xml:space="preserve">Environmental Management Framework: EMF1, </w:t>
      </w:r>
      <w:r w:rsidRPr="00860C54">
        <w:t>EMF2, EMF3, EMF4</w:t>
      </w:r>
    </w:p>
    <w:p w14:paraId="41642B81" w14:textId="60AF306D" w:rsidR="00860C54" w:rsidRDefault="00860C54" w:rsidP="00D2493C">
      <w:pPr>
        <w:pStyle w:val="Bullet1"/>
      </w:pPr>
      <w:r>
        <w:t>Aquatic Ecology &amp; River Health: AE1, AE2, AE3</w:t>
      </w:r>
    </w:p>
    <w:p w14:paraId="3A504219" w14:textId="78338027" w:rsidR="00860C54" w:rsidRDefault="00860C54" w:rsidP="00D2493C">
      <w:pPr>
        <w:pStyle w:val="Bullet1"/>
      </w:pPr>
      <w:r>
        <w:t>Aboriginal Cultural Heritage: AH1</w:t>
      </w:r>
    </w:p>
    <w:p w14:paraId="747C98D3" w14:textId="644293F0" w:rsidR="00860C54" w:rsidRDefault="00860C54" w:rsidP="00D2493C">
      <w:pPr>
        <w:pStyle w:val="Bullet1"/>
      </w:pPr>
      <w:r>
        <w:t>Air Quality: AQ1, AQ2, AQ3</w:t>
      </w:r>
    </w:p>
    <w:p w14:paraId="6E413C5F" w14:textId="291A0531" w:rsidR="00860C54" w:rsidRDefault="00860C54" w:rsidP="00D2493C">
      <w:pPr>
        <w:pStyle w:val="Bullet1"/>
      </w:pPr>
      <w:r>
        <w:t>Arboriculture: AR1, AR4, AR5</w:t>
      </w:r>
    </w:p>
    <w:p w14:paraId="6645E617" w14:textId="4ACB2CBB" w:rsidR="00860C54" w:rsidRDefault="00860C54" w:rsidP="00D2493C">
      <w:pPr>
        <w:pStyle w:val="Bullet1"/>
      </w:pPr>
      <w:r>
        <w:t>Business: B2, B3</w:t>
      </w:r>
    </w:p>
    <w:p w14:paraId="6F7FF120" w14:textId="5DF9F7B7" w:rsidR="00860C54" w:rsidRDefault="00860C54" w:rsidP="00D2493C">
      <w:pPr>
        <w:pStyle w:val="Bullet1"/>
      </w:pPr>
      <w:r>
        <w:t>Contaminated Land and Spoil Management: C1, C2, C3, C4</w:t>
      </w:r>
    </w:p>
    <w:p w14:paraId="59A10CEF" w14:textId="6927D415" w:rsidR="00860C54" w:rsidRDefault="00860C54" w:rsidP="00D2493C">
      <w:pPr>
        <w:pStyle w:val="Bullet1"/>
      </w:pPr>
      <w:r>
        <w:t>Historical Cultural Heritage: CH1, CH2, CH3, CH4, CH6, CH9, CH11. CH24</w:t>
      </w:r>
    </w:p>
    <w:p w14:paraId="380009D6" w14:textId="788FA593" w:rsidR="00860C54" w:rsidRDefault="00860C54" w:rsidP="00D2493C">
      <w:pPr>
        <w:pStyle w:val="Bullet1"/>
      </w:pPr>
      <w:r>
        <w:t>Flora and Fauna- Terrestrial: FF1, FF2, FF3</w:t>
      </w:r>
    </w:p>
    <w:p w14:paraId="39CFE294" w14:textId="1C50F117" w:rsidR="00860C54" w:rsidRDefault="00860C54" w:rsidP="00D2493C">
      <w:pPr>
        <w:pStyle w:val="Bullet1"/>
      </w:pPr>
      <w:r>
        <w:t>Ground Movement and Land Stability: GM2, GM4, GM5, GM6</w:t>
      </w:r>
    </w:p>
    <w:p w14:paraId="683DCA6E" w14:textId="3E4E02DB" w:rsidR="00860C54" w:rsidRDefault="00860C54" w:rsidP="00D2493C">
      <w:pPr>
        <w:pStyle w:val="Bullet1"/>
      </w:pPr>
      <w:r>
        <w:t>Groundwater: GW2</w:t>
      </w:r>
    </w:p>
    <w:p w14:paraId="51D06FBD" w14:textId="7A3D3ABD" w:rsidR="00860C54" w:rsidRDefault="00860C54" w:rsidP="00D2493C">
      <w:pPr>
        <w:pStyle w:val="Bullet1"/>
      </w:pPr>
      <w:r>
        <w:t>Land Use and Planning: LU1, LU4</w:t>
      </w:r>
    </w:p>
    <w:p w14:paraId="1A036E9B" w14:textId="6E303A00" w:rsidR="00860C54" w:rsidRDefault="00860C54" w:rsidP="00D2493C">
      <w:pPr>
        <w:pStyle w:val="Bullet1"/>
      </w:pPr>
      <w:r>
        <w:t>Landscape and Visual: LV1, LV2, LV3, LV4</w:t>
      </w:r>
    </w:p>
    <w:p w14:paraId="4B2DFCD9" w14:textId="140A9776" w:rsidR="00860C54" w:rsidRDefault="00860C54" w:rsidP="00D2493C">
      <w:pPr>
        <w:pStyle w:val="Bullet1"/>
      </w:pPr>
      <w:r>
        <w:t>Noise and Vibration: NV1, NV3, NV4, NV5, NV7, NV8, NV9, NV10, NV11, NV13, NV21</w:t>
      </w:r>
    </w:p>
    <w:p w14:paraId="75614F8C" w14:textId="0E8B61A8" w:rsidR="00860C54" w:rsidRDefault="00860C54" w:rsidP="00D2493C">
      <w:pPr>
        <w:pStyle w:val="Bullet1"/>
      </w:pPr>
      <w:r>
        <w:t>Social and Community: SC2, SC4, SC6, SC10</w:t>
      </w:r>
    </w:p>
    <w:p w14:paraId="142E1F3C" w14:textId="6DD3722B" w:rsidR="000032C6" w:rsidRDefault="000032C6" w:rsidP="00D2493C">
      <w:pPr>
        <w:pStyle w:val="Bullet1"/>
      </w:pPr>
      <w:r>
        <w:t>Surface Water: SW1, SW2</w:t>
      </w:r>
    </w:p>
    <w:p w14:paraId="2CFE4AFF" w14:textId="63067112" w:rsidR="00860C54" w:rsidRDefault="000032C6" w:rsidP="00D2493C">
      <w:pPr>
        <w:pStyle w:val="Bullet1"/>
      </w:pPr>
      <w:r>
        <w:t>Transport: T2</w:t>
      </w:r>
      <w:r w:rsidR="005248BF">
        <w:t>,</w:t>
      </w:r>
      <w:r>
        <w:t xml:space="preserve"> T3</w:t>
      </w:r>
      <w:r w:rsidR="005248BF">
        <w:t>,</w:t>
      </w:r>
      <w:r>
        <w:t xml:space="preserve"> T4</w:t>
      </w:r>
      <w:r w:rsidR="005248BF">
        <w:t>,</w:t>
      </w:r>
      <w:r>
        <w:t xml:space="preserve"> T5</w:t>
      </w:r>
      <w:r w:rsidR="005248BF">
        <w:t>,</w:t>
      </w:r>
      <w:r>
        <w:t xml:space="preserve"> T6</w:t>
      </w:r>
      <w:r w:rsidR="005248BF">
        <w:t>,</w:t>
      </w:r>
      <w:r>
        <w:t xml:space="preserve"> T7</w:t>
      </w:r>
      <w:r w:rsidR="005248BF">
        <w:t>,</w:t>
      </w:r>
      <w:r>
        <w:t xml:space="preserve"> T10</w:t>
      </w:r>
    </w:p>
    <w:p w14:paraId="092CB22F" w14:textId="12BC651B" w:rsidR="00604F0E" w:rsidRDefault="00604F0E" w:rsidP="00604F0E">
      <w:pPr>
        <w:pStyle w:val="Bullet1"/>
        <w:numPr>
          <w:ilvl w:val="0"/>
          <w:numId w:val="0"/>
        </w:numPr>
        <w:ind w:left="360" w:hanging="360"/>
      </w:pPr>
    </w:p>
    <w:p w14:paraId="607F80D8" w14:textId="77777777" w:rsidR="00604F0E" w:rsidRPr="00860C54" w:rsidRDefault="00604F0E" w:rsidP="00E7098A">
      <w:pPr>
        <w:pStyle w:val="Bullet1"/>
        <w:numPr>
          <w:ilvl w:val="0"/>
          <w:numId w:val="0"/>
        </w:numPr>
        <w:ind w:left="360" w:hanging="360"/>
      </w:pPr>
    </w:p>
    <w:p w14:paraId="39089EE1" w14:textId="70105003" w:rsidR="00814977" w:rsidRDefault="007E5025" w:rsidP="00D2493C">
      <w:pPr>
        <w:pStyle w:val="Heading3"/>
        <w:spacing w:before="240"/>
      </w:pPr>
      <w:r>
        <w:lastRenderedPageBreak/>
        <w:t>A</w:t>
      </w:r>
      <w:r w:rsidR="00814977">
        <w:t xml:space="preserve">udit </w:t>
      </w:r>
      <w:r w:rsidR="002A535C">
        <w:t>F</w:t>
      </w:r>
      <w:r w:rsidR="00814977">
        <w:t xml:space="preserve">indings </w:t>
      </w:r>
    </w:p>
    <w:p w14:paraId="079B5AC3" w14:textId="3F7079DF" w:rsidR="005021F0" w:rsidRPr="00675457" w:rsidRDefault="005021F0" w:rsidP="0074674A">
      <w:pPr>
        <w:pStyle w:val="BodyText"/>
      </w:pPr>
      <w:r>
        <w:t>This section summaris</w:t>
      </w:r>
      <w:r w:rsidR="007F4A03">
        <w:t>es</w:t>
      </w:r>
      <w:r>
        <w:t xml:space="preserve"> the IEA findings relevant to the Q4 2018 IEA Report. </w:t>
      </w:r>
    </w:p>
    <w:p w14:paraId="5F3FAF95" w14:textId="7F4B7A92" w:rsidR="000E74FC" w:rsidRDefault="000E74FC" w:rsidP="00814977">
      <w:pPr>
        <w:pStyle w:val="Heading4"/>
      </w:pPr>
      <w:r>
        <w:t xml:space="preserve">Does </w:t>
      </w:r>
      <w:r w:rsidR="00814977">
        <w:t>N</w:t>
      </w:r>
      <w:r>
        <w:t xml:space="preserve">ot </w:t>
      </w:r>
      <w:r w:rsidR="00814977">
        <w:t>C</w:t>
      </w:r>
      <w:r>
        <w:t xml:space="preserve">omply </w:t>
      </w:r>
    </w:p>
    <w:p w14:paraId="5B7E31E6" w14:textId="760650E7" w:rsidR="000E74FC" w:rsidRPr="009F1E8B" w:rsidRDefault="00F410D3" w:rsidP="000E74FC">
      <w:pPr>
        <w:pStyle w:val="BodyText"/>
        <w:rPr>
          <w:b/>
          <w:bCs/>
        </w:rPr>
      </w:pPr>
      <w:r>
        <w:rPr>
          <w:b/>
          <w:bCs/>
        </w:rPr>
        <w:t xml:space="preserve">Finding </w:t>
      </w:r>
      <w:r w:rsidR="006B4025">
        <w:rPr>
          <w:b/>
          <w:bCs/>
        </w:rPr>
        <w:t xml:space="preserve">– </w:t>
      </w:r>
      <w:r w:rsidR="000E74FC">
        <w:rPr>
          <w:b/>
          <w:bCs/>
        </w:rPr>
        <w:t>EPR AE1</w:t>
      </w:r>
    </w:p>
    <w:p w14:paraId="134D1FE5" w14:textId="287D6A10" w:rsidR="000E74FC" w:rsidRPr="008664CF" w:rsidRDefault="000E74FC" w:rsidP="00D2493C">
      <w:pPr>
        <w:pStyle w:val="BodyText"/>
      </w:pPr>
      <w:r w:rsidRPr="008664CF">
        <w:t xml:space="preserve">During the December 2018 Early Works audit, RIA’s CEMP made no mention of stormwater management during construction of the RIA Early Works, and the CEMP did not meet the requirements under EPR AE1. The purpose of EPR AE1 is to incorporate appropriate stormwater treatment measures. </w:t>
      </w:r>
    </w:p>
    <w:p w14:paraId="30AD40FD" w14:textId="36B5BB14" w:rsidR="000E74FC" w:rsidRPr="009F1E8B" w:rsidRDefault="000E74FC" w:rsidP="000E74FC">
      <w:pPr>
        <w:pStyle w:val="BodyText"/>
      </w:pPr>
      <w:r w:rsidRPr="008664CF">
        <w:t xml:space="preserve">RIA responded to the finding by incorporating appropriate controls into the Surface Water Management Plan </w:t>
      </w:r>
      <w:r w:rsidR="00203BB1">
        <w:t xml:space="preserve">(SWMP) </w:t>
      </w:r>
      <w:r w:rsidRPr="008664CF">
        <w:t>and the finding was closed in Jun</w:t>
      </w:r>
      <w:r w:rsidR="00F27D9F">
        <w:t>e</w:t>
      </w:r>
      <w:r w:rsidRPr="008664CF">
        <w:t xml:space="preserve"> 2019.</w:t>
      </w:r>
    </w:p>
    <w:p w14:paraId="379C7FE6" w14:textId="12B8C153" w:rsidR="000E74FC" w:rsidRDefault="000E74FC" w:rsidP="000E74FC">
      <w:pPr>
        <w:pStyle w:val="BodyText"/>
        <w:rPr>
          <w:b/>
          <w:bCs/>
          <w:szCs w:val="20"/>
          <w:lang w:val="en-AU"/>
        </w:rPr>
      </w:pPr>
      <w:r w:rsidRPr="00886E25">
        <w:rPr>
          <w:b/>
          <w:bCs/>
          <w:szCs w:val="20"/>
          <w:lang w:val="en-AU"/>
        </w:rPr>
        <w:t xml:space="preserve">Finding </w:t>
      </w:r>
      <w:r w:rsidR="006B4025">
        <w:rPr>
          <w:b/>
          <w:bCs/>
          <w:szCs w:val="20"/>
          <w:lang w:val="en-AU"/>
        </w:rPr>
        <w:t xml:space="preserve">– </w:t>
      </w:r>
      <w:r>
        <w:rPr>
          <w:b/>
          <w:bCs/>
          <w:szCs w:val="20"/>
          <w:lang w:val="en-AU"/>
        </w:rPr>
        <w:t>EPR CH3</w:t>
      </w:r>
    </w:p>
    <w:p w14:paraId="09E376A5" w14:textId="77777777" w:rsidR="000E74FC" w:rsidRPr="008664CF" w:rsidRDefault="000E74FC" w:rsidP="00D2493C">
      <w:pPr>
        <w:pStyle w:val="BodyText"/>
      </w:pPr>
      <w:r w:rsidRPr="008664CF">
        <w:t xml:space="preserve">RIA’s Construction Noise and Vibration Impact Assessments (CNVIAs) considered heritage buildings in accordance with the applicable vibration and ground movement EPRs. The purpose of EPR CH3 is to determine the risk to heritage places and the approach to rectify any damage caused to heritage places by the RIA Early Works. </w:t>
      </w:r>
    </w:p>
    <w:p w14:paraId="63F0C51F" w14:textId="20A3468E" w:rsidR="00F410D3" w:rsidRDefault="00B97C60" w:rsidP="00D2493C">
      <w:pPr>
        <w:pStyle w:val="BodyText"/>
      </w:pPr>
      <w:r>
        <w:t xml:space="preserve">No damage to heritage places occurred in the audit period; however, </w:t>
      </w:r>
      <w:r w:rsidR="000E74FC" w:rsidRPr="008664CF">
        <w:t xml:space="preserve">RIA had not detailed an approach to rectifying damage within their management plans, and therefore </w:t>
      </w:r>
      <w:r w:rsidR="00AA09A2">
        <w:t xml:space="preserve">did not comply with </w:t>
      </w:r>
      <w:r w:rsidR="000E74FC" w:rsidRPr="008664CF">
        <w:t>EPR CH3</w:t>
      </w:r>
      <w:r w:rsidR="00AA09A2">
        <w:t>.</w:t>
      </w:r>
      <w:r>
        <w:t xml:space="preserve">  </w:t>
      </w:r>
      <w:r w:rsidR="000E74FC" w:rsidRPr="008664CF">
        <w:t>RIA developed a Heritage Management Plan</w:t>
      </w:r>
      <w:r w:rsidR="00D25F9A">
        <w:t xml:space="preserve"> (HMP)</w:t>
      </w:r>
      <w:r w:rsidR="000E74FC" w:rsidRPr="008664CF">
        <w:t xml:space="preserve"> and included appropriate measures describing rectification of damage and the finding was closed in April 2019.</w:t>
      </w:r>
    </w:p>
    <w:p w14:paraId="4C04F38B" w14:textId="5AB71235" w:rsidR="00F410D3" w:rsidRPr="009F1E8B" w:rsidRDefault="00F410D3" w:rsidP="00F410D3">
      <w:pPr>
        <w:pStyle w:val="BodyText"/>
        <w:rPr>
          <w:b/>
          <w:bCs/>
        </w:rPr>
      </w:pPr>
      <w:r w:rsidRPr="009F1E8B">
        <w:rPr>
          <w:b/>
          <w:bCs/>
        </w:rPr>
        <w:t xml:space="preserve">Finding </w:t>
      </w:r>
      <w:r w:rsidR="006B4025">
        <w:rPr>
          <w:b/>
          <w:bCs/>
        </w:rPr>
        <w:t>–</w:t>
      </w:r>
      <w:r w:rsidRPr="009F1E8B">
        <w:rPr>
          <w:b/>
          <w:bCs/>
        </w:rPr>
        <w:t xml:space="preserve"> EPR T6</w:t>
      </w:r>
    </w:p>
    <w:p w14:paraId="74FFF94E" w14:textId="32D67068" w:rsidR="00F410D3" w:rsidRPr="009F1E8B" w:rsidRDefault="00F410D3" w:rsidP="00D2493C">
      <w:pPr>
        <w:pStyle w:val="BodyText"/>
      </w:pPr>
      <w:r w:rsidRPr="009F1E8B">
        <w:t xml:space="preserve">RIA’s traffic management plans </w:t>
      </w:r>
      <w:r w:rsidRPr="008664CF">
        <w:t>are required to incorporate relevant measures from RPV’s Travel Demand Management Strategy</w:t>
      </w:r>
      <w:r w:rsidRPr="009F1E8B">
        <w:t>.</w:t>
      </w:r>
      <w:r w:rsidRPr="008664CF">
        <w:t xml:space="preserve"> </w:t>
      </w:r>
      <w:r w:rsidRPr="009F1E8B">
        <w:t>RIA’s Traffic Management Plan</w:t>
      </w:r>
      <w:r w:rsidR="00431F8C">
        <w:t>s</w:t>
      </w:r>
      <w:r w:rsidRPr="009F1E8B">
        <w:t xml:space="preserve"> (</w:t>
      </w:r>
      <w:r w:rsidR="00176221" w:rsidRPr="008664CF">
        <w:t>TMP</w:t>
      </w:r>
      <w:r w:rsidR="00431F8C">
        <w:t>s</w:t>
      </w:r>
      <w:r w:rsidRPr="009F1E8B">
        <w:t>)</w:t>
      </w:r>
      <w:r w:rsidRPr="008664CF">
        <w:t xml:space="preserve"> </w:t>
      </w:r>
      <w:r w:rsidR="00431F8C">
        <w:t>were</w:t>
      </w:r>
      <w:r w:rsidR="00431F8C" w:rsidRPr="008664CF">
        <w:t xml:space="preserve"> </w:t>
      </w:r>
      <w:r w:rsidRPr="008664CF">
        <w:t xml:space="preserve">incomplete at the time of the December 2018 audit. Therefore, it could not be determined if this requirement </w:t>
      </w:r>
      <w:r w:rsidR="00F27D9F">
        <w:t>was</w:t>
      </w:r>
      <w:r w:rsidRPr="008664CF">
        <w:t xml:space="preserve"> met and </w:t>
      </w:r>
      <w:r w:rsidR="00F27D9F">
        <w:t>a finding was raised</w:t>
      </w:r>
      <w:r w:rsidRPr="008664CF">
        <w:t xml:space="preserve">. It was determined that the RPV Traffic Demand Strategy did not apply to the scope of works at the time at either Portals, however an observation </w:t>
      </w:r>
      <w:r w:rsidR="00F27D9F">
        <w:t>w</w:t>
      </w:r>
      <w:r w:rsidRPr="008664CF">
        <w:t xml:space="preserve">as noted to include this consideration within the TMPs. </w:t>
      </w:r>
    </w:p>
    <w:p w14:paraId="552E2C3D" w14:textId="67A30FCF" w:rsidR="000E74FC" w:rsidRDefault="00F410D3" w:rsidP="000E74FC">
      <w:pPr>
        <w:pStyle w:val="BodyText"/>
      </w:pPr>
      <w:r w:rsidRPr="008664CF">
        <w:t xml:space="preserve">RIA </w:t>
      </w:r>
      <w:r w:rsidR="00F27D9F">
        <w:t xml:space="preserve">updated </w:t>
      </w:r>
      <w:r w:rsidR="00F27D9F" w:rsidRPr="008664CF">
        <w:t xml:space="preserve">their </w:t>
      </w:r>
      <w:r w:rsidR="00AA09A2">
        <w:t>TMPs</w:t>
      </w:r>
      <w:r w:rsidR="00F27D9F" w:rsidRPr="008664CF">
        <w:t xml:space="preserve"> </w:t>
      </w:r>
      <w:r w:rsidR="00F27D9F">
        <w:t>to</w:t>
      </w:r>
      <w:r w:rsidRPr="008664CF">
        <w:t xml:space="preserve"> address these requirements and the finding was closed in April 2019.</w:t>
      </w:r>
    </w:p>
    <w:p w14:paraId="13F7344D" w14:textId="7617F3F8" w:rsidR="00B31E66" w:rsidRPr="009F1E8B" w:rsidRDefault="00B31E66" w:rsidP="00B31E66">
      <w:pPr>
        <w:pStyle w:val="BodyText"/>
        <w:rPr>
          <w:b/>
          <w:bCs/>
        </w:rPr>
      </w:pPr>
      <w:r>
        <w:rPr>
          <w:b/>
          <w:bCs/>
        </w:rPr>
        <w:t xml:space="preserve">Finding </w:t>
      </w:r>
      <w:r w:rsidR="006B4025">
        <w:rPr>
          <w:b/>
          <w:bCs/>
        </w:rPr>
        <w:t>–</w:t>
      </w:r>
      <w:r>
        <w:rPr>
          <w:b/>
          <w:bCs/>
        </w:rPr>
        <w:t xml:space="preserve"> </w:t>
      </w:r>
      <w:r w:rsidRPr="009F1E8B">
        <w:rPr>
          <w:b/>
          <w:bCs/>
        </w:rPr>
        <w:t>EPR NV21</w:t>
      </w:r>
    </w:p>
    <w:p w14:paraId="0D9E35C2" w14:textId="1937F713" w:rsidR="00B31E66" w:rsidRPr="009F1E8B" w:rsidRDefault="00B31E66" w:rsidP="00D2493C">
      <w:pPr>
        <w:pStyle w:val="BodyText"/>
      </w:pPr>
      <w:r w:rsidRPr="009F1E8B">
        <w:t xml:space="preserve">RIA’s </w:t>
      </w:r>
      <w:r w:rsidRPr="008664CF">
        <w:t>C</w:t>
      </w:r>
      <w:r w:rsidR="00C47B00">
        <w:t xml:space="preserve">onstruction </w:t>
      </w:r>
      <w:r w:rsidRPr="008664CF">
        <w:t>N</w:t>
      </w:r>
      <w:r w:rsidR="00C47B00">
        <w:t xml:space="preserve">oise and </w:t>
      </w:r>
      <w:r w:rsidRPr="008664CF">
        <w:t>V</w:t>
      </w:r>
      <w:r w:rsidR="00C47B00">
        <w:t xml:space="preserve">ibration </w:t>
      </w:r>
      <w:r w:rsidR="00C47B00" w:rsidRPr="008664CF">
        <w:t>M</w:t>
      </w:r>
      <w:r w:rsidR="00C47B00">
        <w:t xml:space="preserve">anagement </w:t>
      </w:r>
      <w:r w:rsidRPr="008664CF">
        <w:t>P</w:t>
      </w:r>
      <w:r w:rsidR="00C47B00">
        <w:t>lan (</w:t>
      </w:r>
      <w:r w:rsidR="00C47B00" w:rsidRPr="008664CF">
        <w:t>CNVMP</w:t>
      </w:r>
      <w:r w:rsidR="00C47B00">
        <w:t>)</w:t>
      </w:r>
      <w:r w:rsidRPr="008664CF">
        <w:t xml:space="preserve"> did not address </w:t>
      </w:r>
      <w:r w:rsidR="009F4D4F">
        <w:t xml:space="preserve">all the relevant requirements of Interface </w:t>
      </w:r>
      <w:r w:rsidRPr="009F1E8B">
        <w:t>EPR NV21</w:t>
      </w:r>
      <w:r w:rsidR="009F4D4F">
        <w:t xml:space="preserve">; this included: identification of alternative vibration guideline targets (if any) to protect existing structures, interface with the heritage management plan (HMP) and unavoidable works and ongoing IEA engagement. </w:t>
      </w:r>
    </w:p>
    <w:p w14:paraId="31CD09BD" w14:textId="5E9D534F" w:rsidR="009F43E1" w:rsidRDefault="00B31E66" w:rsidP="000E74FC">
      <w:pPr>
        <w:pStyle w:val="BodyText"/>
      </w:pPr>
      <w:r w:rsidRPr="008664CF">
        <w:t>To address the finding</w:t>
      </w:r>
      <w:r w:rsidR="00764EC3">
        <w:t>,</w:t>
      </w:r>
      <w:r w:rsidRPr="008664CF">
        <w:t xml:space="preserve"> RIA updated their plans to include appropriate controls in the CNVMP </w:t>
      </w:r>
      <w:r w:rsidR="00FD1382">
        <w:t>for</w:t>
      </w:r>
      <w:r w:rsidRPr="008664CF">
        <w:t xml:space="preserve"> the requirement of condition assessments; updated the CNVMP to reflect the unavoidable works requirements; and, provided appropriate measures to manage the interfaces on site, in the HMP</w:t>
      </w:r>
      <w:r w:rsidR="00FD1382">
        <w:t>.</w:t>
      </w:r>
      <w:r w:rsidRPr="008664CF">
        <w:t xml:space="preserve"> The finding was closed in April 2019.</w:t>
      </w:r>
    </w:p>
    <w:p w14:paraId="5491F5E2" w14:textId="77777777" w:rsidR="009F43E1" w:rsidRDefault="009F43E1">
      <w:pPr>
        <w:spacing w:before="0" w:after="120" w:line="360" w:lineRule="auto"/>
        <w:rPr>
          <w:sz w:val="20"/>
        </w:rPr>
      </w:pPr>
      <w:r>
        <w:br w:type="page"/>
      </w:r>
    </w:p>
    <w:p w14:paraId="071771DC" w14:textId="677AE029" w:rsidR="000E74FC" w:rsidRPr="00B31E66" w:rsidRDefault="00814977" w:rsidP="00814977">
      <w:pPr>
        <w:pStyle w:val="Heading4"/>
      </w:pPr>
      <w:r>
        <w:lastRenderedPageBreak/>
        <w:t>P</w:t>
      </w:r>
      <w:r w:rsidR="000E74FC">
        <w:t xml:space="preserve">artially </w:t>
      </w:r>
      <w:r>
        <w:t>C</w:t>
      </w:r>
      <w:r w:rsidR="000E74FC">
        <w:t xml:space="preserve">omplies </w:t>
      </w:r>
    </w:p>
    <w:p w14:paraId="11676499" w14:textId="39C1BDE1" w:rsidR="00176221" w:rsidRPr="00F03A83" w:rsidRDefault="00176221" w:rsidP="000E74FC">
      <w:pPr>
        <w:pStyle w:val="BodyText"/>
        <w:rPr>
          <w:b/>
          <w:bCs/>
        </w:rPr>
      </w:pPr>
      <w:r w:rsidRPr="00F03A83">
        <w:rPr>
          <w:b/>
          <w:bCs/>
        </w:rPr>
        <w:t xml:space="preserve">Finding </w:t>
      </w:r>
      <w:r>
        <w:rPr>
          <w:b/>
          <w:bCs/>
        </w:rPr>
        <w:t>–</w:t>
      </w:r>
      <w:r w:rsidRPr="00F03A83">
        <w:rPr>
          <w:b/>
          <w:bCs/>
        </w:rPr>
        <w:t xml:space="preserve"> EPR EM</w:t>
      </w:r>
      <w:r>
        <w:rPr>
          <w:b/>
          <w:bCs/>
        </w:rPr>
        <w:t>F</w:t>
      </w:r>
      <w:r w:rsidRPr="00F03A83">
        <w:rPr>
          <w:b/>
          <w:bCs/>
        </w:rPr>
        <w:t>4</w:t>
      </w:r>
    </w:p>
    <w:p w14:paraId="468B0E15" w14:textId="78D1F87A" w:rsidR="00176221" w:rsidRDefault="00176221" w:rsidP="000E74FC">
      <w:pPr>
        <w:pStyle w:val="BodyText"/>
      </w:pPr>
      <w:r w:rsidRPr="008664CF">
        <w:t xml:space="preserve">RIA’s CSEMP </w:t>
      </w:r>
      <w:r w:rsidR="006E05A8">
        <w:t>did</w:t>
      </w:r>
      <w:r w:rsidR="006E05A8" w:rsidRPr="008664CF">
        <w:t xml:space="preserve"> </w:t>
      </w:r>
      <w:r w:rsidRPr="008664CF">
        <w:t xml:space="preserve">not reference the </w:t>
      </w:r>
      <w:r>
        <w:t>BSGC</w:t>
      </w:r>
      <w:r w:rsidRPr="008664CF">
        <w:t xml:space="preserve"> with regards to complaints management. </w:t>
      </w:r>
    </w:p>
    <w:p w14:paraId="5FA826ED" w14:textId="77777777" w:rsidR="00176221" w:rsidRDefault="00176221" w:rsidP="000E74FC">
      <w:pPr>
        <w:pStyle w:val="BodyText"/>
      </w:pPr>
      <w:r>
        <w:t xml:space="preserve">To address the finding, </w:t>
      </w:r>
      <w:r w:rsidRPr="008664CF">
        <w:t>RIA updated the CSEMP and the appropriate references were made to these guidelines</w:t>
      </w:r>
      <w:r>
        <w:t>.</w:t>
      </w:r>
      <w:r w:rsidRPr="008664CF">
        <w:t xml:space="preserve"> </w:t>
      </w:r>
      <w:r>
        <w:t>T</w:t>
      </w:r>
      <w:r w:rsidRPr="008664CF">
        <w:t>he finding was closed in April 2019.</w:t>
      </w:r>
    </w:p>
    <w:p w14:paraId="0AB72E82" w14:textId="42B6AF1F" w:rsidR="000E74FC" w:rsidRPr="000C375E" w:rsidRDefault="000E74FC" w:rsidP="000E74FC">
      <w:pPr>
        <w:pStyle w:val="BodyText"/>
        <w:rPr>
          <w:b/>
          <w:bCs/>
        </w:rPr>
      </w:pPr>
      <w:r w:rsidRPr="000C375E">
        <w:rPr>
          <w:b/>
          <w:bCs/>
        </w:rPr>
        <w:t xml:space="preserve">Finding </w:t>
      </w:r>
      <w:r w:rsidR="006B4025">
        <w:rPr>
          <w:b/>
          <w:bCs/>
        </w:rPr>
        <w:t xml:space="preserve">– </w:t>
      </w:r>
      <w:r w:rsidRPr="000C375E">
        <w:rPr>
          <w:b/>
          <w:bCs/>
        </w:rPr>
        <w:t>EPR AQ1</w:t>
      </w:r>
    </w:p>
    <w:p w14:paraId="307FF989" w14:textId="599A4FF7" w:rsidR="000E74FC" w:rsidRPr="008664CF" w:rsidRDefault="000E74FC" w:rsidP="000E74FC">
      <w:pPr>
        <w:spacing w:before="0" w:after="0"/>
        <w:rPr>
          <w:sz w:val="20"/>
        </w:rPr>
      </w:pPr>
      <w:r w:rsidRPr="008664CF">
        <w:rPr>
          <w:sz w:val="20"/>
        </w:rPr>
        <w:t>RIA</w:t>
      </w:r>
      <w:r w:rsidRPr="009F1E8B">
        <w:rPr>
          <w:sz w:val="20"/>
        </w:rPr>
        <w:t>’s</w:t>
      </w:r>
      <w:r w:rsidRPr="008664CF">
        <w:rPr>
          <w:sz w:val="20"/>
        </w:rPr>
        <w:t xml:space="preserve"> CSEMP </w:t>
      </w:r>
      <w:r w:rsidRPr="009F1E8B">
        <w:rPr>
          <w:sz w:val="20"/>
        </w:rPr>
        <w:t xml:space="preserve">did not include the necessary </w:t>
      </w:r>
      <w:r w:rsidRPr="008664CF">
        <w:rPr>
          <w:sz w:val="20"/>
        </w:rPr>
        <w:t>respite measures for air quality as required by EPR AQ1</w:t>
      </w:r>
      <w:r w:rsidRPr="009F1E8B">
        <w:rPr>
          <w:sz w:val="20"/>
        </w:rPr>
        <w:t xml:space="preserve">. </w:t>
      </w:r>
      <w:r w:rsidRPr="008664CF">
        <w:rPr>
          <w:sz w:val="20"/>
        </w:rPr>
        <w:t>The purpose of EPR</w:t>
      </w:r>
      <w:r w:rsidRPr="009F1E8B">
        <w:rPr>
          <w:sz w:val="20"/>
        </w:rPr>
        <w:t xml:space="preserve"> AQ1</w:t>
      </w:r>
      <w:r w:rsidRPr="008664CF">
        <w:rPr>
          <w:sz w:val="20"/>
        </w:rPr>
        <w:t xml:space="preserve"> is to address the key risks to air quality and to develop an Air Quality Management Plan (AQMP) to identify control measures for managing and monitoring the air quality for each precinct.</w:t>
      </w:r>
    </w:p>
    <w:p w14:paraId="18EB01F7" w14:textId="6F20C1FF" w:rsidR="000E74FC" w:rsidRDefault="000E74FC" w:rsidP="000E74FC">
      <w:pPr>
        <w:pStyle w:val="BodyText"/>
      </w:pPr>
      <w:r w:rsidRPr="008664CF">
        <w:t>RIA update</w:t>
      </w:r>
      <w:r w:rsidR="00E13824">
        <w:t>d the</w:t>
      </w:r>
      <w:r w:rsidRPr="008664CF">
        <w:t xml:space="preserve"> CSEMP to include respite measures for air quality </w:t>
      </w:r>
      <w:r w:rsidR="00267688">
        <w:t xml:space="preserve">under </w:t>
      </w:r>
      <w:r w:rsidR="00267688" w:rsidRPr="008664CF">
        <w:t>unavoidable</w:t>
      </w:r>
      <w:r w:rsidR="00267688">
        <w:t xml:space="preserve"> works</w:t>
      </w:r>
      <w:r w:rsidRPr="008664CF">
        <w:t xml:space="preserve"> and the finding was closed in April 2019.</w:t>
      </w:r>
    </w:p>
    <w:p w14:paraId="049EAFCE" w14:textId="56BF3E42" w:rsidR="00F410D3" w:rsidRPr="00F208BF" w:rsidRDefault="00F410D3" w:rsidP="00F410D3">
      <w:pPr>
        <w:pStyle w:val="BodyText"/>
        <w:rPr>
          <w:b/>
          <w:bCs/>
        </w:rPr>
      </w:pPr>
      <w:r w:rsidRPr="00F208BF">
        <w:rPr>
          <w:b/>
          <w:bCs/>
        </w:rPr>
        <w:t xml:space="preserve">Finding </w:t>
      </w:r>
      <w:r w:rsidR="006B4025">
        <w:rPr>
          <w:b/>
          <w:bCs/>
        </w:rPr>
        <w:t>–</w:t>
      </w:r>
      <w:r w:rsidRPr="00F208BF">
        <w:rPr>
          <w:b/>
          <w:bCs/>
        </w:rPr>
        <w:t xml:space="preserve"> EPR B2</w:t>
      </w:r>
    </w:p>
    <w:p w14:paraId="28273EBD" w14:textId="2A364E9E" w:rsidR="00F410D3" w:rsidRDefault="00F410D3" w:rsidP="00D2493C">
      <w:pPr>
        <w:pStyle w:val="BodyText"/>
      </w:pPr>
      <w:r w:rsidRPr="008664CF">
        <w:t>RIA</w:t>
      </w:r>
      <w:r w:rsidR="006E05A8">
        <w:t>’s</w:t>
      </w:r>
      <w:r w:rsidRPr="008664CF">
        <w:t xml:space="preserve"> </w:t>
      </w:r>
      <w:r w:rsidR="002A2B5C" w:rsidRPr="009F1E8B">
        <w:t xml:space="preserve">BDP </w:t>
      </w:r>
      <w:r w:rsidRPr="009F1E8B">
        <w:t xml:space="preserve">is required to be </w:t>
      </w:r>
      <w:r w:rsidRPr="008664CF">
        <w:t xml:space="preserve">consistent with RPV's </w:t>
      </w:r>
      <w:r w:rsidR="006E05A8">
        <w:t>BSGC</w:t>
      </w:r>
      <w:r w:rsidRPr="008664CF">
        <w:t xml:space="preserve"> and the CSEMP</w:t>
      </w:r>
      <w:r w:rsidRPr="009F1E8B">
        <w:t xml:space="preserve"> under EPR B2</w:t>
      </w:r>
      <w:r w:rsidRPr="008664CF">
        <w:t>.</w:t>
      </w:r>
      <w:r>
        <w:t xml:space="preserve"> </w:t>
      </w:r>
      <w:r w:rsidRPr="008664CF">
        <w:t xml:space="preserve">The RIA </w:t>
      </w:r>
      <w:r w:rsidRPr="009F1E8B">
        <w:t>BDP</w:t>
      </w:r>
      <w:r w:rsidRPr="008664CF">
        <w:t xml:space="preserve"> was not completed at the time of the December 2018 audit and</w:t>
      </w:r>
      <w:r w:rsidRPr="009F1E8B">
        <w:t xml:space="preserve"> measures for managing potentially impacted businesses could not be assessed against the EPR B2 requirements. </w:t>
      </w:r>
      <w:r w:rsidRPr="008664CF">
        <w:t>RIA addressed the finding by updating</w:t>
      </w:r>
      <w:r w:rsidR="00AA09A2">
        <w:t xml:space="preserve"> the</w:t>
      </w:r>
      <w:r w:rsidRPr="008664CF">
        <w:t xml:space="preserve"> </w:t>
      </w:r>
      <w:r w:rsidRPr="009F1E8B">
        <w:t>BDP</w:t>
      </w:r>
      <w:r w:rsidRPr="008664CF">
        <w:t xml:space="preserve"> to reflect the requirement </w:t>
      </w:r>
      <w:r w:rsidRPr="009F1E8B">
        <w:t>and t</w:t>
      </w:r>
      <w:r w:rsidRPr="008664CF">
        <w:t>he finding was closed in April 2019.</w:t>
      </w:r>
    </w:p>
    <w:p w14:paraId="0D726400" w14:textId="680B064B" w:rsidR="000E74FC" w:rsidRPr="009F1E8B" w:rsidRDefault="000E74FC" w:rsidP="000E74FC">
      <w:pPr>
        <w:pStyle w:val="BodyText"/>
        <w:rPr>
          <w:b/>
          <w:bCs/>
        </w:rPr>
      </w:pPr>
      <w:r w:rsidRPr="009F1E8B">
        <w:rPr>
          <w:b/>
          <w:bCs/>
        </w:rPr>
        <w:t xml:space="preserve">Finding </w:t>
      </w:r>
      <w:r w:rsidR="006B4025">
        <w:rPr>
          <w:b/>
          <w:bCs/>
        </w:rPr>
        <w:t>–</w:t>
      </w:r>
      <w:r w:rsidRPr="009F1E8B">
        <w:rPr>
          <w:b/>
          <w:bCs/>
        </w:rPr>
        <w:t xml:space="preserve"> Heritage Management Plan </w:t>
      </w:r>
    </w:p>
    <w:p w14:paraId="78730D3E" w14:textId="0072C544" w:rsidR="000E74FC" w:rsidRDefault="000E74FC" w:rsidP="00D2493C">
      <w:pPr>
        <w:pStyle w:val="BodyText"/>
      </w:pPr>
      <w:r w:rsidRPr="009F1E8B">
        <w:t xml:space="preserve">RIA’s HMP was not provided </w:t>
      </w:r>
      <w:r w:rsidRPr="008664CF">
        <w:t xml:space="preserve">at the time of the </w:t>
      </w:r>
      <w:r>
        <w:t>audit</w:t>
      </w:r>
      <w:r w:rsidRPr="008664CF">
        <w:t xml:space="preserve"> and RIA advised it was under development. As such it was unclear if the requirements </w:t>
      </w:r>
      <w:r w:rsidR="00135FBD">
        <w:t xml:space="preserve">of </w:t>
      </w:r>
      <w:r w:rsidRPr="008664CF">
        <w:t xml:space="preserve">several EPRs had been addressed in the HMP. To address this finding the HMP was provided to the IEA for review and it was determined that the EPR requirements </w:t>
      </w:r>
      <w:r w:rsidR="004A1525">
        <w:t xml:space="preserve">were </w:t>
      </w:r>
      <w:r w:rsidR="004A1525" w:rsidRPr="008664CF">
        <w:t>satisfied</w:t>
      </w:r>
      <w:r w:rsidRPr="008664CF">
        <w:t xml:space="preserve"> and that appropriate controls were implemented</w:t>
      </w:r>
      <w:r w:rsidR="00135FBD">
        <w:t>.</w:t>
      </w:r>
      <w:r w:rsidRPr="009F1E8B">
        <w:t xml:space="preserve"> </w:t>
      </w:r>
      <w:r w:rsidR="00135FBD">
        <w:t>T</w:t>
      </w:r>
      <w:r w:rsidRPr="009F1E8B">
        <w:t>he</w:t>
      </w:r>
      <w:r w:rsidRPr="008664CF">
        <w:t xml:space="preserve"> finding was closed in April 2019.</w:t>
      </w:r>
    </w:p>
    <w:p w14:paraId="4E86E1E9" w14:textId="6E5D7330" w:rsidR="00B31E66" w:rsidRDefault="00B31E66" w:rsidP="00B31E66">
      <w:pPr>
        <w:pStyle w:val="BodyText"/>
        <w:rPr>
          <w:b/>
          <w:bCs/>
        </w:rPr>
      </w:pPr>
      <w:r w:rsidRPr="009F1E8B">
        <w:rPr>
          <w:b/>
          <w:bCs/>
        </w:rPr>
        <w:t xml:space="preserve">Finding </w:t>
      </w:r>
      <w:r w:rsidR="006B4025">
        <w:rPr>
          <w:b/>
          <w:bCs/>
        </w:rPr>
        <w:t xml:space="preserve">– </w:t>
      </w:r>
      <w:r w:rsidRPr="009F1E8B">
        <w:rPr>
          <w:b/>
          <w:bCs/>
        </w:rPr>
        <w:t xml:space="preserve">EPR LV3 </w:t>
      </w:r>
    </w:p>
    <w:p w14:paraId="27957C9D" w14:textId="1218FCB0" w:rsidR="00B31E66" w:rsidRPr="008664CF" w:rsidRDefault="00B31E66" w:rsidP="00D2493C">
      <w:pPr>
        <w:pStyle w:val="BodyText"/>
      </w:pPr>
      <w:r w:rsidRPr="009F1E8B">
        <w:t>RIA’s CEMP did not contain measures that are required under EPR LV3. This include</w:t>
      </w:r>
      <w:r w:rsidR="00135FBD">
        <w:t>d</w:t>
      </w:r>
      <w:r w:rsidRPr="009F1E8B">
        <w:t xml:space="preserve"> </w:t>
      </w:r>
      <w:r w:rsidRPr="008664CF">
        <w:t xml:space="preserve">lighting </w:t>
      </w:r>
      <w:r w:rsidRPr="009F1E8B">
        <w:t xml:space="preserve">design standards to </w:t>
      </w:r>
      <w:r w:rsidRPr="008664CF">
        <w:t xml:space="preserve">minimise light spillage during construction. However, </w:t>
      </w:r>
      <w:r w:rsidRPr="009F1E8B">
        <w:t>t</w:t>
      </w:r>
      <w:r w:rsidRPr="008664CF">
        <w:t>he SEIPs outline</w:t>
      </w:r>
      <w:r w:rsidR="00135FBD">
        <w:t>d</w:t>
      </w:r>
      <w:r w:rsidRPr="008664CF">
        <w:t xml:space="preserve"> measures to mitigate the potential for adverse light spill.</w:t>
      </w:r>
    </w:p>
    <w:p w14:paraId="2CDA6C20" w14:textId="743A0F9A" w:rsidR="00B31E66" w:rsidRPr="009F1E8B" w:rsidRDefault="00B31E66" w:rsidP="00B31E66">
      <w:pPr>
        <w:pStyle w:val="BodyText"/>
      </w:pPr>
      <w:r w:rsidRPr="008664CF">
        <w:t xml:space="preserve">To close this finding, appropriate controls </w:t>
      </w:r>
      <w:r w:rsidR="00135FBD">
        <w:t>were</w:t>
      </w:r>
      <w:r w:rsidRPr="008664CF">
        <w:t xml:space="preserve"> developed by RIA and documented in procedures within the </w:t>
      </w:r>
      <w:r w:rsidR="00C47B00">
        <w:t>AQMP</w:t>
      </w:r>
      <w:r w:rsidRPr="008664CF">
        <w:t xml:space="preserve">. Additionally, these measures </w:t>
      </w:r>
      <w:r w:rsidR="00135FBD">
        <w:t>were</w:t>
      </w:r>
      <w:r w:rsidRPr="008664CF">
        <w:t xml:space="preserve"> recorded in different </w:t>
      </w:r>
      <w:r w:rsidR="00031456">
        <w:t>SEIPs</w:t>
      </w:r>
      <w:r w:rsidRPr="008664CF">
        <w:t xml:space="preserve">. The finding was closed </w:t>
      </w:r>
      <w:r>
        <w:t xml:space="preserve">in </w:t>
      </w:r>
      <w:r w:rsidRPr="008664CF">
        <w:t>April 2019.</w:t>
      </w:r>
    </w:p>
    <w:p w14:paraId="3F1DE471" w14:textId="227B06CB" w:rsidR="00B31E66" w:rsidRPr="009F1E8B" w:rsidRDefault="00B31E66" w:rsidP="00B31E66">
      <w:pPr>
        <w:pStyle w:val="BodyText"/>
        <w:rPr>
          <w:b/>
          <w:bCs/>
        </w:rPr>
      </w:pPr>
      <w:r>
        <w:rPr>
          <w:b/>
          <w:bCs/>
        </w:rPr>
        <w:t xml:space="preserve">Finding </w:t>
      </w:r>
      <w:r w:rsidR="006B4025">
        <w:rPr>
          <w:b/>
          <w:bCs/>
        </w:rPr>
        <w:t xml:space="preserve">– </w:t>
      </w:r>
      <w:r w:rsidRPr="009F1E8B">
        <w:rPr>
          <w:b/>
          <w:bCs/>
        </w:rPr>
        <w:t>EPR NV</w:t>
      </w:r>
      <w:r>
        <w:rPr>
          <w:b/>
          <w:bCs/>
        </w:rPr>
        <w:t>8</w:t>
      </w:r>
    </w:p>
    <w:p w14:paraId="63CE66A1" w14:textId="62AD22F4" w:rsidR="00A83CE0" w:rsidRDefault="00B31E66" w:rsidP="00D2493C">
      <w:pPr>
        <w:pStyle w:val="BodyText"/>
      </w:pPr>
      <w:r w:rsidRPr="000C375E">
        <w:t xml:space="preserve">RIA’s </w:t>
      </w:r>
      <w:r w:rsidRPr="008664CF">
        <w:t xml:space="preserve">CNVMP </w:t>
      </w:r>
      <w:r w:rsidRPr="000C375E">
        <w:t xml:space="preserve">did not contain the requirement under EPR NV8 to </w:t>
      </w:r>
      <w:r w:rsidRPr="008664CF">
        <w:t xml:space="preserve">consult </w:t>
      </w:r>
      <w:r w:rsidRPr="000C375E">
        <w:t xml:space="preserve">with </w:t>
      </w:r>
      <w:r w:rsidRPr="008664CF">
        <w:t xml:space="preserve">Heritage Victoria </w:t>
      </w:r>
      <w:r w:rsidRPr="000C375E">
        <w:t xml:space="preserve">in relation to potential impacts to heritage places and appropriate mitigation measures. RIA updated the CNVMP to include this requirement </w:t>
      </w:r>
      <w:r w:rsidRPr="008664CF">
        <w:t>and the finding was closed in April 2019.</w:t>
      </w:r>
    </w:p>
    <w:p w14:paraId="05C30B9D" w14:textId="2722D125" w:rsidR="00A83CE0" w:rsidRPr="000C375E" w:rsidRDefault="00A83CE0" w:rsidP="00A83CE0">
      <w:pPr>
        <w:pStyle w:val="BodyText"/>
        <w:rPr>
          <w:b/>
          <w:bCs/>
        </w:rPr>
      </w:pPr>
      <w:r w:rsidRPr="000C375E">
        <w:rPr>
          <w:b/>
          <w:bCs/>
        </w:rPr>
        <w:t xml:space="preserve">Finding </w:t>
      </w:r>
      <w:r w:rsidR="006B4025">
        <w:rPr>
          <w:b/>
          <w:bCs/>
        </w:rPr>
        <w:t xml:space="preserve">– </w:t>
      </w:r>
      <w:r w:rsidRPr="000C375E">
        <w:rPr>
          <w:b/>
          <w:bCs/>
        </w:rPr>
        <w:t>Traffic Management Plan</w:t>
      </w:r>
    </w:p>
    <w:p w14:paraId="06A07E8A" w14:textId="66D8EDC1" w:rsidR="00B461A3" w:rsidRDefault="00A83CE0" w:rsidP="00D2493C">
      <w:pPr>
        <w:pStyle w:val="BodyText"/>
      </w:pPr>
      <w:r w:rsidRPr="00C518D6">
        <w:t>RIA’s TMP for the Western</w:t>
      </w:r>
      <w:r w:rsidR="006A20F5">
        <w:t xml:space="preserve"> (Tunnel Entrance)</w:t>
      </w:r>
      <w:r w:rsidRPr="00C518D6">
        <w:t xml:space="preserve"> Portal site was under development and not provided at the time of the December 2018 audit. These EPRs outline how the transport network will be managed during the delivery of the RIA Project to maximise the safety of all modes of transport and its users.</w:t>
      </w:r>
      <w:r>
        <w:t xml:space="preserve"> </w:t>
      </w:r>
      <w:r w:rsidRPr="00C518D6">
        <w:t xml:space="preserve">Compliance of these requirements for several EPRs could not be assessed. RIA provided the relevant TMP during the April 2019 audit that addressed the different EPR requirements and the finding was closed.  </w:t>
      </w:r>
    </w:p>
    <w:p w14:paraId="6A660C8C" w14:textId="3A93576D" w:rsidR="00B31E66" w:rsidRPr="009F1E8B" w:rsidRDefault="00B31E66" w:rsidP="00B31E66">
      <w:pPr>
        <w:pStyle w:val="BodyText"/>
        <w:rPr>
          <w:b/>
          <w:bCs/>
        </w:rPr>
      </w:pPr>
      <w:r>
        <w:rPr>
          <w:b/>
          <w:bCs/>
        </w:rPr>
        <w:lastRenderedPageBreak/>
        <w:t xml:space="preserve">Finding </w:t>
      </w:r>
      <w:bookmarkStart w:id="35" w:name="_Hlk62819416"/>
      <w:r w:rsidR="006B4025">
        <w:rPr>
          <w:b/>
          <w:bCs/>
        </w:rPr>
        <w:t xml:space="preserve">– </w:t>
      </w:r>
      <w:bookmarkEnd w:id="35"/>
      <w:r>
        <w:rPr>
          <w:b/>
          <w:bCs/>
        </w:rPr>
        <w:t>NV9 and NV10</w:t>
      </w:r>
    </w:p>
    <w:p w14:paraId="55A7D1D4" w14:textId="6BE90EA1" w:rsidR="00D975E3" w:rsidRDefault="00B31E66" w:rsidP="00E7098A">
      <w:pPr>
        <w:pStyle w:val="BodyText"/>
      </w:pPr>
      <w:r w:rsidRPr="00C518D6">
        <w:t xml:space="preserve">There is a requirement under EPR NV9 and NV10 that building condition assessments be undertaken, along with consultation with the asset owner to establish vibration targets </w:t>
      </w:r>
      <w:r w:rsidR="00D80215">
        <w:t>for</w:t>
      </w:r>
      <w:r w:rsidR="00D80215" w:rsidRPr="00C518D6">
        <w:t xml:space="preserve"> </w:t>
      </w:r>
      <w:r w:rsidRPr="00C518D6">
        <w:t>impacted stakeholders. RIA was undertaking condition surveys at the time of the audit and therefore compliance could not be assessed. Following RIA</w:t>
      </w:r>
      <w:r w:rsidR="00FB20DA">
        <w:t>’</w:t>
      </w:r>
      <w:r w:rsidRPr="00C518D6">
        <w:t>s completion of the surveys, RIA undertook consultation with relevant stakeholders developed monitoring and management plans. Th</w:t>
      </w:r>
      <w:r w:rsidR="00FB20DA">
        <w:t>e</w:t>
      </w:r>
      <w:r w:rsidRPr="00C518D6">
        <w:t xml:space="preserve"> finding was closed in April 2019.</w:t>
      </w:r>
    </w:p>
    <w:p w14:paraId="33CBFBF4" w14:textId="0FCFBB0B" w:rsidR="00B31E66" w:rsidRPr="000C375E" w:rsidRDefault="00B31E66" w:rsidP="00B31E66">
      <w:pPr>
        <w:pStyle w:val="BodyText"/>
        <w:rPr>
          <w:b/>
          <w:bCs/>
        </w:rPr>
      </w:pPr>
      <w:r w:rsidRPr="000C375E">
        <w:rPr>
          <w:b/>
          <w:bCs/>
        </w:rPr>
        <w:t xml:space="preserve">Finding </w:t>
      </w:r>
      <w:r w:rsidR="006B4025">
        <w:rPr>
          <w:b/>
          <w:bCs/>
        </w:rPr>
        <w:t>–</w:t>
      </w:r>
      <w:r w:rsidRPr="000C375E">
        <w:rPr>
          <w:b/>
          <w:bCs/>
        </w:rPr>
        <w:t xml:space="preserve"> EPR SC4 </w:t>
      </w:r>
    </w:p>
    <w:p w14:paraId="338D93F0" w14:textId="2840C1B3" w:rsidR="00B31E66" w:rsidRDefault="00B31E66" w:rsidP="00D2493C">
      <w:pPr>
        <w:pStyle w:val="BodyText"/>
      </w:pPr>
      <w:r w:rsidRPr="00C518D6">
        <w:t xml:space="preserve">RIA’s CSEMP identified a mitigation strategy for the disruption to service utilities was to implement the Utility Services Management Plan. However, the Utility Services Management Plan was not provided at the time of the review as such it could not be determined if this requirement had been met. RIA updated the CSEMP to include the relevant controls and the finding </w:t>
      </w:r>
      <w:r w:rsidR="00926FBB">
        <w:t xml:space="preserve">was </w:t>
      </w:r>
      <w:r w:rsidRPr="00C518D6">
        <w:t xml:space="preserve">closed </w:t>
      </w:r>
      <w:r w:rsidR="00D80215">
        <w:t xml:space="preserve">in </w:t>
      </w:r>
      <w:r w:rsidRPr="00C518D6">
        <w:t>April 2019.</w:t>
      </w:r>
    </w:p>
    <w:p w14:paraId="63BC418A" w14:textId="6C3AF7A0" w:rsidR="00B31E66" w:rsidRPr="000C375E" w:rsidRDefault="00B31E66" w:rsidP="00B31E66">
      <w:pPr>
        <w:pStyle w:val="BodyText"/>
        <w:rPr>
          <w:b/>
          <w:bCs/>
        </w:rPr>
      </w:pPr>
      <w:r w:rsidRPr="000C375E">
        <w:rPr>
          <w:b/>
          <w:bCs/>
        </w:rPr>
        <w:t xml:space="preserve">Finding </w:t>
      </w:r>
      <w:r w:rsidR="006B4025">
        <w:rPr>
          <w:b/>
          <w:bCs/>
        </w:rPr>
        <w:t xml:space="preserve">– </w:t>
      </w:r>
      <w:r w:rsidRPr="000C375E">
        <w:rPr>
          <w:b/>
          <w:bCs/>
        </w:rPr>
        <w:t>EPR SC</w:t>
      </w:r>
      <w:r>
        <w:rPr>
          <w:b/>
          <w:bCs/>
        </w:rPr>
        <w:t>6</w:t>
      </w:r>
    </w:p>
    <w:p w14:paraId="60979F6D" w14:textId="66E339B0" w:rsidR="00B31E66" w:rsidRDefault="00B31E66" w:rsidP="00D2493C">
      <w:pPr>
        <w:pStyle w:val="BodyText"/>
      </w:pPr>
      <w:r w:rsidRPr="00C518D6">
        <w:t xml:space="preserve">RIA’s CSEMP identified a mitigation strategy for the proactive management associated with event organisers across the </w:t>
      </w:r>
      <w:r w:rsidR="006E05A8">
        <w:t>w</w:t>
      </w:r>
      <w:r w:rsidRPr="00C518D6">
        <w:t xml:space="preserve">orks was to implement a Special Events sub plan. However, the Special Events sub plan was not provided at the time of the review as such it could not be determined if this requirement had been met. RIA updated the CSEMP to include the relevant controls around “major events” and the finding </w:t>
      </w:r>
      <w:r w:rsidR="00274A44">
        <w:t>was</w:t>
      </w:r>
      <w:r w:rsidRPr="00C518D6">
        <w:t xml:space="preserve"> closed </w:t>
      </w:r>
      <w:r w:rsidR="00274A44">
        <w:t>in</w:t>
      </w:r>
      <w:r w:rsidRPr="00C518D6">
        <w:t xml:space="preserve"> April 2019.</w:t>
      </w:r>
    </w:p>
    <w:p w14:paraId="3752ADC4" w14:textId="4E33FFEB" w:rsidR="000B3913" w:rsidRPr="005D4C2A" w:rsidRDefault="000B3913" w:rsidP="000B3913">
      <w:pPr>
        <w:pStyle w:val="BodyText"/>
        <w:rPr>
          <w:b/>
          <w:bCs/>
        </w:rPr>
      </w:pPr>
      <w:r w:rsidRPr="005D4C2A">
        <w:rPr>
          <w:b/>
          <w:bCs/>
        </w:rPr>
        <w:t xml:space="preserve">Finding </w:t>
      </w:r>
      <w:r w:rsidR="006B4025">
        <w:rPr>
          <w:b/>
          <w:bCs/>
        </w:rPr>
        <w:t xml:space="preserve">– </w:t>
      </w:r>
      <w:r w:rsidRPr="005D4C2A">
        <w:rPr>
          <w:b/>
          <w:bCs/>
        </w:rPr>
        <w:t>EPR SW1</w:t>
      </w:r>
    </w:p>
    <w:p w14:paraId="4F2E1E71" w14:textId="4F7C0E27" w:rsidR="000B3913" w:rsidRPr="000B3913" w:rsidRDefault="000B3913" w:rsidP="00D2493C">
      <w:pPr>
        <w:pStyle w:val="BodyText"/>
      </w:pPr>
      <w:r w:rsidRPr="00C518D6">
        <w:t>RIA provided no project documentation to demonstrate the control measures for the management and treatment of stormwater and overland flows under EPR SW1 during RIA Early Works and it could not be determined if said control measures were in place.</w:t>
      </w:r>
      <w:r>
        <w:t xml:space="preserve"> </w:t>
      </w:r>
      <w:r w:rsidRPr="00C518D6">
        <w:t xml:space="preserve">It was noted that RIA provided evidence, by way of meeting minutes, </w:t>
      </w:r>
      <w:r w:rsidR="00924EAF">
        <w:t>with</w:t>
      </w:r>
      <w:r w:rsidR="00924EAF" w:rsidRPr="00C518D6">
        <w:t xml:space="preserve"> </w:t>
      </w:r>
      <w:r w:rsidRPr="00C518D6">
        <w:t xml:space="preserve">Melbourne Water </w:t>
      </w:r>
      <w:r w:rsidR="00924EAF">
        <w:t>that demonstrated</w:t>
      </w:r>
      <w:r w:rsidR="00924EAF" w:rsidRPr="00C518D6">
        <w:t xml:space="preserve"> </w:t>
      </w:r>
      <w:r w:rsidR="00924EAF">
        <w:t>fl</w:t>
      </w:r>
      <w:r w:rsidRPr="00C518D6">
        <w:t xml:space="preserve">ood </w:t>
      </w:r>
      <w:r w:rsidR="00924EAF">
        <w:t>m</w:t>
      </w:r>
      <w:r w:rsidRPr="00C518D6">
        <w:t>odelling and Project design being undertaken in consultation with relevant stakeholders</w:t>
      </w:r>
      <w:r w:rsidR="00924EAF">
        <w:t xml:space="preserve">. This was to achieve stakeholder </w:t>
      </w:r>
      <w:r w:rsidRPr="00C518D6">
        <w:t xml:space="preserve">satisfaction with the integrated water management principles in the stormwater design. To address this finding, RIA updated the </w:t>
      </w:r>
      <w:r w:rsidR="00203BB1">
        <w:t>SWMP</w:t>
      </w:r>
      <w:r w:rsidRPr="00C518D6">
        <w:t xml:space="preserve"> to include appropriate controls and the finding was closed </w:t>
      </w:r>
      <w:r w:rsidR="00A104ED">
        <w:t>in</w:t>
      </w:r>
      <w:r w:rsidRPr="00C518D6">
        <w:t xml:space="preserve"> April 2019.</w:t>
      </w:r>
    </w:p>
    <w:p w14:paraId="62F54D81" w14:textId="51F4360E" w:rsidR="00A83CE0" w:rsidRPr="000C375E" w:rsidRDefault="00A83CE0" w:rsidP="00A83CE0">
      <w:pPr>
        <w:pStyle w:val="BodyText"/>
        <w:rPr>
          <w:b/>
          <w:bCs/>
        </w:rPr>
      </w:pPr>
      <w:r w:rsidRPr="000C375E">
        <w:rPr>
          <w:b/>
          <w:bCs/>
        </w:rPr>
        <w:t xml:space="preserve">Finding </w:t>
      </w:r>
      <w:r w:rsidR="006B4025">
        <w:rPr>
          <w:b/>
          <w:bCs/>
        </w:rPr>
        <w:t xml:space="preserve">– </w:t>
      </w:r>
      <w:r w:rsidRPr="000C375E">
        <w:rPr>
          <w:b/>
          <w:bCs/>
        </w:rPr>
        <w:t>ERP T3</w:t>
      </w:r>
    </w:p>
    <w:p w14:paraId="16CE26F3" w14:textId="6537D651" w:rsidR="00814977" w:rsidRDefault="00A83CE0" w:rsidP="00D2493C">
      <w:pPr>
        <w:pStyle w:val="BodyText"/>
      </w:pPr>
      <w:r w:rsidRPr="00C518D6">
        <w:t>EPR T3 is in place to ensure that key parking issues have been identified</w:t>
      </w:r>
      <w:r w:rsidR="004F1118">
        <w:t xml:space="preserve"> for the project</w:t>
      </w:r>
      <w:r w:rsidRPr="00C518D6">
        <w:t xml:space="preserve">. </w:t>
      </w:r>
      <w:r w:rsidR="004F1118">
        <w:t xml:space="preserve">It was unclear if the </w:t>
      </w:r>
      <w:r w:rsidRPr="00C518D6">
        <w:t>RIA TMP for the Eastern</w:t>
      </w:r>
      <w:r w:rsidR="006A20F5">
        <w:t xml:space="preserve"> (Tunnel Entrance)</w:t>
      </w:r>
      <w:r w:rsidR="006A20F5" w:rsidRPr="00C518D6">
        <w:t xml:space="preserve"> Portal</w:t>
      </w:r>
      <w:r w:rsidRPr="00C518D6">
        <w:t xml:space="preserve"> and Western</w:t>
      </w:r>
      <w:r w:rsidR="006A20F5">
        <w:t xml:space="preserve"> (Tunnel Entrance)</w:t>
      </w:r>
      <w:r w:rsidRPr="00C518D6">
        <w:t xml:space="preserve"> Portal </w:t>
      </w:r>
      <w:r w:rsidR="004F1118">
        <w:t>had been</w:t>
      </w:r>
      <w:r w:rsidRPr="00C518D6">
        <w:t xml:space="preserve"> prepared in consultation with and approved by the relevant road authority to manage parking in and around the construction zones. RIA demonstrated in the audit in April 2019 that consultation with relevant stakeholders had occurred within TMPs and the finding was closed.</w:t>
      </w:r>
    </w:p>
    <w:p w14:paraId="0E08FD4D" w14:textId="3A1734C3" w:rsidR="000E74FC" w:rsidRPr="000C375E" w:rsidRDefault="000E74FC" w:rsidP="000E74FC">
      <w:pPr>
        <w:pStyle w:val="BodyText"/>
        <w:rPr>
          <w:b/>
          <w:bCs/>
        </w:rPr>
      </w:pPr>
      <w:r>
        <w:rPr>
          <w:b/>
          <w:bCs/>
        </w:rPr>
        <w:t xml:space="preserve">Finding </w:t>
      </w:r>
      <w:r w:rsidR="006B4025">
        <w:rPr>
          <w:b/>
          <w:bCs/>
        </w:rPr>
        <w:t xml:space="preserve">– </w:t>
      </w:r>
      <w:r w:rsidRPr="000C375E">
        <w:rPr>
          <w:b/>
          <w:bCs/>
        </w:rPr>
        <w:t xml:space="preserve">Management Plans </w:t>
      </w:r>
    </w:p>
    <w:p w14:paraId="09EA3BBB" w14:textId="77777777" w:rsidR="000E74FC" w:rsidRPr="00C518D6" w:rsidRDefault="000E74FC" w:rsidP="00D2493C">
      <w:pPr>
        <w:pStyle w:val="BodyText"/>
      </w:pPr>
      <w:r w:rsidRPr="00C518D6">
        <w:t xml:space="preserve">RIA is required to develop and implement management plans under the project EMF. At the time of the December 2018 audit, RIA had several management plans listed that were not finalised. </w:t>
      </w:r>
    </w:p>
    <w:p w14:paraId="04760260" w14:textId="3FAC1A6C" w:rsidR="000E74FC" w:rsidRDefault="000E74FC" w:rsidP="000E74FC">
      <w:pPr>
        <w:pStyle w:val="BodyText"/>
        <w:rPr>
          <w:szCs w:val="20"/>
        </w:rPr>
      </w:pPr>
      <w:r w:rsidRPr="00C518D6">
        <w:rPr>
          <w:szCs w:val="20"/>
        </w:rPr>
        <w:t xml:space="preserve">All the relevant plans were finalised in the in April 2019 </w:t>
      </w:r>
      <w:r w:rsidR="00A104ED" w:rsidRPr="00C518D6">
        <w:rPr>
          <w:szCs w:val="20"/>
        </w:rPr>
        <w:t>audit</w:t>
      </w:r>
      <w:r w:rsidRPr="00C518D6">
        <w:rPr>
          <w:szCs w:val="20"/>
        </w:rPr>
        <w:t xml:space="preserve"> and the finding was closed.</w:t>
      </w:r>
    </w:p>
    <w:p w14:paraId="222A2AEC" w14:textId="019636BC" w:rsidR="000E74FC" w:rsidRPr="00F022ED" w:rsidRDefault="00814977" w:rsidP="00814977">
      <w:pPr>
        <w:pStyle w:val="Heading4"/>
        <w:rPr>
          <w:sz w:val="22"/>
        </w:rPr>
      </w:pPr>
      <w:r>
        <w:t>P</w:t>
      </w:r>
      <w:r w:rsidR="000E74FC">
        <w:t xml:space="preserve">otential </w:t>
      </w:r>
      <w:r>
        <w:t>I</w:t>
      </w:r>
      <w:r w:rsidR="000E74FC">
        <w:t xml:space="preserve">mprovement </w:t>
      </w:r>
      <w:r>
        <w:t>O</w:t>
      </w:r>
      <w:r w:rsidR="000E74FC">
        <w:t xml:space="preserve">pportunity </w:t>
      </w:r>
    </w:p>
    <w:p w14:paraId="604CCBBD" w14:textId="349DF819" w:rsidR="00A83CE0" w:rsidRPr="000C375E" w:rsidRDefault="004F1118" w:rsidP="00A83CE0">
      <w:pPr>
        <w:pStyle w:val="BodyText"/>
        <w:rPr>
          <w:b/>
          <w:bCs/>
        </w:rPr>
      </w:pPr>
      <w:r>
        <w:rPr>
          <w:b/>
          <w:bCs/>
        </w:rPr>
        <w:t>PIO</w:t>
      </w:r>
      <w:r w:rsidRPr="000C375E">
        <w:rPr>
          <w:b/>
          <w:bCs/>
        </w:rPr>
        <w:t xml:space="preserve"> </w:t>
      </w:r>
      <w:r w:rsidR="006B4025">
        <w:rPr>
          <w:b/>
          <w:bCs/>
        </w:rPr>
        <w:t xml:space="preserve">– </w:t>
      </w:r>
      <w:r w:rsidR="00A83CE0">
        <w:rPr>
          <w:b/>
          <w:bCs/>
        </w:rPr>
        <w:t xml:space="preserve">EPR </w:t>
      </w:r>
      <w:r w:rsidR="00A83CE0" w:rsidRPr="000C375E">
        <w:rPr>
          <w:b/>
          <w:bCs/>
        </w:rPr>
        <w:t>AQ1</w:t>
      </w:r>
    </w:p>
    <w:p w14:paraId="4BD07505" w14:textId="40940E25" w:rsidR="00A83CE0" w:rsidRDefault="00A83CE0" w:rsidP="00D2493C">
      <w:pPr>
        <w:pStyle w:val="BodyText"/>
      </w:pPr>
      <w:r w:rsidRPr="00C518D6">
        <w:t xml:space="preserve">During the December 2018 audit, an inconsistent definition of sensitive receptors within the RIA AQMP was found. </w:t>
      </w:r>
      <w:r w:rsidR="00B97C60">
        <w:t xml:space="preserve">RIA adopted the POI and made changes to the AQMP. </w:t>
      </w:r>
    </w:p>
    <w:p w14:paraId="0FA9FA37" w14:textId="187A2BAD" w:rsidR="00A83CE0" w:rsidRPr="000C375E" w:rsidRDefault="004F1118" w:rsidP="00A83CE0">
      <w:pPr>
        <w:pStyle w:val="BodyText"/>
        <w:rPr>
          <w:b/>
          <w:bCs/>
        </w:rPr>
      </w:pPr>
      <w:r>
        <w:rPr>
          <w:b/>
          <w:bCs/>
        </w:rPr>
        <w:lastRenderedPageBreak/>
        <w:t>PIO</w:t>
      </w:r>
      <w:r w:rsidRPr="000C375E">
        <w:rPr>
          <w:b/>
          <w:bCs/>
        </w:rPr>
        <w:t xml:space="preserve"> </w:t>
      </w:r>
      <w:r w:rsidR="006B4025">
        <w:rPr>
          <w:b/>
          <w:bCs/>
        </w:rPr>
        <w:t xml:space="preserve">– </w:t>
      </w:r>
      <w:r w:rsidR="00A83CE0" w:rsidRPr="000C375E">
        <w:rPr>
          <w:b/>
          <w:bCs/>
        </w:rPr>
        <w:t>EPR SC4</w:t>
      </w:r>
    </w:p>
    <w:p w14:paraId="3F37D761" w14:textId="4ADE9E9D" w:rsidR="000E74FC" w:rsidRPr="002A2B5C" w:rsidRDefault="00A83CE0" w:rsidP="002A2B5C">
      <w:pPr>
        <w:rPr>
          <w:sz w:val="20"/>
          <w:szCs w:val="20"/>
        </w:rPr>
      </w:pPr>
      <w:r w:rsidRPr="002A2B5C">
        <w:rPr>
          <w:sz w:val="20"/>
          <w:szCs w:val="20"/>
        </w:rPr>
        <w:t xml:space="preserve">During the December 2018 Audit, no reference to the Property Conditions Survey procedure was included within RIA’s CSEMP. </w:t>
      </w:r>
      <w:r w:rsidR="00B97C60">
        <w:rPr>
          <w:sz w:val="20"/>
          <w:szCs w:val="20"/>
        </w:rPr>
        <w:t xml:space="preserve"> </w:t>
      </w:r>
      <w:r w:rsidR="00B97C60" w:rsidRPr="00E7098A">
        <w:rPr>
          <w:sz w:val="20"/>
          <w:szCs w:val="20"/>
        </w:rPr>
        <w:t xml:space="preserve">RIA adopted the POI and made changes to the </w:t>
      </w:r>
      <w:r w:rsidR="00B97C60">
        <w:rPr>
          <w:sz w:val="20"/>
          <w:szCs w:val="20"/>
        </w:rPr>
        <w:t>CSEMP</w:t>
      </w:r>
      <w:r w:rsidR="00B97C60" w:rsidRPr="00E7098A">
        <w:rPr>
          <w:sz w:val="20"/>
          <w:szCs w:val="20"/>
        </w:rPr>
        <w:t>.</w:t>
      </w:r>
      <w:r w:rsidR="00B97C60">
        <w:t xml:space="preserve"> </w:t>
      </w:r>
    </w:p>
    <w:p w14:paraId="7365BF4C" w14:textId="00C6A1F4" w:rsidR="00523062" w:rsidRPr="001C0297" w:rsidRDefault="00A62623" w:rsidP="00523062">
      <w:pPr>
        <w:pStyle w:val="Heading2"/>
      </w:pPr>
      <w:bookmarkStart w:id="36" w:name="_Toc96586780"/>
      <w:r>
        <w:t>Pre</w:t>
      </w:r>
      <w:r w:rsidR="003B2094">
        <w:t>-commencement</w:t>
      </w:r>
      <w:r>
        <w:t xml:space="preserve"> Audit Q1 2019</w:t>
      </w:r>
      <w:bookmarkEnd w:id="36"/>
      <w:r>
        <w:t xml:space="preserve"> </w:t>
      </w:r>
    </w:p>
    <w:p w14:paraId="2C56DF12" w14:textId="4CC8D1DD" w:rsidR="004665CB" w:rsidRDefault="004665CB" w:rsidP="00EA69C2">
      <w:pPr>
        <w:pStyle w:val="Heading3"/>
      </w:pPr>
      <w:r>
        <w:t xml:space="preserve">Audit </w:t>
      </w:r>
      <w:r w:rsidR="002A535C">
        <w:t>S</w:t>
      </w:r>
      <w:r>
        <w:t>cope</w:t>
      </w:r>
    </w:p>
    <w:p w14:paraId="15D8E7F1" w14:textId="44FA6CB9" w:rsidR="004665CB" w:rsidRDefault="002368B9" w:rsidP="004665CB">
      <w:pPr>
        <w:pStyle w:val="BodyText"/>
      </w:pPr>
      <w:r>
        <w:t>T</w:t>
      </w:r>
      <w:r w:rsidR="00B07919">
        <w:t>his audit focuse</w:t>
      </w:r>
      <w:r w:rsidR="005571AF">
        <w:t>d</w:t>
      </w:r>
      <w:r w:rsidR="00B07919">
        <w:t xml:space="preserve"> on the RIA GC82 RIA Stage 1 (Rail Works) of the Western Turnback Development Plan</w:t>
      </w:r>
      <w:r>
        <w:t>.</w:t>
      </w:r>
      <w:r w:rsidR="00EA49F4">
        <w:t xml:space="preserve"> </w:t>
      </w:r>
      <w:r w:rsidR="00116254">
        <w:t>EPRs reviewed within the scope of the Pre-</w:t>
      </w:r>
      <w:r w:rsidR="005021F0">
        <w:t>c</w:t>
      </w:r>
      <w:r w:rsidR="00116254">
        <w:t>ommencement Audit Q1 2019 were:</w:t>
      </w:r>
    </w:p>
    <w:p w14:paraId="16493547" w14:textId="77777777" w:rsidR="005248BF" w:rsidRPr="00296F2D" w:rsidRDefault="005248BF" w:rsidP="00D2493C">
      <w:pPr>
        <w:pStyle w:val="Bullet1"/>
      </w:pPr>
      <w:r>
        <w:t xml:space="preserve">Environmental Management Framework: EMF1, </w:t>
      </w:r>
      <w:r w:rsidRPr="00860C54">
        <w:t>EMF2, EMF3, EMF4</w:t>
      </w:r>
    </w:p>
    <w:p w14:paraId="118DA1CA" w14:textId="54E1EE9B" w:rsidR="005248BF" w:rsidRDefault="005248BF" w:rsidP="00D2493C">
      <w:pPr>
        <w:pStyle w:val="Bullet1"/>
      </w:pPr>
      <w:r>
        <w:t>Aquatic Ecology &amp; River Health: AE1, AE7</w:t>
      </w:r>
    </w:p>
    <w:p w14:paraId="01847051" w14:textId="77777777" w:rsidR="005248BF" w:rsidRDefault="005248BF" w:rsidP="00D2493C">
      <w:pPr>
        <w:pStyle w:val="Bullet1"/>
      </w:pPr>
      <w:r>
        <w:t>Aboriginal Cultural Heritage: AH1</w:t>
      </w:r>
    </w:p>
    <w:p w14:paraId="50D5942A" w14:textId="7A8BA040" w:rsidR="005248BF" w:rsidRDefault="005248BF" w:rsidP="00D2493C">
      <w:pPr>
        <w:pStyle w:val="Bullet1"/>
      </w:pPr>
      <w:r>
        <w:t>Air Quality: AQ3</w:t>
      </w:r>
    </w:p>
    <w:p w14:paraId="2CA1E6B4" w14:textId="4A33F977" w:rsidR="005248BF" w:rsidRDefault="005248BF" w:rsidP="00D2493C">
      <w:pPr>
        <w:pStyle w:val="Bullet1"/>
      </w:pPr>
      <w:r>
        <w:t>Arboriculture: AR1, AR2, AR4</w:t>
      </w:r>
    </w:p>
    <w:p w14:paraId="5A1C455B" w14:textId="6BB444D6" w:rsidR="005248BF" w:rsidRDefault="005248BF" w:rsidP="00D2493C">
      <w:pPr>
        <w:pStyle w:val="Bullet1"/>
      </w:pPr>
      <w:r>
        <w:t>Business: B1, B2</w:t>
      </w:r>
    </w:p>
    <w:p w14:paraId="099D9638" w14:textId="31E43DBB" w:rsidR="005248BF" w:rsidRDefault="005248BF" w:rsidP="00D2493C">
      <w:pPr>
        <w:pStyle w:val="Bullet1"/>
      </w:pPr>
      <w:r>
        <w:t>Contaminated Land and Spoil Management: C1</w:t>
      </w:r>
    </w:p>
    <w:p w14:paraId="7D9893DE" w14:textId="590C94FB" w:rsidR="005248BF" w:rsidRDefault="005248BF" w:rsidP="00D2493C">
      <w:pPr>
        <w:pStyle w:val="Bullet1"/>
      </w:pPr>
      <w:r>
        <w:t>Historical Cultural Heritage: CH1, CH2, CH8, CH10, CH22, CH23</w:t>
      </w:r>
    </w:p>
    <w:p w14:paraId="52BC571F" w14:textId="0C373EF7" w:rsidR="005248BF" w:rsidRDefault="005248BF" w:rsidP="00D2493C">
      <w:pPr>
        <w:pStyle w:val="Bullet1"/>
      </w:pPr>
      <w:r>
        <w:t>Greenhouse Gas: GHG1, GHG2</w:t>
      </w:r>
    </w:p>
    <w:p w14:paraId="47C57799" w14:textId="41D219EC" w:rsidR="005248BF" w:rsidRDefault="005248BF" w:rsidP="00D2493C">
      <w:pPr>
        <w:pStyle w:val="Bullet1"/>
      </w:pPr>
      <w:r>
        <w:t>Ground Movement and Land Stability: GM2, GM4</w:t>
      </w:r>
    </w:p>
    <w:p w14:paraId="7D8A136D" w14:textId="5051EF6B" w:rsidR="005248BF" w:rsidRDefault="005248BF" w:rsidP="00D2493C">
      <w:pPr>
        <w:pStyle w:val="Bullet1"/>
      </w:pPr>
      <w:r>
        <w:t>Groundwater: GW1, GW2, GW3</w:t>
      </w:r>
    </w:p>
    <w:p w14:paraId="35183D8D" w14:textId="691ACB34" w:rsidR="005248BF" w:rsidRDefault="005248BF" w:rsidP="00D2493C">
      <w:pPr>
        <w:pStyle w:val="Bullet1"/>
      </w:pPr>
      <w:r>
        <w:t>Land Use and Planning: LU1, LU2, LU4</w:t>
      </w:r>
    </w:p>
    <w:p w14:paraId="7DFE14EC" w14:textId="43F27CC1" w:rsidR="005248BF" w:rsidRDefault="005248BF" w:rsidP="00D2493C">
      <w:pPr>
        <w:pStyle w:val="Bullet1"/>
      </w:pPr>
      <w:r>
        <w:t>Landscape and Visual: LV1, LV2</w:t>
      </w:r>
    </w:p>
    <w:p w14:paraId="1775A59C" w14:textId="0579E43F" w:rsidR="005248BF" w:rsidRDefault="005248BF" w:rsidP="00D2493C">
      <w:pPr>
        <w:pStyle w:val="Bullet1"/>
      </w:pPr>
      <w:r>
        <w:t>Noise and Vibration: NV3, NV16, NV17, NV18, NV20</w:t>
      </w:r>
    </w:p>
    <w:p w14:paraId="175F1F86" w14:textId="21F411BB" w:rsidR="005248BF" w:rsidRDefault="005248BF" w:rsidP="00D2493C">
      <w:pPr>
        <w:pStyle w:val="Bullet1"/>
      </w:pPr>
      <w:r>
        <w:t>Social and Community: SC3, SC4, SC6, SC7, SC8, SC12</w:t>
      </w:r>
    </w:p>
    <w:p w14:paraId="374926F4" w14:textId="589B5634" w:rsidR="005248BF" w:rsidRDefault="005248BF" w:rsidP="00D2493C">
      <w:pPr>
        <w:pStyle w:val="Bullet1"/>
      </w:pPr>
      <w:r>
        <w:t>Surface Water: SW2</w:t>
      </w:r>
    </w:p>
    <w:p w14:paraId="237D151C" w14:textId="2A7F3409" w:rsidR="00116254" w:rsidRPr="004665CB" w:rsidRDefault="005248BF" w:rsidP="00D2493C">
      <w:pPr>
        <w:pStyle w:val="Bullet1"/>
      </w:pPr>
      <w:r>
        <w:t>Transport: T7, T8,</w:t>
      </w:r>
      <w:r w:rsidR="007F4A03">
        <w:t xml:space="preserve"> </w:t>
      </w:r>
      <w:r>
        <w:t>T9</w:t>
      </w:r>
      <w:r w:rsidR="00F976CB">
        <w:t>.</w:t>
      </w:r>
    </w:p>
    <w:p w14:paraId="65355C62" w14:textId="5629C741" w:rsidR="00814977" w:rsidRDefault="00814977" w:rsidP="00D2493C">
      <w:pPr>
        <w:pStyle w:val="Heading3"/>
        <w:spacing w:before="240"/>
      </w:pPr>
      <w:r>
        <w:t xml:space="preserve">Audit </w:t>
      </w:r>
      <w:r w:rsidR="002A535C">
        <w:t>F</w:t>
      </w:r>
      <w:r>
        <w:t xml:space="preserve">indings </w:t>
      </w:r>
    </w:p>
    <w:p w14:paraId="6E294C40" w14:textId="5AAE3B6D" w:rsidR="005021F0" w:rsidRPr="004C7B5C" w:rsidRDefault="005021F0" w:rsidP="005021F0">
      <w:pPr>
        <w:pStyle w:val="BodyText"/>
      </w:pPr>
      <w:r>
        <w:t>This section summaris</w:t>
      </w:r>
      <w:r w:rsidR="007F4A03">
        <w:t>es</w:t>
      </w:r>
      <w:r>
        <w:t xml:space="preserve"> the IEA findings relevant to the Q1 2019 IEA Report. </w:t>
      </w:r>
    </w:p>
    <w:p w14:paraId="5808418B" w14:textId="33D5E88B" w:rsidR="00EA69C2" w:rsidRPr="00F81A93" w:rsidRDefault="00F022ED" w:rsidP="004665CB">
      <w:pPr>
        <w:pStyle w:val="Heading4"/>
      </w:pPr>
      <w:r>
        <w:t xml:space="preserve">Does </w:t>
      </w:r>
      <w:r w:rsidR="004665CB">
        <w:t>N</w:t>
      </w:r>
      <w:r>
        <w:t xml:space="preserve">ot </w:t>
      </w:r>
      <w:r w:rsidR="004665CB">
        <w:t>C</w:t>
      </w:r>
      <w:r>
        <w:t xml:space="preserve">omply </w:t>
      </w:r>
    </w:p>
    <w:p w14:paraId="4D30C50C" w14:textId="47D3144D" w:rsidR="00417E8E" w:rsidRPr="000C375E" w:rsidRDefault="00417E8E" w:rsidP="00417E8E">
      <w:pPr>
        <w:pStyle w:val="BodyText"/>
        <w:rPr>
          <w:b/>
          <w:bCs/>
        </w:rPr>
      </w:pPr>
      <w:r w:rsidRPr="000C375E">
        <w:rPr>
          <w:b/>
          <w:bCs/>
        </w:rPr>
        <w:t xml:space="preserve">Finding </w:t>
      </w:r>
      <w:r w:rsidR="006B4025">
        <w:rPr>
          <w:b/>
          <w:bCs/>
        </w:rPr>
        <w:t xml:space="preserve">– </w:t>
      </w:r>
      <w:r w:rsidRPr="000C375E">
        <w:rPr>
          <w:b/>
          <w:bCs/>
        </w:rPr>
        <w:t>EPR GM4</w:t>
      </w:r>
    </w:p>
    <w:p w14:paraId="6B2B322E" w14:textId="2699577F" w:rsidR="001F3216" w:rsidRPr="00C518D6" w:rsidRDefault="00417E8E" w:rsidP="00D2493C">
      <w:pPr>
        <w:pStyle w:val="BodyText"/>
      </w:pPr>
      <w:r w:rsidRPr="00C518D6">
        <w:t>EPR GM4 requires that pre-construction condition surveys are undertaken for assets and structures potentially affected by ground movement.</w:t>
      </w:r>
      <w:r>
        <w:t xml:space="preserve"> </w:t>
      </w:r>
      <w:r w:rsidRPr="00C518D6">
        <w:t xml:space="preserve">RIA could not provide evidence that pre-construction condition surveys and a </w:t>
      </w:r>
      <w:r w:rsidRPr="00C518D6">
        <w:lastRenderedPageBreak/>
        <w:t xml:space="preserve">database of condition information </w:t>
      </w:r>
      <w:r w:rsidR="003975AB">
        <w:t>had been implemented</w:t>
      </w:r>
      <w:r w:rsidRPr="00C518D6">
        <w:t xml:space="preserve"> at the time of the audit. Therefore, it could not be determined if the assessments would be completed prior to construction. </w:t>
      </w:r>
    </w:p>
    <w:p w14:paraId="1DB3BD30" w14:textId="474C349B" w:rsidR="00C40C8F" w:rsidRPr="00895877" w:rsidRDefault="00417E8E" w:rsidP="00D2493C">
      <w:pPr>
        <w:pStyle w:val="BodyText"/>
      </w:pPr>
      <w:r w:rsidRPr="0074674A">
        <w:t>At the time of the audit RIA was in the process of undertaking assessments to establish construction boundaries and determine a list of properties, in accordance with the CSEMP. RIA provided appropriate evidence in July 2019 to confirm that the precondition surveys and third-party assessments had been completed, as required</w:t>
      </w:r>
      <w:r w:rsidR="00E16383">
        <w:t xml:space="preserve"> and the finding was closed</w:t>
      </w:r>
      <w:r w:rsidRPr="0074674A">
        <w:t>.</w:t>
      </w:r>
    </w:p>
    <w:p w14:paraId="6AD82993" w14:textId="26CAC8D7" w:rsidR="00F022ED" w:rsidRPr="00F022ED" w:rsidRDefault="006C484E" w:rsidP="006C484E">
      <w:pPr>
        <w:pStyle w:val="Heading4"/>
      </w:pPr>
      <w:r>
        <w:t>P</w:t>
      </w:r>
      <w:r w:rsidR="00F022ED">
        <w:t xml:space="preserve">artially </w:t>
      </w:r>
      <w:r>
        <w:t>C</w:t>
      </w:r>
      <w:r w:rsidR="00F022ED">
        <w:t xml:space="preserve">omplies </w:t>
      </w:r>
    </w:p>
    <w:p w14:paraId="259683F5" w14:textId="63BE5842" w:rsidR="00417E8E" w:rsidRPr="00C36B00" w:rsidRDefault="00417E8E" w:rsidP="00417E8E">
      <w:pPr>
        <w:pStyle w:val="BodyText"/>
        <w:rPr>
          <w:b/>
          <w:bCs/>
        </w:rPr>
      </w:pPr>
      <w:r w:rsidRPr="00C36B00">
        <w:rPr>
          <w:b/>
          <w:bCs/>
        </w:rPr>
        <w:t xml:space="preserve">Finding </w:t>
      </w:r>
      <w:r w:rsidR="006B4025">
        <w:rPr>
          <w:b/>
          <w:bCs/>
        </w:rPr>
        <w:t xml:space="preserve">– </w:t>
      </w:r>
      <w:r w:rsidRPr="00C36B00">
        <w:rPr>
          <w:b/>
          <w:bCs/>
        </w:rPr>
        <w:t>EPR T7</w:t>
      </w:r>
    </w:p>
    <w:p w14:paraId="586EDE7A" w14:textId="0F84B1FF" w:rsidR="009944E8" w:rsidRPr="00C518D6" w:rsidRDefault="00417E8E" w:rsidP="00D2493C">
      <w:pPr>
        <w:pStyle w:val="BodyText"/>
      </w:pPr>
      <w:r w:rsidRPr="00C518D6">
        <w:t xml:space="preserve">EPR T7 requires RIA to develop and submit Management Plans to RPV for approval in order to be operationalised. RIA had not provided two traffic management plans required under EPR T7 to RPV </w:t>
      </w:r>
      <w:r w:rsidR="00FD3862">
        <w:t>at</w:t>
      </w:r>
      <w:r w:rsidR="00FD3862" w:rsidRPr="00C518D6">
        <w:t xml:space="preserve"> </w:t>
      </w:r>
      <w:r w:rsidRPr="00C518D6">
        <w:t xml:space="preserve">the </w:t>
      </w:r>
      <w:r w:rsidR="00FD3862">
        <w:t>time</w:t>
      </w:r>
      <w:r w:rsidR="00FD3862" w:rsidRPr="00C518D6">
        <w:t xml:space="preserve"> </w:t>
      </w:r>
      <w:r w:rsidRPr="00C518D6">
        <w:t xml:space="preserve">of the audit. </w:t>
      </w:r>
    </w:p>
    <w:p w14:paraId="35A08495" w14:textId="2735CDA0" w:rsidR="00417E8E" w:rsidRPr="0074674A" w:rsidRDefault="00417E8E" w:rsidP="00D2493C">
      <w:pPr>
        <w:pStyle w:val="BodyText"/>
      </w:pPr>
      <w:r w:rsidRPr="0074674A">
        <w:t>In the July 2019 audit RIA had confirmed that these Management Plans had been provided to RPV and had the necessary approvals; and the finding was closed.</w:t>
      </w:r>
    </w:p>
    <w:p w14:paraId="3F6B57E1" w14:textId="2C2097AB" w:rsidR="00417E8E" w:rsidRPr="00F03A83" w:rsidRDefault="00417E8E" w:rsidP="00417E8E">
      <w:pPr>
        <w:pStyle w:val="BodyText"/>
        <w:rPr>
          <w:b/>
          <w:bCs/>
          <w:szCs w:val="20"/>
        </w:rPr>
      </w:pPr>
      <w:r w:rsidRPr="00F03A83">
        <w:rPr>
          <w:b/>
          <w:bCs/>
          <w:szCs w:val="20"/>
        </w:rPr>
        <w:t xml:space="preserve">Finding </w:t>
      </w:r>
      <w:r w:rsidR="006B4025">
        <w:rPr>
          <w:b/>
          <w:bCs/>
        </w:rPr>
        <w:t xml:space="preserve">– </w:t>
      </w:r>
      <w:r w:rsidRPr="00F03A83">
        <w:rPr>
          <w:b/>
          <w:bCs/>
          <w:szCs w:val="20"/>
        </w:rPr>
        <w:t xml:space="preserve">Management Plans </w:t>
      </w:r>
    </w:p>
    <w:p w14:paraId="246A7169" w14:textId="6DD96342" w:rsidR="006801DF" w:rsidRDefault="00417E8E" w:rsidP="00D2493C">
      <w:pPr>
        <w:pStyle w:val="BodyText"/>
      </w:pPr>
      <w:r w:rsidRPr="00C518D6">
        <w:t xml:space="preserve">The project EMF requires RIA to develop and submit Management Plans to RPV for approval in order to be operationalised. During the course of the audit several management plans that were required under several EPRs had been submitted to RPV for </w:t>
      </w:r>
      <w:r w:rsidR="006801DF">
        <w:t>review</w:t>
      </w:r>
      <w:r w:rsidRPr="00C518D6">
        <w:t>, however</w:t>
      </w:r>
      <w:r w:rsidR="00C62169">
        <w:t>,</w:t>
      </w:r>
      <w:r w:rsidRPr="00C518D6">
        <w:t xml:space="preserve"> they </w:t>
      </w:r>
      <w:r w:rsidR="006801DF">
        <w:t>had</w:t>
      </w:r>
      <w:r w:rsidR="006801DF" w:rsidRPr="00C518D6">
        <w:t xml:space="preserve"> </w:t>
      </w:r>
      <w:r w:rsidRPr="00C518D6">
        <w:t>not been approved for use.</w:t>
      </w:r>
      <w:r>
        <w:t xml:space="preserve"> </w:t>
      </w:r>
    </w:p>
    <w:p w14:paraId="14173413" w14:textId="72EB467D" w:rsidR="00417E8E" w:rsidRPr="000C375E" w:rsidRDefault="006801DF" w:rsidP="00417E8E">
      <w:pPr>
        <w:spacing w:before="0" w:after="0"/>
      </w:pPr>
      <w:r>
        <w:rPr>
          <w:sz w:val="20"/>
          <w:szCs w:val="20"/>
        </w:rPr>
        <w:t xml:space="preserve">During the July 2019 audit it was confirmed that </w:t>
      </w:r>
      <w:r w:rsidR="00417E8E" w:rsidRPr="00C518D6">
        <w:rPr>
          <w:sz w:val="20"/>
          <w:szCs w:val="20"/>
        </w:rPr>
        <w:t>RPV had approved all the plans identified and the finding was closed.</w:t>
      </w:r>
    </w:p>
    <w:p w14:paraId="627EB77B" w14:textId="4FD3163E" w:rsidR="00417E8E" w:rsidRDefault="00417E8E" w:rsidP="00D2493C">
      <w:pPr>
        <w:pStyle w:val="BodyText"/>
        <w:spacing w:before="240"/>
        <w:rPr>
          <w:b/>
          <w:bCs/>
        </w:rPr>
      </w:pPr>
      <w:r w:rsidRPr="005A2796">
        <w:rPr>
          <w:b/>
          <w:szCs w:val="20"/>
        </w:rPr>
        <w:t xml:space="preserve">Finding </w:t>
      </w:r>
      <w:r w:rsidR="006B4025" w:rsidRPr="00377CA7">
        <w:rPr>
          <w:b/>
          <w:szCs w:val="20"/>
        </w:rPr>
        <w:t xml:space="preserve">– </w:t>
      </w:r>
      <w:r w:rsidRPr="007B6F09">
        <w:rPr>
          <w:b/>
          <w:szCs w:val="20"/>
        </w:rPr>
        <w:t>NV3 and NV16</w:t>
      </w:r>
    </w:p>
    <w:p w14:paraId="1DD9BA73" w14:textId="5239C31F" w:rsidR="009944E8" w:rsidRPr="00C518D6" w:rsidRDefault="00417E8E" w:rsidP="00D2493C">
      <w:pPr>
        <w:pStyle w:val="BodyText"/>
      </w:pPr>
      <w:r w:rsidRPr="00C518D6">
        <w:t>RIA is required to develop CNVIAs that demonstrate modelling used to determine the appropriate mitigation controls to achieve compliance with several EPRs. RIA had prepared a CNMVP that outlined controls; however, a CNVIA for the Western Turnback was not provided at the time of the February 2019</w:t>
      </w:r>
      <w:r w:rsidR="004B07B8">
        <w:t xml:space="preserve"> audit</w:t>
      </w:r>
      <w:r w:rsidRPr="00C518D6">
        <w:t>.</w:t>
      </w:r>
    </w:p>
    <w:p w14:paraId="0B0DC092" w14:textId="70093A7D" w:rsidR="00417E8E" w:rsidRDefault="00417E8E" w:rsidP="00D2493C">
      <w:pPr>
        <w:pStyle w:val="BodyText"/>
      </w:pPr>
      <w:r w:rsidRPr="0074674A">
        <w:t xml:space="preserve">Therefore, it could not be determined if the controls in the CNVMP had been informed by assessment and modelling by a suitably qualified acoustic and vibration consultant. The finding was closed in July 2019 when the CNVIA was provided </w:t>
      </w:r>
      <w:r w:rsidR="00ED0C1D">
        <w:t>to the IEA</w:t>
      </w:r>
      <w:r w:rsidRPr="0074674A">
        <w:t xml:space="preserve"> prior to the construction phase start date.</w:t>
      </w:r>
    </w:p>
    <w:p w14:paraId="4C659169" w14:textId="7DD770B4" w:rsidR="00417E8E" w:rsidRDefault="00417E8E" w:rsidP="00417E8E">
      <w:pPr>
        <w:pStyle w:val="BodyText"/>
        <w:rPr>
          <w:b/>
          <w:bCs/>
        </w:rPr>
      </w:pPr>
      <w:r>
        <w:rPr>
          <w:b/>
          <w:bCs/>
        </w:rPr>
        <w:t xml:space="preserve">Finding </w:t>
      </w:r>
      <w:r w:rsidR="006B4025">
        <w:rPr>
          <w:b/>
          <w:bCs/>
        </w:rPr>
        <w:t xml:space="preserve">– </w:t>
      </w:r>
      <w:r>
        <w:rPr>
          <w:b/>
          <w:bCs/>
        </w:rPr>
        <w:t>NV17 and NV20</w:t>
      </w:r>
    </w:p>
    <w:p w14:paraId="6F885929" w14:textId="77777777" w:rsidR="00417E8E" w:rsidRPr="00C518D6" w:rsidRDefault="00417E8E" w:rsidP="00D2493C">
      <w:pPr>
        <w:pStyle w:val="BodyText"/>
      </w:pPr>
      <w:r w:rsidRPr="00C518D6">
        <w:t xml:space="preserve">The CNVMP requires documentation of the mitigation design strategies for operational noise and vibration impacts of the rolling stock. However, the RIA CNVMP does not reference the vibration targets for future rolling stock and hence it cannot be determined how it will be designed to meet the targets. </w:t>
      </w:r>
    </w:p>
    <w:p w14:paraId="6DC9BB4D" w14:textId="317541AE" w:rsidR="002D5A17" w:rsidRPr="00C518D6" w:rsidRDefault="00417E8E" w:rsidP="00D2493C">
      <w:pPr>
        <w:pStyle w:val="BodyText"/>
      </w:pPr>
      <w:r w:rsidRPr="00C518D6">
        <w:t xml:space="preserve">The operational noise from rolling stock will be assessed during operation. However, there is no documentation of the assessment process. </w:t>
      </w:r>
    </w:p>
    <w:p w14:paraId="7BE2F1DC" w14:textId="7FCB7B26" w:rsidR="00417E8E" w:rsidRDefault="00417E8E" w:rsidP="00D2493C">
      <w:pPr>
        <w:pStyle w:val="BodyText"/>
      </w:pPr>
      <w:r w:rsidRPr="0074674A">
        <w:t>During the Q3 2019 audit, the IEA determined that the EPRs NV17 and NV20 are in relation to operational requirements and would be tested when relevant documentation became available and the finding was closed July 2019.</w:t>
      </w:r>
    </w:p>
    <w:p w14:paraId="7E93B0AC" w14:textId="4F1084EF" w:rsidR="00417E8E" w:rsidRDefault="00417E8E" w:rsidP="00417E8E">
      <w:pPr>
        <w:pStyle w:val="BodyText"/>
        <w:rPr>
          <w:b/>
          <w:bCs/>
        </w:rPr>
      </w:pPr>
      <w:r>
        <w:rPr>
          <w:b/>
          <w:bCs/>
        </w:rPr>
        <w:t xml:space="preserve">Finding </w:t>
      </w:r>
      <w:r w:rsidR="006B4025">
        <w:rPr>
          <w:b/>
          <w:bCs/>
        </w:rPr>
        <w:t xml:space="preserve">– </w:t>
      </w:r>
      <w:r>
        <w:rPr>
          <w:b/>
          <w:bCs/>
        </w:rPr>
        <w:t>EPR AQ3</w:t>
      </w:r>
    </w:p>
    <w:p w14:paraId="2D4F9E75" w14:textId="48DF14A1" w:rsidR="00417E8E" w:rsidRDefault="00417E8E" w:rsidP="00D2493C">
      <w:pPr>
        <w:pStyle w:val="BodyText"/>
        <w:rPr>
          <w:b/>
        </w:rPr>
      </w:pPr>
      <w:r w:rsidRPr="00C518D6">
        <w:t xml:space="preserve">RIA had not completed an Air Quality Impact Assessment (AQIA) under the requirements of EPR AQ3 and therefore, the </w:t>
      </w:r>
      <w:r w:rsidR="00F03598">
        <w:t>AQMP</w:t>
      </w:r>
      <w:r w:rsidRPr="00C518D6">
        <w:t xml:space="preserve"> contained limited details to control the emission of smoke, dust, fumes and other pollution </w:t>
      </w:r>
      <w:r w:rsidRPr="00C518D6">
        <w:lastRenderedPageBreak/>
        <w:t xml:space="preserve">into the atmosphere during construction and operation. The AQIA was not provided at the time of </w:t>
      </w:r>
      <w:r w:rsidR="00757A9F">
        <w:t xml:space="preserve">the </w:t>
      </w:r>
      <w:r w:rsidRPr="00C518D6">
        <w:t xml:space="preserve">audit. </w:t>
      </w:r>
      <w:r w:rsidR="00757A9F">
        <w:t xml:space="preserve">To address this finding, </w:t>
      </w:r>
      <w:r w:rsidRPr="00C518D6">
        <w:t xml:space="preserve">RIA provided the IEA with evidence to show that the AQIA </w:t>
      </w:r>
      <w:r w:rsidR="00757A9F">
        <w:t xml:space="preserve">was developed </w:t>
      </w:r>
      <w:r w:rsidRPr="00C518D6">
        <w:t>prior to construction and the finding was closed July 2019.</w:t>
      </w:r>
    </w:p>
    <w:p w14:paraId="7E7906AB" w14:textId="5D84B222" w:rsidR="00F022ED" w:rsidRPr="00F022ED" w:rsidRDefault="00733E78" w:rsidP="00733E78">
      <w:pPr>
        <w:pStyle w:val="Heading4"/>
        <w:rPr>
          <w:sz w:val="22"/>
        </w:rPr>
      </w:pPr>
      <w:r>
        <w:t>P</w:t>
      </w:r>
      <w:r w:rsidR="00F022ED">
        <w:t xml:space="preserve">otential </w:t>
      </w:r>
      <w:r>
        <w:t>I</w:t>
      </w:r>
      <w:r w:rsidR="00F022ED">
        <w:t xml:space="preserve">mprovement </w:t>
      </w:r>
      <w:r>
        <w:t>O</w:t>
      </w:r>
      <w:r w:rsidR="00F022ED">
        <w:t xml:space="preserve">pportunity </w:t>
      </w:r>
    </w:p>
    <w:p w14:paraId="74689AE0" w14:textId="6F976D97" w:rsidR="00F022ED" w:rsidRPr="00F03A83" w:rsidRDefault="00F022ED" w:rsidP="00F022ED">
      <w:pPr>
        <w:pStyle w:val="BodyText"/>
        <w:rPr>
          <w:b/>
          <w:bCs/>
        </w:rPr>
      </w:pPr>
      <w:r>
        <w:rPr>
          <w:b/>
          <w:bCs/>
        </w:rPr>
        <w:t>PIO</w:t>
      </w:r>
      <w:r w:rsidRPr="00F03A83">
        <w:rPr>
          <w:b/>
          <w:bCs/>
        </w:rPr>
        <w:t xml:space="preserve"> 1 – CNVMP</w:t>
      </w:r>
    </w:p>
    <w:p w14:paraId="07D4CE7F" w14:textId="615AA4F6" w:rsidR="002A2B5C" w:rsidRDefault="002A2B5C" w:rsidP="002A2B5C">
      <w:pPr>
        <w:pStyle w:val="BodyText"/>
      </w:pPr>
      <w:r w:rsidRPr="00C518D6">
        <w:t>RIA CNVMP did not reference EPRs NV16, NV17, NV18 and NV20 in the compliance requirements table within the CNVMP.</w:t>
      </w:r>
      <w:r w:rsidR="00CC2DA1" w:rsidRPr="00CC2DA1">
        <w:t xml:space="preserve"> The IEA does not require RIA to close-out PIOs, and therefore no follow-up was required.</w:t>
      </w:r>
      <w:r w:rsidRPr="00C518D6">
        <w:t xml:space="preserve">  </w:t>
      </w:r>
    </w:p>
    <w:p w14:paraId="7847FFAB" w14:textId="3923BDBB" w:rsidR="00F022ED" w:rsidRPr="001C0297" w:rsidRDefault="008228B8" w:rsidP="00F022ED">
      <w:pPr>
        <w:pStyle w:val="Heading2"/>
      </w:pPr>
      <w:bookmarkStart w:id="37" w:name="_Toc96586781"/>
      <w:r>
        <w:t>Implementation</w:t>
      </w:r>
      <w:r w:rsidR="00F022ED">
        <w:t xml:space="preserve"> Audit Q</w:t>
      </w:r>
      <w:r>
        <w:t>2</w:t>
      </w:r>
      <w:r w:rsidR="00F022ED">
        <w:t xml:space="preserve"> 2019</w:t>
      </w:r>
      <w:bookmarkEnd w:id="37"/>
      <w:r w:rsidR="00F022ED">
        <w:t xml:space="preserve"> </w:t>
      </w:r>
    </w:p>
    <w:p w14:paraId="4C80BC96" w14:textId="1F542228" w:rsidR="00733E78" w:rsidRDefault="00733E78" w:rsidP="00F022ED">
      <w:pPr>
        <w:pStyle w:val="Heading3"/>
      </w:pPr>
      <w:r>
        <w:t xml:space="preserve">Audit </w:t>
      </w:r>
      <w:r w:rsidR="002A535C">
        <w:t>S</w:t>
      </w:r>
      <w:r>
        <w:t>cope</w:t>
      </w:r>
    </w:p>
    <w:p w14:paraId="6D9B909F" w14:textId="64A6F454" w:rsidR="004F31E5" w:rsidRPr="00F70245" w:rsidRDefault="004F31E5" w:rsidP="0074674A">
      <w:pPr>
        <w:pStyle w:val="BodyText"/>
      </w:pPr>
      <w:r>
        <w:t>Th</w:t>
      </w:r>
      <w:r w:rsidR="005021F0">
        <w:t xml:space="preserve">is audit </w:t>
      </w:r>
      <w:r>
        <w:t>included testing for compliance against the RIA Early Works Plan</w:t>
      </w:r>
      <w:r w:rsidR="005021F0">
        <w:t xml:space="preserve"> </w:t>
      </w:r>
      <w:r>
        <w:t xml:space="preserve">and </w:t>
      </w:r>
      <w:r w:rsidR="005021F0">
        <w:t xml:space="preserve">the relevant </w:t>
      </w:r>
      <w:r w:rsidR="004061C9">
        <w:t>EPRs</w:t>
      </w:r>
      <w:r>
        <w:t xml:space="preserve">. </w:t>
      </w:r>
      <w:r w:rsidR="005021F0">
        <w:t xml:space="preserve">  </w:t>
      </w:r>
      <w:r w:rsidR="00607DF1">
        <w:t>Additionally</w:t>
      </w:r>
      <w:r w:rsidR="004061C9">
        <w:t>,</w:t>
      </w:r>
      <w:r>
        <w:t xml:space="preserve"> where an interface affecting relevant EPRs has been identified between RIA and the </w:t>
      </w:r>
      <w:r w:rsidR="005021F0">
        <w:t>Tunnels and Stations package being delivered by CYP</w:t>
      </w:r>
      <w:r>
        <w:t xml:space="preserve">, </w:t>
      </w:r>
      <w:r w:rsidR="00607DF1">
        <w:t xml:space="preserve">the audit scope included </w:t>
      </w:r>
      <w:r>
        <w:t>test</w:t>
      </w:r>
      <w:r w:rsidR="00607DF1">
        <w:t>ing</w:t>
      </w:r>
      <w:r>
        <w:t xml:space="preserve"> that appropriate actions </w:t>
      </w:r>
      <w:r w:rsidR="00607DF1">
        <w:t>were</w:t>
      </w:r>
      <w:r>
        <w:t xml:space="preserve"> undertaken by RIA to ensure that cumulative impacts </w:t>
      </w:r>
      <w:r w:rsidR="00607DF1">
        <w:t>were</w:t>
      </w:r>
      <w:r>
        <w:t xml:space="preserve"> appropriately managed, coordination with CYP occurred and that compliance </w:t>
      </w:r>
      <w:r w:rsidR="00607DF1">
        <w:t>was</w:t>
      </w:r>
      <w:r>
        <w:t xml:space="preserve"> achieved.</w:t>
      </w:r>
    </w:p>
    <w:p w14:paraId="7973D95B" w14:textId="2B603CE6" w:rsidR="008F73E5" w:rsidRDefault="008F73E5" w:rsidP="008F73E5">
      <w:pPr>
        <w:pStyle w:val="BodyText"/>
      </w:pPr>
      <w:r>
        <w:t>EPRs reviewed within the scope of the Q</w:t>
      </w:r>
      <w:r w:rsidR="006E05A8">
        <w:t>2</w:t>
      </w:r>
      <w:r>
        <w:t xml:space="preserve"> </w:t>
      </w:r>
      <w:r w:rsidR="006E05A8">
        <w:t xml:space="preserve">2019 audit </w:t>
      </w:r>
      <w:r>
        <w:t>were:</w:t>
      </w:r>
    </w:p>
    <w:p w14:paraId="6C66811A" w14:textId="77777777" w:rsidR="008F73E5" w:rsidRPr="00296F2D" w:rsidRDefault="008F73E5" w:rsidP="00D2493C">
      <w:pPr>
        <w:pStyle w:val="Bullet1"/>
      </w:pPr>
      <w:r>
        <w:t xml:space="preserve">Environmental Management Framework: EMF1, </w:t>
      </w:r>
      <w:r w:rsidRPr="00860C54">
        <w:t>EMF2, EMF3, EMF4</w:t>
      </w:r>
    </w:p>
    <w:p w14:paraId="3373A4D4" w14:textId="77777777" w:rsidR="008F73E5" w:rsidRDefault="008F73E5" w:rsidP="00D2493C">
      <w:pPr>
        <w:pStyle w:val="Bullet1"/>
      </w:pPr>
      <w:r>
        <w:t>Aquatic Ecology &amp; River Health: AE1, AE2, AE3</w:t>
      </w:r>
    </w:p>
    <w:p w14:paraId="76871F85" w14:textId="77777777" w:rsidR="008F73E5" w:rsidRDefault="008F73E5" w:rsidP="00D2493C">
      <w:pPr>
        <w:pStyle w:val="Bullet1"/>
      </w:pPr>
      <w:r>
        <w:t>Aboriginal Cultural Heritage: AH1</w:t>
      </w:r>
    </w:p>
    <w:p w14:paraId="38D12E99" w14:textId="77777777" w:rsidR="008F73E5" w:rsidRDefault="008F73E5" w:rsidP="00D2493C">
      <w:pPr>
        <w:pStyle w:val="Bullet1"/>
      </w:pPr>
      <w:r>
        <w:t>Air Quality: AQ1, AQ2, AQ3</w:t>
      </w:r>
    </w:p>
    <w:p w14:paraId="4BF57208" w14:textId="77777777" w:rsidR="008F73E5" w:rsidRDefault="008F73E5" w:rsidP="00D2493C">
      <w:pPr>
        <w:pStyle w:val="Bullet1"/>
      </w:pPr>
      <w:r>
        <w:t>Arboriculture: AR1, AR4, AR5</w:t>
      </w:r>
    </w:p>
    <w:p w14:paraId="22247D91" w14:textId="77777777" w:rsidR="008F73E5" w:rsidRDefault="008F73E5" w:rsidP="00D2493C">
      <w:pPr>
        <w:pStyle w:val="Bullet1"/>
      </w:pPr>
      <w:r>
        <w:t>Business: B2, B3</w:t>
      </w:r>
    </w:p>
    <w:p w14:paraId="6CF1E34A" w14:textId="77777777" w:rsidR="008F73E5" w:rsidRDefault="008F73E5" w:rsidP="00D2493C">
      <w:pPr>
        <w:pStyle w:val="Bullet1"/>
      </w:pPr>
      <w:r>
        <w:t>Contaminated Land and Spoil Management: C1, C2, C3, C4</w:t>
      </w:r>
    </w:p>
    <w:p w14:paraId="16A96FE4" w14:textId="77777777" w:rsidR="008F73E5" w:rsidRDefault="008F73E5" w:rsidP="00D2493C">
      <w:pPr>
        <w:pStyle w:val="Bullet1"/>
      </w:pPr>
      <w:r>
        <w:t>Historical Cultural Heritage: CH1, CH2, CH3, CH4, CH6, CH9, CH11. CH24</w:t>
      </w:r>
    </w:p>
    <w:p w14:paraId="7D3647C7" w14:textId="77777777" w:rsidR="008F73E5" w:rsidRDefault="008F73E5" w:rsidP="00D2493C">
      <w:pPr>
        <w:pStyle w:val="Bullet1"/>
      </w:pPr>
      <w:r>
        <w:t>Flora and Fauna- Terrestrial: FF1, FF2, FF3</w:t>
      </w:r>
    </w:p>
    <w:p w14:paraId="266CA836" w14:textId="77777777" w:rsidR="008F73E5" w:rsidRDefault="008F73E5" w:rsidP="00D2493C">
      <w:pPr>
        <w:pStyle w:val="Bullet1"/>
      </w:pPr>
      <w:r>
        <w:t>Ground Movement and Land Stability: GM2, GM4, GM5, GM6</w:t>
      </w:r>
    </w:p>
    <w:p w14:paraId="317DF077" w14:textId="77777777" w:rsidR="008F73E5" w:rsidRDefault="008F73E5" w:rsidP="00D2493C">
      <w:pPr>
        <w:pStyle w:val="Bullet1"/>
      </w:pPr>
      <w:r>
        <w:t>Groundwater: GW2</w:t>
      </w:r>
    </w:p>
    <w:p w14:paraId="477EDEB2" w14:textId="77777777" w:rsidR="008F73E5" w:rsidRDefault="008F73E5" w:rsidP="00D2493C">
      <w:pPr>
        <w:pStyle w:val="Bullet1"/>
      </w:pPr>
      <w:r>
        <w:t>Land Use and Planning: LU1, LU4</w:t>
      </w:r>
    </w:p>
    <w:p w14:paraId="693227DB" w14:textId="77777777" w:rsidR="008F73E5" w:rsidRDefault="008F73E5" w:rsidP="00D2493C">
      <w:pPr>
        <w:pStyle w:val="Bullet1"/>
      </w:pPr>
      <w:r>
        <w:t>Landscape and Visual: LV1, LV2, LV3, LV4</w:t>
      </w:r>
    </w:p>
    <w:p w14:paraId="442FEA8E" w14:textId="77777777" w:rsidR="008F73E5" w:rsidRDefault="008F73E5" w:rsidP="00D2493C">
      <w:pPr>
        <w:pStyle w:val="Bullet1"/>
      </w:pPr>
      <w:r>
        <w:t>Noise and Vibration: NV1, NV3, NV4, NV5, NV7, NV8, NV9, NV10, NV11, NV13, NV21</w:t>
      </w:r>
    </w:p>
    <w:p w14:paraId="7D4615EF" w14:textId="77777777" w:rsidR="008F73E5" w:rsidRDefault="008F73E5" w:rsidP="00D2493C">
      <w:pPr>
        <w:pStyle w:val="Bullet1"/>
      </w:pPr>
      <w:r>
        <w:t>Social and Community: SC2, SC4, SC6, SC10</w:t>
      </w:r>
    </w:p>
    <w:p w14:paraId="04C4758D" w14:textId="77777777" w:rsidR="008F73E5" w:rsidRDefault="008F73E5" w:rsidP="00D2493C">
      <w:pPr>
        <w:pStyle w:val="Bullet1"/>
      </w:pPr>
      <w:r>
        <w:t>Surface Water: SW1, SW2</w:t>
      </w:r>
    </w:p>
    <w:p w14:paraId="6F5ED368" w14:textId="38D39609" w:rsidR="005248BF" w:rsidRPr="00733E78" w:rsidRDefault="008F73E5" w:rsidP="00D2493C">
      <w:pPr>
        <w:pStyle w:val="Bullet1"/>
      </w:pPr>
      <w:r>
        <w:lastRenderedPageBreak/>
        <w:t>Transport: T2, T3, T4, T5, T6, T7, T10</w:t>
      </w:r>
      <w:r w:rsidR="00D03479">
        <w:t>.</w:t>
      </w:r>
    </w:p>
    <w:p w14:paraId="39AED188" w14:textId="0AEC0E9D" w:rsidR="00733E78" w:rsidRDefault="007E5025" w:rsidP="00F022ED">
      <w:pPr>
        <w:pStyle w:val="Heading3"/>
      </w:pPr>
      <w:r>
        <w:t>A</w:t>
      </w:r>
      <w:r w:rsidR="00733E78">
        <w:t xml:space="preserve">udit </w:t>
      </w:r>
      <w:r w:rsidR="002A535C">
        <w:t>F</w:t>
      </w:r>
      <w:r w:rsidR="00733E78">
        <w:t xml:space="preserve">indings </w:t>
      </w:r>
    </w:p>
    <w:p w14:paraId="0FF09EBA" w14:textId="7B53F3F5" w:rsidR="005021F0" w:rsidRPr="004C7B5C" w:rsidRDefault="005021F0" w:rsidP="005021F0">
      <w:pPr>
        <w:pStyle w:val="BodyText"/>
      </w:pPr>
      <w:r>
        <w:t>This section summari</w:t>
      </w:r>
      <w:r w:rsidR="006262A3">
        <w:t>ses</w:t>
      </w:r>
      <w:r>
        <w:t xml:space="preserve"> the IEA findings relevant to the Q2 2019 IEA Report. </w:t>
      </w:r>
    </w:p>
    <w:p w14:paraId="015958A0" w14:textId="1ECD2BCA" w:rsidR="00DD11A3" w:rsidRDefault="00D96E0F" w:rsidP="00733E78">
      <w:pPr>
        <w:pStyle w:val="Heading4"/>
      </w:pPr>
      <w:r>
        <w:t xml:space="preserve">Critical </w:t>
      </w:r>
    </w:p>
    <w:p w14:paraId="4015A9E0" w14:textId="3EA26589" w:rsidR="00D96E0F" w:rsidRPr="00D96E0F" w:rsidRDefault="00D96E0F" w:rsidP="00543AF2">
      <w:pPr>
        <w:pStyle w:val="BodyText"/>
      </w:pPr>
      <w:r>
        <w:t xml:space="preserve">No findings raised as “Critical” during this audit. </w:t>
      </w:r>
    </w:p>
    <w:p w14:paraId="0B2765C9" w14:textId="434BBEC2" w:rsidR="00DD11A3" w:rsidRDefault="00D96E0F" w:rsidP="00733E78">
      <w:pPr>
        <w:pStyle w:val="Heading4"/>
      </w:pPr>
      <w:r>
        <w:t xml:space="preserve">High </w:t>
      </w:r>
    </w:p>
    <w:p w14:paraId="4BE1E2BB" w14:textId="393B0691" w:rsidR="00D96E0F" w:rsidRPr="00D96E0F" w:rsidRDefault="00D96E0F" w:rsidP="00543AF2">
      <w:pPr>
        <w:pStyle w:val="BodyText"/>
      </w:pPr>
      <w:r>
        <w:t xml:space="preserve">No findings raised as “High” during this audit. </w:t>
      </w:r>
    </w:p>
    <w:p w14:paraId="0C032F77" w14:textId="0409E874" w:rsidR="00F022ED" w:rsidRPr="00F022ED" w:rsidRDefault="00733E78" w:rsidP="00733E78">
      <w:pPr>
        <w:pStyle w:val="Heading4"/>
      </w:pPr>
      <w:r>
        <w:t>M</w:t>
      </w:r>
      <w:r w:rsidR="0069032B">
        <w:t xml:space="preserve">oderate </w:t>
      </w:r>
    </w:p>
    <w:p w14:paraId="49555944" w14:textId="2F2B0A0F" w:rsidR="00F022ED" w:rsidRDefault="00F022ED" w:rsidP="00D2493C">
      <w:pPr>
        <w:spacing w:before="240" w:after="120"/>
        <w:rPr>
          <w:sz w:val="20"/>
          <w:szCs w:val="20"/>
        </w:rPr>
      </w:pPr>
      <w:r w:rsidRPr="00F03A83">
        <w:rPr>
          <w:b/>
          <w:bCs/>
          <w:sz w:val="20"/>
          <w:szCs w:val="20"/>
        </w:rPr>
        <w:t xml:space="preserve">Finding </w:t>
      </w:r>
      <w:r w:rsidR="006B4025">
        <w:rPr>
          <w:b/>
          <w:bCs/>
        </w:rPr>
        <w:t xml:space="preserve">– </w:t>
      </w:r>
      <w:r w:rsidRPr="00F03A83">
        <w:rPr>
          <w:b/>
          <w:bCs/>
          <w:sz w:val="20"/>
          <w:szCs w:val="20"/>
        </w:rPr>
        <w:t>Internal Audits</w:t>
      </w:r>
      <w:r>
        <w:rPr>
          <w:sz w:val="20"/>
          <w:szCs w:val="20"/>
        </w:rPr>
        <w:t xml:space="preserve"> </w:t>
      </w:r>
    </w:p>
    <w:p w14:paraId="6A4E4F81" w14:textId="6DFECB06" w:rsidR="00F022ED" w:rsidRPr="00C518D6" w:rsidRDefault="00F022ED" w:rsidP="00D2493C">
      <w:pPr>
        <w:pStyle w:val="BodyText"/>
      </w:pPr>
      <w:r w:rsidRPr="00C518D6">
        <w:t xml:space="preserve">The EMF outlines internal audit requirements. During the April 2019 audit, RIA could not demonstrate that all these requirements had been achieved, however, RIA </w:t>
      </w:r>
      <w:r w:rsidR="001270BA">
        <w:t>noted</w:t>
      </w:r>
      <w:r w:rsidRPr="00C518D6">
        <w:t xml:space="preserve"> two internal audits had been planned for the future. The IEA also recognised that the RIA project works are covered by John Holland’s (JH) corporate EMS and that this system is subject to external certification audits.</w:t>
      </w:r>
      <w:r>
        <w:t xml:space="preserve"> </w:t>
      </w:r>
      <w:r w:rsidRPr="00C518D6">
        <w:t xml:space="preserve">RIA proposed that the internal audit requirements were being met by the use of Activity Method Statements, however the IEA found the intention of the two documents are different and therefore the finding was still raised.  </w:t>
      </w:r>
    </w:p>
    <w:p w14:paraId="37FC3CDF" w14:textId="4D39071F" w:rsidR="00853A90" w:rsidRDefault="00F022ED" w:rsidP="00D2493C">
      <w:pPr>
        <w:pStyle w:val="BodyText"/>
      </w:pPr>
      <w:r w:rsidRPr="00C518D6">
        <w:t>To address the finding RIA provided the IEA with the updated CEMP in the July 2019 audit to confirm that the plan included RIA's current process with regards to conducting internal audits in line with EM</w:t>
      </w:r>
      <w:r w:rsidR="007F4A03">
        <w:t>S</w:t>
      </w:r>
      <w:r w:rsidRPr="00C518D6">
        <w:t xml:space="preserve"> and the finding was closed. </w:t>
      </w:r>
    </w:p>
    <w:p w14:paraId="73B23A02" w14:textId="7FF7C4F0" w:rsidR="00853A90" w:rsidRPr="00D2493C" w:rsidRDefault="00853A90" w:rsidP="00D2493C">
      <w:pPr>
        <w:spacing w:before="240" w:after="120"/>
        <w:rPr>
          <w:b/>
          <w:szCs w:val="20"/>
        </w:rPr>
      </w:pPr>
      <w:r w:rsidRPr="00D2493C">
        <w:rPr>
          <w:b/>
          <w:sz w:val="20"/>
          <w:szCs w:val="20"/>
        </w:rPr>
        <w:t xml:space="preserve">Finding </w:t>
      </w:r>
      <w:r w:rsidR="006B4025" w:rsidRPr="00D2493C">
        <w:rPr>
          <w:b/>
          <w:sz w:val="20"/>
          <w:szCs w:val="20"/>
        </w:rPr>
        <w:t xml:space="preserve">– </w:t>
      </w:r>
      <w:r w:rsidRPr="00D2493C">
        <w:rPr>
          <w:b/>
          <w:sz w:val="20"/>
          <w:szCs w:val="20"/>
        </w:rPr>
        <w:t xml:space="preserve">EPR EM2 </w:t>
      </w:r>
    </w:p>
    <w:p w14:paraId="16BD8F88" w14:textId="77777777" w:rsidR="0059150E" w:rsidRPr="00C518D6" w:rsidRDefault="0059150E" w:rsidP="00D2493C">
      <w:pPr>
        <w:pStyle w:val="BodyText"/>
      </w:pPr>
      <w:r w:rsidRPr="00C518D6">
        <w:t>The project EMF outlines environmental performance monitoring requirements, including monthly environmental performance reports to be provided to RPV. During the April 2019 audit, the IEA raised a moderate finding in relation to insufficient reporting of environmental monitoring data.</w:t>
      </w:r>
    </w:p>
    <w:p w14:paraId="0138240F" w14:textId="77777777" w:rsidR="0059150E" w:rsidRPr="00C518D6" w:rsidRDefault="0059150E" w:rsidP="00853A90">
      <w:pPr>
        <w:spacing w:before="0" w:after="0"/>
        <w:rPr>
          <w:sz w:val="20"/>
          <w:szCs w:val="20"/>
        </w:rPr>
      </w:pPr>
      <w:r w:rsidRPr="00C518D6">
        <w:rPr>
          <w:sz w:val="20"/>
          <w:szCs w:val="20"/>
        </w:rPr>
        <w:t xml:space="preserve">The monitoring data provided to RPV did not provide assurance to RPV and stakeholders that construction activities </w:t>
      </w:r>
      <w:r>
        <w:rPr>
          <w:sz w:val="20"/>
          <w:szCs w:val="20"/>
        </w:rPr>
        <w:t>were</w:t>
      </w:r>
      <w:r w:rsidRPr="00C518D6">
        <w:rPr>
          <w:sz w:val="20"/>
          <w:szCs w:val="20"/>
        </w:rPr>
        <w:t xml:space="preserve"> in compliance with the relevant EPRs for </w:t>
      </w:r>
      <w:r>
        <w:rPr>
          <w:sz w:val="20"/>
          <w:szCs w:val="20"/>
        </w:rPr>
        <w:t xml:space="preserve">RIA </w:t>
      </w:r>
      <w:r w:rsidRPr="00C518D6">
        <w:rPr>
          <w:sz w:val="20"/>
          <w:szCs w:val="20"/>
        </w:rPr>
        <w:t xml:space="preserve">Early Works. </w:t>
      </w:r>
    </w:p>
    <w:p w14:paraId="6BAE1E35" w14:textId="39EAD4E6" w:rsidR="0059150E" w:rsidRPr="0059150E" w:rsidRDefault="0059150E" w:rsidP="0059150E">
      <w:pPr>
        <w:spacing w:before="0" w:after="0"/>
        <w:rPr>
          <w:sz w:val="18"/>
          <w:szCs w:val="18"/>
        </w:rPr>
      </w:pPr>
      <w:r w:rsidRPr="0074674A">
        <w:rPr>
          <w:sz w:val="20"/>
          <w:szCs w:val="20"/>
        </w:rPr>
        <w:t xml:space="preserve">RIA updated the RPV monthly reporting process and </w:t>
      </w:r>
      <w:r>
        <w:rPr>
          <w:sz w:val="20"/>
          <w:szCs w:val="20"/>
        </w:rPr>
        <w:t>report format</w:t>
      </w:r>
      <w:r w:rsidRPr="0074674A">
        <w:rPr>
          <w:sz w:val="20"/>
          <w:szCs w:val="20"/>
        </w:rPr>
        <w:t>, and</w:t>
      </w:r>
      <w:r>
        <w:rPr>
          <w:sz w:val="20"/>
          <w:szCs w:val="20"/>
        </w:rPr>
        <w:t xml:space="preserve"> the finding was closed</w:t>
      </w:r>
      <w:r w:rsidRPr="0074674A">
        <w:rPr>
          <w:sz w:val="20"/>
          <w:szCs w:val="20"/>
        </w:rPr>
        <w:t xml:space="preserve"> in July 2019</w:t>
      </w:r>
      <w:r>
        <w:rPr>
          <w:sz w:val="20"/>
          <w:szCs w:val="20"/>
        </w:rPr>
        <w:t>.</w:t>
      </w:r>
    </w:p>
    <w:p w14:paraId="6CB637B3" w14:textId="260D1288" w:rsidR="00853A90" w:rsidRPr="00D2493C" w:rsidRDefault="00853A90" w:rsidP="00D2493C">
      <w:pPr>
        <w:spacing w:before="240" w:after="120"/>
        <w:rPr>
          <w:b/>
          <w:szCs w:val="20"/>
        </w:rPr>
      </w:pPr>
      <w:r w:rsidRPr="00D2493C">
        <w:rPr>
          <w:b/>
          <w:sz w:val="20"/>
          <w:szCs w:val="20"/>
        </w:rPr>
        <w:t xml:space="preserve">Finding </w:t>
      </w:r>
      <w:r w:rsidR="006B4025" w:rsidRPr="00D2493C">
        <w:rPr>
          <w:b/>
          <w:sz w:val="20"/>
          <w:szCs w:val="20"/>
        </w:rPr>
        <w:t xml:space="preserve">– </w:t>
      </w:r>
      <w:r w:rsidRPr="00D2493C">
        <w:rPr>
          <w:b/>
          <w:sz w:val="20"/>
          <w:szCs w:val="20"/>
        </w:rPr>
        <w:t>AQ2</w:t>
      </w:r>
    </w:p>
    <w:p w14:paraId="5E6CBC75" w14:textId="59FE58E8" w:rsidR="0059150E" w:rsidRPr="00895877" w:rsidRDefault="0059150E" w:rsidP="00D2493C">
      <w:pPr>
        <w:pStyle w:val="BodyText"/>
        <w:rPr>
          <w:b/>
          <w:bCs/>
          <w:szCs w:val="20"/>
        </w:rPr>
      </w:pPr>
      <w:r w:rsidRPr="008446D1">
        <w:t>EPR’s AQ</w:t>
      </w:r>
      <w:r>
        <w:t>1</w:t>
      </w:r>
      <w:r w:rsidRPr="008446D1">
        <w:t xml:space="preserve"> requires that </w:t>
      </w:r>
      <w:r>
        <w:t>a plan for dust management and monitoring</w:t>
      </w:r>
      <w:r w:rsidRPr="008446D1">
        <w:t xml:space="preserve"> </w:t>
      </w:r>
      <w:r>
        <w:t>is</w:t>
      </w:r>
      <w:r w:rsidRPr="008446D1">
        <w:t xml:space="preserve"> developed to manage and monitor dust and other air emissions aligned to recognised standards, including appropriate siting of monitoring equipment. </w:t>
      </w:r>
      <w:r>
        <w:t>At the time of the audit, i</w:t>
      </w:r>
      <w:r w:rsidRPr="008446D1">
        <w:t>t was unclear how the location of the air quality monitor</w:t>
      </w:r>
      <w:r>
        <w:t xml:space="preserve"> </w:t>
      </w:r>
      <w:r w:rsidRPr="008446D1">
        <w:t>at the Eastern</w:t>
      </w:r>
      <w:r w:rsidR="006A20F5">
        <w:t xml:space="preserve"> (Tunnel Entrance) </w:t>
      </w:r>
      <w:r w:rsidRPr="008446D1">
        <w:t>Portal was representative of the site</w:t>
      </w:r>
      <w:r>
        <w:t xml:space="preserve"> and adequate for monitoring compliance against AQ</w:t>
      </w:r>
      <w:r w:rsidR="001F09AF">
        <w:t>2</w:t>
      </w:r>
      <w:r>
        <w:t>.</w:t>
      </w:r>
      <w:r w:rsidRPr="008446D1">
        <w:t xml:space="preserve"> </w:t>
      </w:r>
      <w:r>
        <w:t>N</w:t>
      </w:r>
      <w:r w:rsidRPr="008446D1">
        <w:t>o supporting evidence of RIA’s determination for the siting was provided</w:t>
      </w:r>
      <w:r>
        <w:t xml:space="preserve"> by completion of the audit</w:t>
      </w:r>
      <w:r w:rsidRPr="008446D1">
        <w:t>.</w:t>
      </w:r>
      <w:r>
        <w:t xml:space="preserve"> </w:t>
      </w:r>
      <w:r w:rsidRPr="008446D1">
        <w:t xml:space="preserve"> </w:t>
      </w:r>
      <w:r>
        <w:t>AQ2 was audited again in Q4 2019 and no</w:t>
      </w:r>
      <w:r w:rsidR="00CA0DAB">
        <w:t xml:space="preserve"> further</w:t>
      </w:r>
      <w:r>
        <w:t xml:space="preserve"> findings were raised by the IEA</w:t>
      </w:r>
      <w:r w:rsidR="00CA0DAB">
        <w:t>, therefore the finding is considered closed</w:t>
      </w:r>
      <w:r>
        <w:t xml:space="preserve">. </w:t>
      </w:r>
    </w:p>
    <w:p w14:paraId="45CA8B87" w14:textId="529C9D9C" w:rsidR="00853A90" w:rsidRPr="00D2493C" w:rsidRDefault="00853A90" w:rsidP="00D2493C">
      <w:pPr>
        <w:spacing w:before="240" w:after="120"/>
        <w:rPr>
          <w:b/>
          <w:szCs w:val="20"/>
        </w:rPr>
      </w:pPr>
      <w:r w:rsidRPr="00D2493C">
        <w:rPr>
          <w:b/>
          <w:sz w:val="20"/>
          <w:szCs w:val="20"/>
        </w:rPr>
        <w:t xml:space="preserve">Finding </w:t>
      </w:r>
      <w:r w:rsidR="006B4025" w:rsidRPr="00D2493C">
        <w:rPr>
          <w:b/>
          <w:sz w:val="20"/>
          <w:szCs w:val="20"/>
        </w:rPr>
        <w:t xml:space="preserve">– </w:t>
      </w:r>
      <w:r w:rsidRPr="00D2493C">
        <w:rPr>
          <w:b/>
          <w:sz w:val="20"/>
          <w:szCs w:val="20"/>
        </w:rPr>
        <w:t xml:space="preserve">EPR SC4 </w:t>
      </w:r>
    </w:p>
    <w:p w14:paraId="06579F33" w14:textId="391D7B70" w:rsidR="00853A90" w:rsidRPr="00C518D6" w:rsidRDefault="00853A90" w:rsidP="00D2493C">
      <w:pPr>
        <w:pStyle w:val="BodyText"/>
      </w:pPr>
      <w:r w:rsidRPr="00C518D6">
        <w:t xml:space="preserve">The RIA CSEMP requires that proactive collaboration between the contractors (RIA and CYP) </w:t>
      </w:r>
      <w:r w:rsidR="003067B9">
        <w:t xml:space="preserve">are to </w:t>
      </w:r>
      <w:r w:rsidRPr="00C518D6">
        <w:t xml:space="preserve">occur to ensure cumulative noise and air quality impacts are effectively managed and coordinated. </w:t>
      </w:r>
    </w:p>
    <w:p w14:paraId="6A83233E" w14:textId="03ADF444" w:rsidR="00853A90" w:rsidRPr="00C518D6" w:rsidRDefault="00853A90" w:rsidP="00D2493C">
      <w:pPr>
        <w:pStyle w:val="BodyText"/>
      </w:pPr>
      <w:r w:rsidRPr="00C518D6">
        <w:t xml:space="preserve">The Interface EPR Working Group involving RIA and CYP Environmental Managers </w:t>
      </w:r>
      <w:r w:rsidR="003067B9">
        <w:t>was</w:t>
      </w:r>
      <w:r w:rsidRPr="00C518D6">
        <w:t xml:space="preserve"> in place</w:t>
      </w:r>
      <w:r w:rsidR="009F6B33">
        <w:t xml:space="preserve"> at the time of the audit</w:t>
      </w:r>
      <w:r w:rsidRPr="00C518D6">
        <w:t xml:space="preserve">, however, while this platform </w:t>
      </w:r>
      <w:r w:rsidR="0046395F">
        <w:t>showed</w:t>
      </w:r>
      <w:r w:rsidR="0046395F" w:rsidRPr="00C518D6">
        <w:t xml:space="preserve"> </w:t>
      </w:r>
      <w:r w:rsidRPr="00C518D6">
        <w:t xml:space="preserve">that communications </w:t>
      </w:r>
      <w:r w:rsidR="0046395F">
        <w:t>were</w:t>
      </w:r>
      <w:r w:rsidR="0046395F" w:rsidRPr="00C518D6">
        <w:t xml:space="preserve"> </w:t>
      </w:r>
      <w:r w:rsidRPr="00C518D6">
        <w:t>occurring between RIA and CYP, the IEA raised some issues in relation to the coordination and sharing of monitoring data, specifically in relation to timeliness and the coordination of monitor locations.</w:t>
      </w:r>
    </w:p>
    <w:p w14:paraId="6627E5C8" w14:textId="43808F5F" w:rsidR="0027018A" w:rsidRPr="0027018A" w:rsidRDefault="00853A90" w:rsidP="00D2493C">
      <w:pPr>
        <w:pStyle w:val="BodyText"/>
      </w:pPr>
      <w:r w:rsidRPr="00C518D6">
        <w:lastRenderedPageBreak/>
        <w:t>The IEA acknowledged that there had been on-going improvements in the communication between RIA and CYP, but that further improvements could be made to ensure that both parties comply</w:t>
      </w:r>
      <w:r w:rsidRPr="0027018A">
        <w:t>.</w:t>
      </w:r>
    </w:p>
    <w:p w14:paraId="4EB4FDA2" w14:textId="2679BE0B" w:rsidR="00853A90" w:rsidRPr="00895877" w:rsidRDefault="00853A90" w:rsidP="00D2493C">
      <w:pPr>
        <w:pStyle w:val="BodyText"/>
      </w:pPr>
      <w:r w:rsidRPr="0074674A">
        <w:t>To address this finding RIA provided the IEA with evidence to show that RIA and CYP continue to collaborate and effective communications take place as works continue</w:t>
      </w:r>
      <w:r w:rsidR="0046395F">
        <w:t>d</w:t>
      </w:r>
      <w:r w:rsidRPr="0074674A">
        <w:t xml:space="preserve">. Evidence was also provided to show that RPV </w:t>
      </w:r>
      <w:r w:rsidR="006E05A8">
        <w:t>was</w:t>
      </w:r>
      <w:r w:rsidR="006E05A8" w:rsidRPr="0074674A">
        <w:t xml:space="preserve"> </w:t>
      </w:r>
      <w:r w:rsidRPr="0074674A">
        <w:t>involved in the facilitation of communications in order to remain compliant on site; and the finding was closed in July 2019.</w:t>
      </w:r>
    </w:p>
    <w:p w14:paraId="4EFC5454" w14:textId="5F40C4CB" w:rsidR="0069032B" w:rsidRPr="0069032B" w:rsidRDefault="004741F2" w:rsidP="004741F2">
      <w:pPr>
        <w:pStyle w:val="Heading4"/>
      </w:pPr>
      <w:r>
        <w:t>L</w:t>
      </w:r>
      <w:r w:rsidR="0069032B">
        <w:t xml:space="preserve">ow </w:t>
      </w:r>
    </w:p>
    <w:p w14:paraId="39B644F0" w14:textId="619B65F2" w:rsidR="00853A90" w:rsidRDefault="00853A90" w:rsidP="00D2493C">
      <w:pPr>
        <w:spacing w:before="240" w:after="120"/>
        <w:rPr>
          <w:sz w:val="20"/>
          <w:szCs w:val="20"/>
        </w:rPr>
      </w:pPr>
      <w:r w:rsidRPr="005D4C2A">
        <w:rPr>
          <w:b/>
          <w:bCs/>
          <w:sz w:val="20"/>
          <w:szCs w:val="20"/>
        </w:rPr>
        <w:t xml:space="preserve">Finding </w:t>
      </w:r>
      <w:r w:rsidR="006B4025" w:rsidRPr="00D2493C">
        <w:rPr>
          <w:b/>
          <w:sz w:val="20"/>
          <w:szCs w:val="20"/>
        </w:rPr>
        <w:t xml:space="preserve">– </w:t>
      </w:r>
      <w:r w:rsidRPr="005D4C2A">
        <w:rPr>
          <w:b/>
          <w:bCs/>
          <w:sz w:val="20"/>
          <w:szCs w:val="20"/>
        </w:rPr>
        <w:t>EPR LU4</w:t>
      </w:r>
    </w:p>
    <w:p w14:paraId="2BCD77C1" w14:textId="53DCDDE9" w:rsidR="0027018A" w:rsidRPr="00C518D6" w:rsidRDefault="00853A90" w:rsidP="00D2493C">
      <w:pPr>
        <w:pStyle w:val="BodyText"/>
      </w:pPr>
      <w:r w:rsidRPr="00C518D6">
        <w:t>EPR LU4 requires the development of the Urban Design</w:t>
      </w:r>
      <w:r w:rsidR="00EB7478">
        <w:t xml:space="preserve"> Management</w:t>
      </w:r>
      <w:r w:rsidRPr="00C518D6">
        <w:t xml:space="preserve"> Plan (UDMP); and the RIA UDMP includes a map of the construction hoarding to be implemented at the Eastern </w:t>
      </w:r>
      <w:r w:rsidR="006A20F5">
        <w:t xml:space="preserve">(Tunnel Entrance) </w:t>
      </w:r>
      <w:r w:rsidRPr="00C518D6">
        <w:t xml:space="preserve">Portal. However, during the site visit to the Eastern </w:t>
      </w:r>
      <w:r w:rsidR="006A20F5">
        <w:t xml:space="preserve">(Tunnel Entrance) </w:t>
      </w:r>
      <w:r w:rsidRPr="00C518D6">
        <w:t xml:space="preserve">Portal as part of the April 2019 audit, the hoarding was inspected and gaps in the hoarding were observed. </w:t>
      </w:r>
    </w:p>
    <w:p w14:paraId="1EA10080" w14:textId="19B98A76" w:rsidR="0027018A" w:rsidRPr="00895877" w:rsidRDefault="00853A90" w:rsidP="00D2493C">
      <w:pPr>
        <w:pStyle w:val="BodyText"/>
      </w:pPr>
      <w:r w:rsidRPr="0074674A">
        <w:t>RIA provided the IEA with an updated UDMP to show the hoarding included within the plan was an approximate indication of where the hoarding will be located, and the finding was closed July 2019.</w:t>
      </w:r>
    </w:p>
    <w:p w14:paraId="7E752CB1" w14:textId="1B05783B" w:rsidR="00853A90" w:rsidRPr="00D2493C" w:rsidRDefault="00853A90" w:rsidP="00D2493C">
      <w:pPr>
        <w:spacing w:before="240" w:after="120"/>
        <w:rPr>
          <w:b/>
          <w:szCs w:val="20"/>
        </w:rPr>
      </w:pPr>
      <w:r w:rsidRPr="00D2493C">
        <w:rPr>
          <w:b/>
          <w:sz w:val="20"/>
          <w:szCs w:val="20"/>
        </w:rPr>
        <w:t xml:space="preserve">Finding </w:t>
      </w:r>
      <w:r w:rsidR="006B4025" w:rsidRPr="00D2493C">
        <w:rPr>
          <w:b/>
          <w:sz w:val="20"/>
          <w:szCs w:val="20"/>
        </w:rPr>
        <w:t xml:space="preserve">– </w:t>
      </w:r>
      <w:r w:rsidRPr="00D2493C">
        <w:rPr>
          <w:b/>
          <w:sz w:val="20"/>
          <w:szCs w:val="20"/>
        </w:rPr>
        <w:t xml:space="preserve">EPR EM2 </w:t>
      </w:r>
    </w:p>
    <w:p w14:paraId="70408A38" w14:textId="77777777" w:rsidR="00853A90" w:rsidRPr="00C518D6" w:rsidRDefault="00853A90" w:rsidP="00D2493C">
      <w:pPr>
        <w:pStyle w:val="BodyText"/>
      </w:pPr>
      <w:r w:rsidRPr="00C518D6">
        <w:t>In the CEMP and SEIP developed by RIA, reference is made to the development of Site Environmental Plans (SEPs) as part of managing environmental risks and implementing mitigation measures.</w:t>
      </w:r>
    </w:p>
    <w:p w14:paraId="5261983B" w14:textId="3BE2284E" w:rsidR="0027018A" w:rsidRPr="0074674A" w:rsidRDefault="00853A90" w:rsidP="00D2493C">
      <w:pPr>
        <w:pStyle w:val="BodyText"/>
        <w:rPr>
          <w:sz w:val="24"/>
          <w:szCs w:val="24"/>
        </w:rPr>
      </w:pPr>
      <w:r w:rsidRPr="00C518D6">
        <w:t xml:space="preserve">During a site visit as part of the audit, RIA advised that the SEPs had not and would not be created for the RIA Early Works, but controls </w:t>
      </w:r>
      <w:r w:rsidR="0078559F">
        <w:t xml:space="preserve">would be </w:t>
      </w:r>
      <w:r w:rsidRPr="00C518D6">
        <w:t>incorporated into the SEIPs. The approach only applies to the RIA Early Works activity and not the RIA Main Works.</w:t>
      </w:r>
      <w:r w:rsidRPr="0074674A">
        <w:rPr>
          <w:sz w:val="24"/>
          <w:szCs w:val="24"/>
        </w:rPr>
        <w:t xml:space="preserve"> </w:t>
      </w:r>
    </w:p>
    <w:p w14:paraId="550868FB" w14:textId="4C5F80D3" w:rsidR="0027018A" w:rsidRPr="00895877" w:rsidRDefault="00853A90" w:rsidP="00D2493C">
      <w:pPr>
        <w:pStyle w:val="BodyText"/>
        <w:rPr>
          <w:szCs w:val="20"/>
        </w:rPr>
      </w:pPr>
      <w:r w:rsidRPr="0074674A">
        <w:rPr>
          <w:szCs w:val="20"/>
        </w:rPr>
        <w:t>The change in approach was communicated and agreed to by RPV. However, the SEPs were still referenced as a control measure. During the July 2019 audit, RIA provided an updated CEMP and SEIPs to show reference to SEPs had been removed and the finding was closed.</w:t>
      </w:r>
    </w:p>
    <w:p w14:paraId="6503402A" w14:textId="0DC37DBD" w:rsidR="00853A90" w:rsidRPr="00D2493C" w:rsidRDefault="00853A90" w:rsidP="00D2493C">
      <w:pPr>
        <w:spacing w:before="240" w:after="120"/>
        <w:rPr>
          <w:b/>
          <w:szCs w:val="20"/>
        </w:rPr>
      </w:pPr>
      <w:r w:rsidRPr="00D2493C">
        <w:rPr>
          <w:b/>
          <w:sz w:val="20"/>
          <w:szCs w:val="20"/>
        </w:rPr>
        <w:t xml:space="preserve">Finding </w:t>
      </w:r>
      <w:r w:rsidR="006B4025" w:rsidRPr="00D2493C">
        <w:rPr>
          <w:b/>
          <w:sz w:val="20"/>
          <w:szCs w:val="20"/>
        </w:rPr>
        <w:t xml:space="preserve">– </w:t>
      </w:r>
      <w:r w:rsidRPr="00D2493C">
        <w:rPr>
          <w:b/>
          <w:sz w:val="20"/>
          <w:szCs w:val="20"/>
        </w:rPr>
        <w:t xml:space="preserve">EPR SW1 and AE1 </w:t>
      </w:r>
    </w:p>
    <w:p w14:paraId="1A7065EF" w14:textId="2FBDBCB6" w:rsidR="00853A90" w:rsidRPr="008228B8" w:rsidRDefault="00853A90" w:rsidP="00D2493C">
      <w:pPr>
        <w:pStyle w:val="BodyText"/>
      </w:pPr>
      <w:r w:rsidRPr="00C518D6">
        <w:t xml:space="preserve">RIA’s CEMP did not list the SWMP as a management plan. The SWMP contains RIA’s approach to process and controls to manage surface water. SWMP is a key Management Plan in addressing the requirements of Aquatic Ecology and Surface Water EPRs. RIA revised the CEMP and updated </w:t>
      </w:r>
      <w:r w:rsidR="009C3476">
        <w:t xml:space="preserve">it </w:t>
      </w:r>
      <w:r w:rsidRPr="00C518D6">
        <w:t xml:space="preserve">to include the SWMP and </w:t>
      </w:r>
      <w:r w:rsidR="009C3476">
        <w:t>the</w:t>
      </w:r>
      <w:r w:rsidRPr="00C518D6">
        <w:t xml:space="preserve"> finding was closed in July 2019. </w:t>
      </w:r>
    </w:p>
    <w:p w14:paraId="432241E0" w14:textId="5DCFB735" w:rsidR="00F022ED" w:rsidRPr="00F022ED" w:rsidRDefault="004741F2" w:rsidP="004741F2">
      <w:pPr>
        <w:pStyle w:val="Heading4"/>
        <w:rPr>
          <w:sz w:val="22"/>
        </w:rPr>
      </w:pPr>
      <w:r>
        <w:t>P</w:t>
      </w:r>
      <w:r w:rsidR="00F022ED">
        <w:t xml:space="preserve">otential </w:t>
      </w:r>
      <w:r>
        <w:t>I</w:t>
      </w:r>
      <w:r w:rsidR="00F022ED">
        <w:t xml:space="preserve">mprovement </w:t>
      </w:r>
      <w:r>
        <w:t>O</w:t>
      </w:r>
      <w:r w:rsidR="00F022ED">
        <w:t xml:space="preserve">pportunity </w:t>
      </w:r>
    </w:p>
    <w:p w14:paraId="1D6E81D5" w14:textId="1FBB8637" w:rsidR="00853A90" w:rsidRPr="005A2796" w:rsidRDefault="00853A90" w:rsidP="00D2493C">
      <w:pPr>
        <w:spacing w:before="240" w:after="120"/>
        <w:rPr>
          <w:b/>
          <w:szCs w:val="20"/>
        </w:rPr>
      </w:pPr>
      <w:r w:rsidRPr="00D2493C">
        <w:rPr>
          <w:b/>
          <w:sz w:val="20"/>
          <w:szCs w:val="20"/>
        </w:rPr>
        <w:t>PI</w:t>
      </w:r>
      <w:r w:rsidR="0063194E" w:rsidRPr="00D2493C">
        <w:rPr>
          <w:b/>
          <w:sz w:val="20"/>
          <w:szCs w:val="20"/>
        </w:rPr>
        <w:t>O</w:t>
      </w:r>
      <w:r w:rsidRPr="00D2493C">
        <w:rPr>
          <w:b/>
          <w:sz w:val="20"/>
          <w:szCs w:val="20"/>
        </w:rPr>
        <w:t xml:space="preserve"> </w:t>
      </w:r>
      <w:r w:rsidR="006B4025" w:rsidRPr="00D2493C">
        <w:rPr>
          <w:b/>
          <w:sz w:val="20"/>
          <w:szCs w:val="20"/>
        </w:rPr>
        <w:t xml:space="preserve">– </w:t>
      </w:r>
      <w:r w:rsidRPr="00D2493C">
        <w:rPr>
          <w:b/>
          <w:sz w:val="20"/>
          <w:szCs w:val="20"/>
        </w:rPr>
        <w:t>ERP T3</w:t>
      </w:r>
    </w:p>
    <w:p w14:paraId="1A3E8A07" w14:textId="566BBC9C" w:rsidR="0027018A" w:rsidRPr="00895877" w:rsidRDefault="00853A90" w:rsidP="00D2493C">
      <w:pPr>
        <w:pStyle w:val="BodyText"/>
      </w:pPr>
      <w:r w:rsidRPr="00C518D6">
        <w:t xml:space="preserve">RIA’s TMPs did not include the controls in place to minimise impacts to users with special needs. RIA had considered users with special needs, including the change of, "No </w:t>
      </w:r>
      <w:r w:rsidR="006E05A8">
        <w:t>Stopping</w:t>
      </w:r>
      <w:r w:rsidR="006E05A8" w:rsidRPr="00C518D6">
        <w:t xml:space="preserve"> </w:t>
      </w:r>
      <w:r w:rsidRPr="00C518D6">
        <w:t xml:space="preserve">Zones" to "Parking Zones", to allow the public to load and unload, as required. However, </w:t>
      </w:r>
      <w:r w:rsidR="000B5DA0">
        <w:t>it</w:t>
      </w:r>
      <w:r w:rsidR="000B5DA0" w:rsidRPr="00C518D6">
        <w:t xml:space="preserve"> </w:t>
      </w:r>
      <w:r w:rsidRPr="00C518D6">
        <w:t>ha</w:t>
      </w:r>
      <w:r w:rsidR="000B5DA0">
        <w:t>d</w:t>
      </w:r>
      <w:r w:rsidRPr="00C518D6">
        <w:t xml:space="preserve"> not been documented in the TMPs.</w:t>
      </w:r>
      <w:r w:rsidRPr="0074674A">
        <w:rPr>
          <w:sz w:val="24"/>
          <w:szCs w:val="24"/>
        </w:rPr>
        <w:t xml:space="preserve"> </w:t>
      </w:r>
      <w:r w:rsidR="00CC2DA1" w:rsidRPr="00CC2DA1">
        <w:t>The IEA does not require RIA to close-out PIOs, and therefore no follow-up was required.</w:t>
      </w:r>
    </w:p>
    <w:p w14:paraId="78C6AFCF" w14:textId="4D98FBF6" w:rsidR="00853A90" w:rsidRPr="005A2796" w:rsidRDefault="00853A90" w:rsidP="00D2493C">
      <w:pPr>
        <w:spacing w:before="240" w:after="120"/>
        <w:rPr>
          <w:b/>
          <w:szCs w:val="20"/>
        </w:rPr>
      </w:pPr>
      <w:r w:rsidRPr="00D2493C">
        <w:rPr>
          <w:b/>
          <w:sz w:val="20"/>
          <w:szCs w:val="20"/>
        </w:rPr>
        <w:t>PI</w:t>
      </w:r>
      <w:r w:rsidR="0063194E" w:rsidRPr="00D2493C">
        <w:rPr>
          <w:b/>
          <w:sz w:val="20"/>
          <w:szCs w:val="20"/>
        </w:rPr>
        <w:t>O</w:t>
      </w:r>
      <w:r w:rsidRPr="00D2493C">
        <w:rPr>
          <w:b/>
          <w:sz w:val="20"/>
          <w:szCs w:val="20"/>
        </w:rPr>
        <w:t xml:space="preserve"> </w:t>
      </w:r>
      <w:r w:rsidR="006B4025" w:rsidRPr="00D2493C">
        <w:rPr>
          <w:b/>
          <w:sz w:val="20"/>
          <w:szCs w:val="20"/>
        </w:rPr>
        <w:t xml:space="preserve">– </w:t>
      </w:r>
      <w:r w:rsidRPr="00D2493C">
        <w:rPr>
          <w:b/>
          <w:sz w:val="20"/>
          <w:szCs w:val="20"/>
        </w:rPr>
        <w:t>ERP T6</w:t>
      </w:r>
    </w:p>
    <w:p w14:paraId="39461405" w14:textId="08F5D4A4" w:rsidR="009626AB" w:rsidRDefault="00853A90" w:rsidP="00D2493C">
      <w:pPr>
        <w:pStyle w:val="BodyText"/>
      </w:pPr>
      <w:r w:rsidRPr="00C518D6">
        <w:t xml:space="preserve">RIA’s TMP did not reflect that RPV’s Travel Demand Strategy was not applicable at the Portals during the April 2019 audit. </w:t>
      </w:r>
      <w:r w:rsidR="00CC2DA1" w:rsidRPr="00CC2DA1">
        <w:t>The IEA does not require RIA to close-out PIOs, and therefore no follow-up was required.</w:t>
      </w:r>
    </w:p>
    <w:p w14:paraId="206792B1" w14:textId="77777777" w:rsidR="003D4F5B" w:rsidRDefault="003D4F5B" w:rsidP="00D2493C">
      <w:pPr>
        <w:spacing w:before="240" w:after="120"/>
        <w:rPr>
          <w:b/>
          <w:sz w:val="20"/>
          <w:szCs w:val="20"/>
        </w:rPr>
      </w:pPr>
    </w:p>
    <w:p w14:paraId="3F3D3103" w14:textId="1CE1E053" w:rsidR="004744CB" w:rsidRPr="005A2796" w:rsidRDefault="004744CB" w:rsidP="00D2493C">
      <w:pPr>
        <w:spacing w:before="240" w:after="120"/>
        <w:rPr>
          <w:b/>
          <w:szCs w:val="20"/>
        </w:rPr>
      </w:pPr>
      <w:r w:rsidRPr="00D2493C">
        <w:rPr>
          <w:b/>
          <w:sz w:val="20"/>
          <w:szCs w:val="20"/>
        </w:rPr>
        <w:lastRenderedPageBreak/>
        <w:t xml:space="preserve">PIO </w:t>
      </w:r>
      <w:r w:rsidR="006B4025" w:rsidRPr="00D2493C">
        <w:rPr>
          <w:b/>
          <w:sz w:val="20"/>
          <w:szCs w:val="20"/>
        </w:rPr>
        <w:t xml:space="preserve">– </w:t>
      </w:r>
      <w:r w:rsidRPr="00D2493C">
        <w:rPr>
          <w:b/>
          <w:sz w:val="20"/>
          <w:szCs w:val="20"/>
        </w:rPr>
        <w:t>EPR NV10</w:t>
      </w:r>
    </w:p>
    <w:p w14:paraId="5EBBF457" w14:textId="6319C9D2" w:rsidR="004744CB" w:rsidRDefault="004744CB" w:rsidP="00D2493C">
      <w:pPr>
        <w:pStyle w:val="BodyText"/>
      </w:pPr>
      <w:r w:rsidRPr="00C518D6">
        <w:t xml:space="preserve">RIA’s CNVMP did not </w:t>
      </w:r>
      <w:r w:rsidR="009626AB">
        <w:t>reflect the current</w:t>
      </w:r>
      <w:r w:rsidRPr="00C518D6">
        <w:t xml:space="preserve"> </w:t>
      </w:r>
      <w:r w:rsidR="0059150E" w:rsidRPr="00C518D6">
        <w:t xml:space="preserve">vibration </w:t>
      </w:r>
      <w:r w:rsidRPr="00C518D6">
        <w:t>monitoring programs RIA had in place.</w:t>
      </w:r>
      <w:r>
        <w:t xml:space="preserve"> </w:t>
      </w:r>
      <w:r w:rsidRPr="00C518D6">
        <w:t xml:space="preserve">The IEA noted that RIA should consider updating the CNVIA to reflect the above. </w:t>
      </w:r>
      <w:r w:rsidR="00CC2DA1" w:rsidRPr="00CC2DA1">
        <w:t>The IEA does not require RIA to close-out PIOs, and therefore no follow-up was required.</w:t>
      </w:r>
    </w:p>
    <w:p w14:paraId="273C7A8A" w14:textId="73DC2F5B" w:rsidR="004744CB" w:rsidRPr="005A2796" w:rsidRDefault="004744CB" w:rsidP="00D2493C">
      <w:pPr>
        <w:spacing w:before="240" w:after="120"/>
        <w:rPr>
          <w:b/>
          <w:szCs w:val="20"/>
        </w:rPr>
      </w:pPr>
      <w:r w:rsidRPr="00D2493C">
        <w:rPr>
          <w:b/>
          <w:sz w:val="20"/>
          <w:szCs w:val="20"/>
        </w:rPr>
        <w:t xml:space="preserve">PIO </w:t>
      </w:r>
      <w:r w:rsidR="006B4025" w:rsidRPr="00D2493C">
        <w:rPr>
          <w:b/>
          <w:sz w:val="20"/>
          <w:szCs w:val="20"/>
        </w:rPr>
        <w:t xml:space="preserve">– </w:t>
      </w:r>
      <w:r w:rsidRPr="00D2493C">
        <w:rPr>
          <w:b/>
          <w:sz w:val="20"/>
          <w:szCs w:val="20"/>
        </w:rPr>
        <w:t>EPR NV21 and AQ3</w:t>
      </w:r>
    </w:p>
    <w:p w14:paraId="299DBBB5" w14:textId="61926B05" w:rsidR="00A238AD" w:rsidRPr="0074674A" w:rsidRDefault="004744CB" w:rsidP="004744CB">
      <w:pPr>
        <w:spacing w:before="0" w:after="0"/>
        <w:rPr>
          <w:sz w:val="24"/>
          <w:szCs w:val="24"/>
        </w:rPr>
      </w:pPr>
      <w:r w:rsidRPr="00C518D6">
        <w:rPr>
          <w:sz w:val="20"/>
          <w:szCs w:val="20"/>
        </w:rPr>
        <w:t>Several vehicles during the site walkthroughs during the April 2019 audit were observed to be idling, increasing risk of construction noise, vibration and air quality impacts to nearby sensitive receptors.</w:t>
      </w:r>
    </w:p>
    <w:p w14:paraId="25B0866B" w14:textId="2094C4C0" w:rsidR="00A238AD" w:rsidRPr="00895877" w:rsidRDefault="004744CB" w:rsidP="00D2493C">
      <w:pPr>
        <w:pStyle w:val="BodyText"/>
      </w:pPr>
      <w:r w:rsidRPr="0074674A">
        <w:t xml:space="preserve">The IEA advised RIA to consider reviewing the construction work practices and ensure that measures that had been put in place were being followed on site. </w:t>
      </w:r>
      <w:r w:rsidR="00CC2DA1" w:rsidRPr="00CC2DA1">
        <w:t>The IEA does not require RIA to close-out PIOs, and therefore no follow-up was required.</w:t>
      </w:r>
    </w:p>
    <w:p w14:paraId="705E66A1" w14:textId="160A3665" w:rsidR="004744CB" w:rsidRPr="005A2796" w:rsidRDefault="004744CB" w:rsidP="00D2493C">
      <w:pPr>
        <w:spacing w:before="240" w:after="120"/>
        <w:rPr>
          <w:b/>
          <w:szCs w:val="20"/>
        </w:rPr>
      </w:pPr>
      <w:r w:rsidRPr="00D2493C">
        <w:rPr>
          <w:b/>
          <w:sz w:val="20"/>
          <w:szCs w:val="20"/>
        </w:rPr>
        <w:t xml:space="preserve">PIO </w:t>
      </w:r>
      <w:r w:rsidR="006B4025" w:rsidRPr="00D2493C">
        <w:rPr>
          <w:b/>
          <w:sz w:val="20"/>
          <w:szCs w:val="20"/>
        </w:rPr>
        <w:t xml:space="preserve">– </w:t>
      </w:r>
      <w:r w:rsidRPr="00D2493C">
        <w:rPr>
          <w:b/>
          <w:sz w:val="20"/>
          <w:szCs w:val="20"/>
        </w:rPr>
        <w:t>EPR NV3</w:t>
      </w:r>
    </w:p>
    <w:p w14:paraId="4FB86743" w14:textId="2B6C71D8" w:rsidR="004744CB" w:rsidRPr="004744CB" w:rsidRDefault="004744CB" w:rsidP="004744CB">
      <w:pPr>
        <w:pStyle w:val="BodyText"/>
        <w:rPr>
          <w:b/>
          <w:bCs/>
        </w:rPr>
      </w:pPr>
      <w:r w:rsidRPr="00C518D6">
        <w:rPr>
          <w:szCs w:val="20"/>
        </w:rPr>
        <w:t xml:space="preserve">RIA’s CNVIA Document Control section was incomplete, and unclear if documents had been endorsed by the appropriate management personnel. </w:t>
      </w:r>
      <w:r w:rsidR="00CC2DA1" w:rsidRPr="00CC2DA1">
        <w:t>The IEA does not require RIA to close-out PIOs, and therefore no follow-up was required.</w:t>
      </w:r>
    </w:p>
    <w:p w14:paraId="0E09850D" w14:textId="37C52812" w:rsidR="00853A90" w:rsidRPr="005A2796" w:rsidRDefault="00853A90" w:rsidP="00D2493C">
      <w:pPr>
        <w:spacing w:before="240" w:after="120"/>
        <w:rPr>
          <w:b/>
          <w:szCs w:val="20"/>
        </w:rPr>
      </w:pPr>
      <w:r w:rsidRPr="00D2493C">
        <w:rPr>
          <w:b/>
          <w:sz w:val="20"/>
          <w:szCs w:val="20"/>
        </w:rPr>
        <w:t>PI</w:t>
      </w:r>
      <w:r w:rsidR="0063194E" w:rsidRPr="00D2493C">
        <w:rPr>
          <w:b/>
          <w:sz w:val="20"/>
          <w:szCs w:val="20"/>
        </w:rPr>
        <w:t>O</w:t>
      </w:r>
      <w:r w:rsidRPr="00D2493C">
        <w:rPr>
          <w:b/>
          <w:sz w:val="20"/>
          <w:szCs w:val="20"/>
        </w:rPr>
        <w:t xml:space="preserve"> </w:t>
      </w:r>
      <w:r w:rsidR="006B4025" w:rsidRPr="00D2493C">
        <w:rPr>
          <w:b/>
          <w:sz w:val="20"/>
          <w:szCs w:val="20"/>
        </w:rPr>
        <w:t xml:space="preserve">– </w:t>
      </w:r>
      <w:r w:rsidRPr="00D2493C">
        <w:rPr>
          <w:b/>
          <w:sz w:val="20"/>
          <w:szCs w:val="20"/>
        </w:rPr>
        <w:t>EPR EM2</w:t>
      </w:r>
    </w:p>
    <w:p w14:paraId="61348FE6" w14:textId="4CB8329B" w:rsidR="00853A90" w:rsidRPr="004744CB" w:rsidRDefault="00853A90" w:rsidP="004744CB">
      <w:pPr>
        <w:pStyle w:val="BodyText"/>
      </w:pPr>
      <w:r w:rsidRPr="00C518D6">
        <w:rPr>
          <w:szCs w:val="20"/>
        </w:rPr>
        <w:t xml:space="preserve">RIA’s CNVMP contained a “draft” watermark but was the “issued for use” version as Revision 00. </w:t>
      </w:r>
      <w:r w:rsidR="00CC2DA1" w:rsidRPr="00CC2DA1">
        <w:t>The IEA does not require RIA to close-out PIOs, and therefore no follow-up was required.</w:t>
      </w:r>
    </w:p>
    <w:p w14:paraId="29D18DD0" w14:textId="6CC13739" w:rsidR="00853A90" w:rsidRPr="005A2796" w:rsidRDefault="00853A90" w:rsidP="00D2493C">
      <w:pPr>
        <w:spacing w:before="240" w:after="120"/>
        <w:rPr>
          <w:b/>
          <w:szCs w:val="20"/>
        </w:rPr>
      </w:pPr>
      <w:r w:rsidRPr="00D2493C">
        <w:rPr>
          <w:b/>
          <w:sz w:val="20"/>
          <w:szCs w:val="20"/>
        </w:rPr>
        <w:t>PI</w:t>
      </w:r>
      <w:r w:rsidR="0063194E" w:rsidRPr="00D2493C">
        <w:rPr>
          <w:b/>
          <w:sz w:val="20"/>
          <w:szCs w:val="20"/>
        </w:rPr>
        <w:t>O</w:t>
      </w:r>
      <w:r w:rsidRPr="00D2493C">
        <w:rPr>
          <w:b/>
          <w:sz w:val="20"/>
          <w:szCs w:val="20"/>
        </w:rPr>
        <w:t xml:space="preserve"> </w:t>
      </w:r>
      <w:r w:rsidR="006B4025" w:rsidRPr="00D2493C">
        <w:rPr>
          <w:b/>
          <w:sz w:val="20"/>
          <w:szCs w:val="20"/>
        </w:rPr>
        <w:t xml:space="preserve">– </w:t>
      </w:r>
      <w:r w:rsidRPr="00D2493C">
        <w:rPr>
          <w:b/>
          <w:sz w:val="20"/>
          <w:szCs w:val="20"/>
        </w:rPr>
        <w:t>EPR SC4</w:t>
      </w:r>
    </w:p>
    <w:p w14:paraId="673A2406" w14:textId="626A1A31" w:rsidR="00853A90" w:rsidRDefault="00853A90" w:rsidP="00853A90">
      <w:pPr>
        <w:pStyle w:val="BodyText"/>
        <w:rPr>
          <w:szCs w:val="20"/>
        </w:rPr>
      </w:pPr>
      <w:r w:rsidRPr="00C518D6">
        <w:rPr>
          <w:szCs w:val="20"/>
        </w:rPr>
        <w:t xml:space="preserve">RIA’s Property Condition Surveys Procedure document control record was inconsistent in the “Revisions” section. </w:t>
      </w:r>
      <w:r w:rsidR="00CC2DA1" w:rsidRPr="00CC2DA1">
        <w:t>The IEA does not require RIA to close-out PIOs, and therefore no follow-up was required.</w:t>
      </w:r>
    </w:p>
    <w:p w14:paraId="18D02C12" w14:textId="321C8373" w:rsidR="00853A90" w:rsidRPr="005A2796" w:rsidRDefault="00853A90" w:rsidP="00D2493C">
      <w:pPr>
        <w:spacing w:before="240" w:after="120"/>
        <w:rPr>
          <w:b/>
          <w:szCs w:val="20"/>
        </w:rPr>
      </w:pPr>
      <w:r w:rsidRPr="00D2493C">
        <w:rPr>
          <w:b/>
          <w:sz w:val="20"/>
          <w:szCs w:val="20"/>
        </w:rPr>
        <w:t>PI</w:t>
      </w:r>
      <w:r w:rsidR="0063194E" w:rsidRPr="00D2493C">
        <w:rPr>
          <w:b/>
          <w:sz w:val="20"/>
          <w:szCs w:val="20"/>
        </w:rPr>
        <w:t>O</w:t>
      </w:r>
      <w:r w:rsidRPr="00D2493C">
        <w:rPr>
          <w:b/>
          <w:sz w:val="20"/>
          <w:szCs w:val="20"/>
        </w:rPr>
        <w:t xml:space="preserve"> </w:t>
      </w:r>
      <w:r w:rsidR="006B4025" w:rsidRPr="00D2493C">
        <w:rPr>
          <w:b/>
          <w:sz w:val="20"/>
          <w:szCs w:val="20"/>
        </w:rPr>
        <w:t xml:space="preserve">– </w:t>
      </w:r>
      <w:r w:rsidRPr="00D2493C">
        <w:rPr>
          <w:b/>
          <w:sz w:val="20"/>
          <w:szCs w:val="20"/>
        </w:rPr>
        <w:t>EPR AH1</w:t>
      </w:r>
    </w:p>
    <w:p w14:paraId="05377C18" w14:textId="2DBB0E3A" w:rsidR="00853A90" w:rsidRDefault="00853A90" w:rsidP="00853A90">
      <w:pPr>
        <w:pStyle w:val="BodyText"/>
      </w:pPr>
      <w:r w:rsidRPr="00C518D6">
        <w:rPr>
          <w:szCs w:val="20"/>
        </w:rPr>
        <w:t xml:space="preserve">RIA’s HMP did not align with the controls observed during the site visit for the South Yarra Sidings Reserve area. The IEA recommended RIA update the HMP. </w:t>
      </w:r>
      <w:r w:rsidR="00CC2DA1" w:rsidRPr="00CC2DA1">
        <w:t>The IEA does not require RIA to close-out PIOs, and therefore no follow-up was required.</w:t>
      </w:r>
    </w:p>
    <w:p w14:paraId="5DA37DF7" w14:textId="0EB4564A" w:rsidR="00454710" w:rsidRPr="005A2796" w:rsidRDefault="0063194E" w:rsidP="00D2493C">
      <w:pPr>
        <w:spacing w:before="240" w:after="120"/>
        <w:rPr>
          <w:b/>
          <w:szCs w:val="20"/>
        </w:rPr>
      </w:pPr>
      <w:r w:rsidRPr="00D2493C">
        <w:rPr>
          <w:b/>
          <w:sz w:val="20"/>
          <w:szCs w:val="20"/>
        </w:rPr>
        <w:t xml:space="preserve">PIO </w:t>
      </w:r>
      <w:r w:rsidR="006B4025" w:rsidRPr="00D2493C">
        <w:rPr>
          <w:b/>
          <w:sz w:val="20"/>
          <w:szCs w:val="20"/>
        </w:rPr>
        <w:t xml:space="preserve">– </w:t>
      </w:r>
      <w:r w:rsidR="00454710" w:rsidRPr="00D2493C">
        <w:rPr>
          <w:b/>
          <w:sz w:val="20"/>
          <w:szCs w:val="20"/>
        </w:rPr>
        <w:t>Traffic Management Plans</w:t>
      </w:r>
    </w:p>
    <w:p w14:paraId="73DCCA40" w14:textId="423C08BB" w:rsidR="00F022ED" w:rsidRDefault="00454710" w:rsidP="00F022ED">
      <w:pPr>
        <w:pStyle w:val="BodyText"/>
        <w:rPr>
          <w:szCs w:val="20"/>
        </w:rPr>
      </w:pPr>
      <w:r w:rsidRPr="00C518D6">
        <w:rPr>
          <w:szCs w:val="20"/>
        </w:rPr>
        <w:t xml:space="preserve">RIA WTMPs had not been “issued for use”. It was recommended that RIA provide the IEA with the “issued for use” WTMPs. </w:t>
      </w:r>
      <w:r w:rsidR="00CC2DA1" w:rsidRPr="00CC2DA1">
        <w:t>The IEA does not require RIA to close-out PIOs, and therefore no follow-up was required.</w:t>
      </w:r>
    </w:p>
    <w:p w14:paraId="7AB0E5C7" w14:textId="6F684F57" w:rsidR="003F7826" w:rsidRPr="001C0297" w:rsidRDefault="003F7826" w:rsidP="003F7826">
      <w:pPr>
        <w:pStyle w:val="Heading2"/>
      </w:pPr>
      <w:bookmarkStart w:id="38" w:name="_Toc96586782"/>
      <w:r>
        <w:t>Pre-commencement</w:t>
      </w:r>
      <w:r w:rsidR="00E51C33">
        <w:t xml:space="preserve"> &amp; Implementation</w:t>
      </w:r>
      <w:r>
        <w:t xml:space="preserve"> Audit Q3 2019</w:t>
      </w:r>
      <w:bookmarkEnd w:id="38"/>
      <w:r>
        <w:t xml:space="preserve"> </w:t>
      </w:r>
    </w:p>
    <w:p w14:paraId="32791093" w14:textId="77777777" w:rsidR="007E5025" w:rsidRDefault="007E5025" w:rsidP="007E5025">
      <w:pPr>
        <w:pStyle w:val="Heading3"/>
      </w:pPr>
      <w:r>
        <w:t xml:space="preserve">Audit Scope </w:t>
      </w:r>
    </w:p>
    <w:p w14:paraId="697D937E" w14:textId="77777777" w:rsidR="007E5025" w:rsidRPr="00CE1AD0" w:rsidRDefault="007E5025" w:rsidP="007E5025">
      <w:pPr>
        <w:pStyle w:val="BodyText"/>
      </w:pPr>
      <w:r w:rsidRPr="004B15CA">
        <w:t>T</w:t>
      </w:r>
      <w:r w:rsidRPr="008B39B1">
        <w:t>he audit scope was developed to cover</w:t>
      </w:r>
      <w:r w:rsidRPr="00CE1AD0">
        <w:t>:</w:t>
      </w:r>
    </w:p>
    <w:p w14:paraId="11903C8A" w14:textId="1427B2A5" w:rsidR="007E5025" w:rsidRPr="004B15CA" w:rsidRDefault="007E5025" w:rsidP="00D2493C">
      <w:pPr>
        <w:pStyle w:val="Bullet1"/>
      </w:pPr>
      <w:r>
        <w:t>I</w:t>
      </w:r>
      <w:r w:rsidRPr="004B15CA">
        <w:t>mplementation audit</w:t>
      </w:r>
      <w:r>
        <w:t>s</w:t>
      </w:r>
      <w:r w:rsidRPr="004B15CA">
        <w:t xml:space="preserve"> at the Eastern </w:t>
      </w:r>
      <w:r w:rsidR="006A20F5">
        <w:t xml:space="preserve">(Tunnel Entrance) </w:t>
      </w:r>
      <w:r w:rsidRPr="004B15CA">
        <w:t>Portal</w:t>
      </w:r>
      <w:r>
        <w:t xml:space="preserve">, </w:t>
      </w:r>
      <w:r w:rsidRPr="004B15CA">
        <w:t>Western</w:t>
      </w:r>
      <w:r w:rsidR="00D03479">
        <w:t xml:space="preserve"> </w:t>
      </w:r>
      <w:r w:rsidR="006A20F5">
        <w:t xml:space="preserve">(Tunnel Entrance) </w:t>
      </w:r>
      <w:r w:rsidRPr="004B15CA">
        <w:t>Portal</w:t>
      </w:r>
      <w:r>
        <w:t>, and the Western turnback to test compliance with relevant EPRs and</w:t>
      </w:r>
      <w:r w:rsidRPr="004B15CA">
        <w:t xml:space="preserve"> to follow up on any outstanding findings </w:t>
      </w:r>
      <w:r>
        <w:t>in previous implementation and pre-commencement audits</w:t>
      </w:r>
      <w:r w:rsidRPr="004B15CA">
        <w:t>.</w:t>
      </w:r>
    </w:p>
    <w:p w14:paraId="78DBC14F" w14:textId="0AD95B70" w:rsidR="007E5025" w:rsidRPr="002D4966" w:rsidRDefault="007E5025" w:rsidP="00D2493C">
      <w:pPr>
        <w:pStyle w:val="Bullet1"/>
      </w:pPr>
      <w:r w:rsidRPr="004B15CA">
        <w:t>A pre-commencement audit against the Eastern</w:t>
      </w:r>
      <w:r w:rsidR="006A20F5">
        <w:t xml:space="preserve"> (Tunnel Entrance) </w:t>
      </w:r>
      <w:r w:rsidRPr="004B15CA">
        <w:t xml:space="preserve">Portal, Western </w:t>
      </w:r>
      <w:r w:rsidR="006A20F5">
        <w:t xml:space="preserve">(Tunnel Entrance) </w:t>
      </w:r>
      <w:r w:rsidRPr="004B15CA">
        <w:t xml:space="preserve">Portal and Western Turnback Stage 2 Development Plans </w:t>
      </w:r>
      <w:r>
        <w:t>for</w:t>
      </w:r>
      <w:r w:rsidRPr="004B15CA">
        <w:t xml:space="preserve"> </w:t>
      </w:r>
      <w:r w:rsidR="006E05A8">
        <w:t xml:space="preserve">EPRs included in the new development plans, which had not previously been audited by KPMG. </w:t>
      </w:r>
    </w:p>
    <w:p w14:paraId="2193F6D3" w14:textId="4F9592CE" w:rsidR="007E5025" w:rsidRDefault="007E5025" w:rsidP="007E5025">
      <w:pPr>
        <w:pStyle w:val="BodyText"/>
      </w:pPr>
      <w:r>
        <w:t>EPRs reviewed within the scope of the Pre-Commencement Audit Q</w:t>
      </w:r>
      <w:r w:rsidR="00AA09A2">
        <w:t>3</w:t>
      </w:r>
      <w:r>
        <w:t xml:space="preserve"> 2019 were:</w:t>
      </w:r>
    </w:p>
    <w:p w14:paraId="4470D1B2" w14:textId="77777777" w:rsidR="007E5025" w:rsidRPr="00296F2D" w:rsidRDefault="007E5025" w:rsidP="00D2493C">
      <w:pPr>
        <w:pStyle w:val="Bullet1"/>
      </w:pPr>
      <w:r>
        <w:t xml:space="preserve">Environmental Management Framework: EMF1, </w:t>
      </w:r>
      <w:r w:rsidRPr="00860C54">
        <w:t>EMF2, EMF3, EMF4</w:t>
      </w:r>
    </w:p>
    <w:p w14:paraId="372979B9" w14:textId="77777777" w:rsidR="007E5025" w:rsidRDefault="007E5025" w:rsidP="00D2493C">
      <w:pPr>
        <w:pStyle w:val="Bullet1"/>
      </w:pPr>
      <w:r>
        <w:lastRenderedPageBreak/>
        <w:t>Aquatic Ecology &amp; River Health: AE1, AE7</w:t>
      </w:r>
    </w:p>
    <w:p w14:paraId="4D2F82CD" w14:textId="77777777" w:rsidR="007E5025" w:rsidRDefault="007E5025" w:rsidP="00D2493C">
      <w:pPr>
        <w:pStyle w:val="Bullet1"/>
      </w:pPr>
      <w:r>
        <w:t>Aboriginal Cultural Heritage: AH1</w:t>
      </w:r>
    </w:p>
    <w:p w14:paraId="32B9CF16" w14:textId="77777777" w:rsidR="007E5025" w:rsidRDefault="007E5025" w:rsidP="00D2493C">
      <w:pPr>
        <w:pStyle w:val="Bullet1"/>
      </w:pPr>
      <w:r>
        <w:t>Air Quality: AQ3</w:t>
      </w:r>
    </w:p>
    <w:p w14:paraId="1D4A45F4" w14:textId="77777777" w:rsidR="007E5025" w:rsidRDefault="007E5025" w:rsidP="00D2493C">
      <w:pPr>
        <w:pStyle w:val="Bullet1"/>
      </w:pPr>
      <w:r>
        <w:t>Arboriculture: AR1, AR2, AR4</w:t>
      </w:r>
    </w:p>
    <w:p w14:paraId="456A55A4" w14:textId="77777777" w:rsidR="007E5025" w:rsidRDefault="007E5025" w:rsidP="00D2493C">
      <w:pPr>
        <w:pStyle w:val="Bullet1"/>
      </w:pPr>
      <w:r>
        <w:t>Business: B1, B2</w:t>
      </w:r>
    </w:p>
    <w:p w14:paraId="1B6450AB" w14:textId="77777777" w:rsidR="007E5025" w:rsidRDefault="007E5025" w:rsidP="00D2493C">
      <w:pPr>
        <w:pStyle w:val="Bullet1"/>
      </w:pPr>
      <w:r>
        <w:t>Contaminated Land and Spoil Management: C1</w:t>
      </w:r>
    </w:p>
    <w:p w14:paraId="72776CA9" w14:textId="77777777" w:rsidR="007E5025" w:rsidRDefault="007E5025" w:rsidP="00D2493C">
      <w:pPr>
        <w:pStyle w:val="Bullet1"/>
      </w:pPr>
      <w:r>
        <w:t>Historical Cultural Heritage: CH1, CH2, CH8, CH10, CH22, CH23</w:t>
      </w:r>
    </w:p>
    <w:p w14:paraId="6A90869A" w14:textId="77777777" w:rsidR="007E5025" w:rsidRDefault="007E5025" w:rsidP="00D2493C">
      <w:pPr>
        <w:pStyle w:val="Bullet1"/>
      </w:pPr>
      <w:r>
        <w:t>Greenhouse Gas: GHG1, GHG2</w:t>
      </w:r>
    </w:p>
    <w:p w14:paraId="4588C1D9" w14:textId="77777777" w:rsidR="007E5025" w:rsidRDefault="007E5025" w:rsidP="00D2493C">
      <w:pPr>
        <w:pStyle w:val="Bullet1"/>
      </w:pPr>
      <w:r>
        <w:t>Ground Movement and Land Stability: GM2, GM4</w:t>
      </w:r>
    </w:p>
    <w:p w14:paraId="2A817DFF" w14:textId="77777777" w:rsidR="007E5025" w:rsidRDefault="007E5025" w:rsidP="00D2493C">
      <w:pPr>
        <w:pStyle w:val="Bullet1"/>
      </w:pPr>
      <w:r>
        <w:t>Groundwater: GW1, GW2, GW3</w:t>
      </w:r>
    </w:p>
    <w:p w14:paraId="44CB6326" w14:textId="77777777" w:rsidR="007E5025" w:rsidRDefault="007E5025" w:rsidP="00D2493C">
      <w:pPr>
        <w:pStyle w:val="Bullet1"/>
      </w:pPr>
      <w:r>
        <w:t>Land Use and Planning: LU1, LU2, LU4</w:t>
      </w:r>
    </w:p>
    <w:p w14:paraId="49A77588" w14:textId="77777777" w:rsidR="007E5025" w:rsidRDefault="007E5025" w:rsidP="00D2493C">
      <w:pPr>
        <w:pStyle w:val="Bullet1"/>
      </w:pPr>
      <w:r>
        <w:t>Landscape and Visual: LV1, LV2</w:t>
      </w:r>
    </w:p>
    <w:p w14:paraId="3854BC3F" w14:textId="77777777" w:rsidR="007E5025" w:rsidRDefault="007E5025" w:rsidP="00D2493C">
      <w:pPr>
        <w:pStyle w:val="Bullet1"/>
      </w:pPr>
      <w:r>
        <w:t>Noise and Vibration: NV3, NV16, NV17, NV18, NV20</w:t>
      </w:r>
    </w:p>
    <w:p w14:paraId="25C68E8F" w14:textId="77777777" w:rsidR="007E5025" w:rsidRDefault="007E5025" w:rsidP="00D2493C">
      <w:pPr>
        <w:pStyle w:val="Bullet1"/>
      </w:pPr>
      <w:r>
        <w:t>Social and Community: SC3, SC4, SC6, SC7, SC8, SC12</w:t>
      </w:r>
    </w:p>
    <w:p w14:paraId="4D57DD57" w14:textId="77777777" w:rsidR="007E5025" w:rsidRDefault="007E5025" w:rsidP="00D2493C">
      <w:pPr>
        <w:pStyle w:val="Bullet1"/>
      </w:pPr>
      <w:r>
        <w:t>Surface Water: SW2</w:t>
      </w:r>
    </w:p>
    <w:p w14:paraId="3ED320D5" w14:textId="3E2B1AC4" w:rsidR="007E5025" w:rsidRPr="00D33E94" w:rsidRDefault="007E5025" w:rsidP="00D2493C">
      <w:pPr>
        <w:pStyle w:val="Bullet1"/>
      </w:pPr>
      <w:r>
        <w:t>Transport: T7, T8,</w:t>
      </w:r>
      <w:r w:rsidR="00C77C37">
        <w:t xml:space="preserve"> </w:t>
      </w:r>
      <w:r>
        <w:t>T9</w:t>
      </w:r>
      <w:r w:rsidR="00D03479">
        <w:t>.</w:t>
      </w:r>
    </w:p>
    <w:p w14:paraId="42643EC0" w14:textId="493421BC" w:rsidR="00BB464A" w:rsidRDefault="007E5025" w:rsidP="003F7826">
      <w:pPr>
        <w:pStyle w:val="Heading3"/>
      </w:pPr>
      <w:r>
        <w:t>A</w:t>
      </w:r>
      <w:r w:rsidR="00BB464A">
        <w:t xml:space="preserve">udit </w:t>
      </w:r>
      <w:r w:rsidR="002A535C">
        <w:t>F</w:t>
      </w:r>
      <w:r w:rsidR="00BB464A">
        <w:t xml:space="preserve">indings </w:t>
      </w:r>
    </w:p>
    <w:p w14:paraId="6B0D51BB" w14:textId="34D7B81B" w:rsidR="005021F0" w:rsidRPr="004C7B5C" w:rsidRDefault="005021F0" w:rsidP="005021F0">
      <w:pPr>
        <w:pStyle w:val="BodyText"/>
      </w:pPr>
      <w:r>
        <w:t>This section summaris</w:t>
      </w:r>
      <w:r w:rsidR="00711C86">
        <w:t>es</w:t>
      </w:r>
      <w:r>
        <w:t xml:space="preserve"> the IEA findings relevant to the Q3 2019 IEA Report. </w:t>
      </w:r>
      <w:r w:rsidR="009626AB">
        <w:t xml:space="preserve">Certain </w:t>
      </w:r>
      <w:r w:rsidR="006E05A8">
        <w:t>findings were reported by KPMG in the audit report using the risk-based audit classifications, while others were reported using the compliance-based classifications (</w:t>
      </w:r>
      <w:r w:rsidR="006E05A8" w:rsidRPr="00417BE0">
        <w:t>refer Section 4.2.3)</w:t>
      </w:r>
      <w:r w:rsidR="006E05A8">
        <w:t>.</w:t>
      </w:r>
    </w:p>
    <w:p w14:paraId="42486949" w14:textId="426F67EE" w:rsidR="00E84343" w:rsidRDefault="00E84343" w:rsidP="00E84343">
      <w:pPr>
        <w:pStyle w:val="Heading4"/>
      </w:pPr>
      <w:r>
        <w:t xml:space="preserve">Critical </w:t>
      </w:r>
    </w:p>
    <w:p w14:paraId="46F2DC91" w14:textId="696B6DFA" w:rsidR="00E84343" w:rsidRDefault="00E84343" w:rsidP="00E84343">
      <w:pPr>
        <w:pStyle w:val="BodyText"/>
      </w:pPr>
      <w:r>
        <w:t xml:space="preserve">No findings raised as “Critical” during this audit. </w:t>
      </w:r>
    </w:p>
    <w:p w14:paraId="179DE4F4" w14:textId="2F13D58F" w:rsidR="00CD0EB8" w:rsidRDefault="00CD0EB8" w:rsidP="00CD0EB8">
      <w:pPr>
        <w:pStyle w:val="Heading4"/>
      </w:pPr>
      <w:r>
        <w:t>High</w:t>
      </w:r>
    </w:p>
    <w:p w14:paraId="5966F5DF" w14:textId="4158F106" w:rsidR="00CD0EB8" w:rsidRPr="00E84343" w:rsidRDefault="00CD0EB8" w:rsidP="00E84343">
      <w:pPr>
        <w:pStyle w:val="BodyText"/>
      </w:pPr>
      <w:r>
        <w:t xml:space="preserve">No findings raised as “High” during this audit. </w:t>
      </w:r>
    </w:p>
    <w:p w14:paraId="6F6C0E95" w14:textId="6F37947D" w:rsidR="003F7826" w:rsidRPr="00F022ED" w:rsidRDefault="00BB464A" w:rsidP="00BB464A">
      <w:pPr>
        <w:pStyle w:val="Heading4"/>
      </w:pPr>
      <w:r>
        <w:t>M</w:t>
      </w:r>
      <w:r w:rsidR="003F7826">
        <w:t xml:space="preserve">oderate </w:t>
      </w:r>
    </w:p>
    <w:p w14:paraId="5A1CF3AE" w14:textId="0CECC6E9" w:rsidR="003F7826" w:rsidRPr="005A2796" w:rsidRDefault="003F7826" w:rsidP="00D2493C">
      <w:pPr>
        <w:spacing w:before="240" w:after="120"/>
        <w:rPr>
          <w:b/>
          <w:szCs w:val="20"/>
        </w:rPr>
      </w:pPr>
      <w:r w:rsidRPr="00D2493C">
        <w:rPr>
          <w:b/>
          <w:bCs/>
          <w:sz w:val="20"/>
          <w:szCs w:val="20"/>
        </w:rPr>
        <w:t xml:space="preserve">Finding </w:t>
      </w:r>
      <w:r w:rsidR="006B4025" w:rsidRPr="00D2493C">
        <w:rPr>
          <w:b/>
          <w:bCs/>
          <w:sz w:val="20"/>
          <w:szCs w:val="20"/>
        </w:rPr>
        <w:t xml:space="preserve">– </w:t>
      </w:r>
      <w:r w:rsidRPr="00D2493C">
        <w:rPr>
          <w:b/>
          <w:bCs/>
          <w:sz w:val="20"/>
          <w:szCs w:val="20"/>
        </w:rPr>
        <w:t xml:space="preserve">AQ3 </w:t>
      </w:r>
    </w:p>
    <w:p w14:paraId="2D0F820F" w14:textId="6FEA4A91" w:rsidR="003F7826" w:rsidRDefault="003F7826" w:rsidP="00D2493C">
      <w:pPr>
        <w:pStyle w:val="BodyText"/>
      </w:pPr>
      <w:r w:rsidRPr="00C518D6">
        <w:t>EPR AQ3 requires RIA to control air quality pollutants in accordance with the relevant State Environmental Protection Policy (SEPP) for air quality. RIA’s AQMP include</w:t>
      </w:r>
      <w:r w:rsidR="00DA039B">
        <w:t>d</w:t>
      </w:r>
      <w:r w:rsidRPr="00C518D6">
        <w:t xml:space="preserve"> requirements to measure air quality pollutants at the nearest sensitive receptors to the site and include</w:t>
      </w:r>
      <w:r w:rsidR="00DA039B">
        <w:t>d</w:t>
      </w:r>
      <w:r w:rsidRPr="00C518D6">
        <w:t xml:space="preserve"> the monitoring of both particulate material (PM) sizes PM</w:t>
      </w:r>
      <w:r w:rsidRPr="00D2493C">
        <w:rPr>
          <w:vertAlign w:val="subscript"/>
        </w:rPr>
        <w:t>10</w:t>
      </w:r>
      <w:r w:rsidRPr="00C518D6">
        <w:t xml:space="preserve"> and PM</w:t>
      </w:r>
      <w:r w:rsidRPr="00D2493C">
        <w:rPr>
          <w:vertAlign w:val="subscript"/>
        </w:rPr>
        <w:t>2.5</w:t>
      </w:r>
      <w:r w:rsidRPr="00C518D6">
        <w:t xml:space="preserve">. During the site visit to the Western </w:t>
      </w:r>
      <w:r w:rsidR="003D1073">
        <w:t>Turnback</w:t>
      </w:r>
      <w:r w:rsidRPr="00C518D6">
        <w:t xml:space="preserve"> as part of the July 2019 audit, RIA advised that only PM</w:t>
      </w:r>
      <w:r w:rsidRPr="00D2493C">
        <w:rPr>
          <w:vertAlign w:val="subscript"/>
        </w:rPr>
        <w:t>10</w:t>
      </w:r>
      <w:r w:rsidRPr="00C518D6">
        <w:t xml:space="preserve"> was being recorded and monitored. RIA advised </w:t>
      </w:r>
      <w:r w:rsidR="00DA039B" w:rsidRPr="00C518D6">
        <w:t>further</w:t>
      </w:r>
      <w:r w:rsidRPr="00C518D6">
        <w:t xml:space="preserve"> that the current air quality monitor did not have the capability to monitor PM</w:t>
      </w:r>
      <w:r w:rsidRPr="00D2493C">
        <w:rPr>
          <w:vertAlign w:val="subscript"/>
        </w:rPr>
        <w:t>2.5</w:t>
      </w:r>
      <w:r w:rsidRPr="00C518D6">
        <w:t>.</w:t>
      </w:r>
    </w:p>
    <w:p w14:paraId="46FD48B9" w14:textId="31851CE4" w:rsidR="003F7826" w:rsidRDefault="00A153A5" w:rsidP="00D2493C">
      <w:pPr>
        <w:pStyle w:val="BodyText"/>
      </w:pPr>
      <w:r>
        <w:lastRenderedPageBreak/>
        <w:t>I</w:t>
      </w:r>
      <w:r w:rsidR="003F7826" w:rsidRPr="00C518D6">
        <w:t>t was</w:t>
      </w:r>
      <w:r>
        <w:t xml:space="preserve"> also</w:t>
      </w:r>
      <w:r w:rsidR="003F7826" w:rsidRPr="00C518D6">
        <w:t xml:space="preserve"> noted that the monitoring station on-site had recorded air quality exceedances. In discussions with RIA, it was identified that the data was not being analysed or acted upon to ensure compliance with the SEPP.</w:t>
      </w:r>
    </w:p>
    <w:p w14:paraId="4BA05689" w14:textId="55448D16" w:rsidR="006A38B9" w:rsidRDefault="003F7826" w:rsidP="00D2493C">
      <w:pPr>
        <w:pStyle w:val="BodyText"/>
      </w:pPr>
      <w:r w:rsidRPr="00C518D6">
        <w:t xml:space="preserve">Whilst exceedances may be attributable to weather conditions and other external activities, RIA’s process to ascertain compliance with the SEPP by analysing the captured data, and determining the root causes of exceedances, was not evident at the time of the audit. </w:t>
      </w:r>
    </w:p>
    <w:p w14:paraId="7BD89C6B" w14:textId="4AF64F0A" w:rsidR="00327FE8" w:rsidRPr="003F7826" w:rsidRDefault="003F7826" w:rsidP="00D2493C">
      <w:pPr>
        <w:pStyle w:val="BodyText"/>
      </w:pPr>
      <w:r w:rsidRPr="00C518D6">
        <w:t>RIA provided evidence the relevant air quality monitoring data</w:t>
      </w:r>
      <w:r w:rsidR="00654CF3">
        <w:t xml:space="preserve">, including </w:t>
      </w:r>
      <w:r w:rsidR="00654CF3" w:rsidRPr="00C518D6">
        <w:t>PM</w:t>
      </w:r>
      <w:r w:rsidR="00654CF3" w:rsidRPr="00D2493C">
        <w:rPr>
          <w:vertAlign w:val="subscript"/>
        </w:rPr>
        <w:t>2.5</w:t>
      </w:r>
      <w:r w:rsidR="00654CF3">
        <w:rPr>
          <w:vertAlign w:val="subscript"/>
        </w:rPr>
        <w:t>,</w:t>
      </w:r>
      <w:r w:rsidRPr="00C518D6">
        <w:t xml:space="preserve"> </w:t>
      </w:r>
      <w:r w:rsidR="006A38B9">
        <w:t>was</w:t>
      </w:r>
      <w:r w:rsidR="006A38B9" w:rsidRPr="00C518D6">
        <w:t xml:space="preserve"> </w:t>
      </w:r>
      <w:r w:rsidRPr="00C518D6">
        <w:t xml:space="preserve">being measured in the November 2019 audit. In addition, evidence of RIA providing commentary when an exceedance </w:t>
      </w:r>
      <w:r w:rsidR="006A38B9">
        <w:t>was</w:t>
      </w:r>
      <w:r w:rsidR="006A38B9" w:rsidRPr="00C518D6">
        <w:t xml:space="preserve"> </w:t>
      </w:r>
      <w:r w:rsidRPr="00C518D6">
        <w:t>observed in the online system was sighted. The finding was closed in November 2019</w:t>
      </w:r>
      <w:r w:rsidR="00327FE8">
        <w:t>.</w:t>
      </w:r>
    </w:p>
    <w:p w14:paraId="73B4A0F8" w14:textId="0024E2A9" w:rsidR="003F7826" w:rsidRDefault="00BB464A" w:rsidP="00BB464A">
      <w:pPr>
        <w:pStyle w:val="Heading4"/>
      </w:pPr>
      <w:r>
        <w:t>L</w:t>
      </w:r>
      <w:r w:rsidR="003F7826">
        <w:t>ow</w:t>
      </w:r>
    </w:p>
    <w:p w14:paraId="3CC449F7" w14:textId="7A028334" w:rsidR="00327FE8" w:rsidRDefault="00327FE8" w:rsidP="00D2493C">
      <w:pPr>
        <w:spacing w:before="240" w:after="120"/>
        <w:rPr>
          <w:sz w:val="20"/>
          <w:szCs w:val="20"/>
        </w:rPr>
      </w:pPr>
      <w:r w:rsidRPr="005124B1">
        <w:rPr>
          <w:b/>
          <w:bCs/>
          <w:sz w:val="20"/>
          <w:szCs w:val="20"/>
        </w:rPr>
        <w:t xml:space="preserve">Finding </w:t>
      </w:r>
      <w:r w:rsidR="006B4025" w:rsidRPr="00D2493C">
        <w:rPr>
          <w:b/>
          <w:sz w:val="20"/>
          <w:szCs w:val="20"/>
        </w:rPr>
        <w:t xml:space="preserve">– </w:t>
      </w:r>
      <w:r w:rsidRPr="005124B1">
        <w:rPr>
          <w:b/>
          <w:bCs/>
          <w:sz w:val="20"/>
          <w:szCs w:val="20"/>
        </w:rPr>
        <w:t>Noise and vibration modelling</w:t>
      </w:r>
    </w:p>
    <w:p w14:paraId="459DFFD9" w14:textId="7E59C4CB" w:rsidR="00374720" w:rsidRPr="0074674A" w:rsidRDefault="00327FE8" w:rsidP="00D2493C">
      <w:pPr>
        <w:pStyle w:val="BodyText"/>
        <w:rPr>
          <w:sz w:val="24"/>
          <w:szCs w:val="24"/>
        </w:rPr>
      </w:pPr>
      <w:r w:rsidRPr="00C518D6">
        <w:t>RIA is required to prepare site</w:t>
      </w:r>
      <w:r w:rsidR="00406C2A" w:rsidRPr="00C518D6">
        <w:t>-specific</w:t>
      </w:r>
      <w:r w:rsidRPr="00C518D6">
        <w:t xml:space="preserve"> noise an</w:t>
      </w:r>
      <w:r>
        <w:t>d</w:t>
      </w:r>
      <w:r w:rsidRPr="00C518D6">
        <w:t xml:space="preserve"> vibration controls </w:t>
      </w:r>
      <w:r w:rsidR="005F492E">
        <w:t>with</w:t>
      </w:r>
      <w:r w:rsidRPr="00C518D6">
        <w:t>in the SEIPs to comply with ERP NV3 and the controls are to be informed by modelling activities detailed in the CNVIA. During the audit, it could not be determined if the CNVIA at the Western Turnback reflect</w:t>
      </w:r>
      <w:r w:rsidR="005F492E">
        <w:t>ed</w:t>
      </w:r>
      <w:r w:rsidRPr="00C518D6">
        <w:t xml:space="preserve"> the potential change in works schedule and monitoring locations.</w:t>
      </w:r>
    </w:p>
    <w:p w14:paraId="4C920807" w14:textId="4FA162DF" w:rsidR="00374720" w:rsidRPr="00895877" w:rsidRDefault="00327FE8" w:rsidP="00D2493C">
      <w:pPr>
        <w:pStyle w:val="BodyText"/>
      </w:pPr>
      <w:r w:rsidRPr="0074674A">
        <w:t>The IEA recognise</w:t>
      </w:r>
      <w:r w:rsidR="005F492E">
        <w:t>d</w:t>
      </w:r>
      <w:r w:rsidRPr="0074674A">
        <w:t xml:space="preserve"> that RIA ha</w:t>
      </w:r>
      <w:r w:rsidR="005F492E">
        <w:t>d</w:t>
      </w:r>
      <w:r w:rsidRPr="0074674A">
        <w:t xml:space="preserve"> not received any noise complaints from sensitive receptors </w:t>
      </w:r>
      <w:r w:rsidR="005F492E">
        <w:t>at the time</w:t>
      </w:r>
      <w:r w:rsidRPr="0074674A">
        <w:t xml:space="preserve"> and was satisfied that RIA’s acoustic specialist provided sufficient evidence that separate modelling that was conducted for this occupation period and acted upon sufficiently. The finding was closed in November 2019.</w:t>
      </w:r>
    </w:p>
    <w:p w14:paraId="73902DBF" w14:textId="301A81EA" w:rsidR="003F7826" w:rsidRPr="00D2493C" w:rsidRDefault="003F7826" w:rsidP="00D2493C">
      <w:pPr>
        <w:spacing w:before="240" w:after="120"/>
        <w:rPr>
          <w:b/>
          <w:szCs w:val="20"/>
        </w:rPr>
      </w:pPr>
      <w:r w:rsidRPr="00D2493C">
        <w:rPr>
          <w:b/>
          <w:sz w:val="20"/>
          <w:szCs w:val="20"/>
        </w:rPr>
        <w:t xml:space="preserve">Finding </w:t>
      </w:r>
      <w:r w:rsidR="006B4025" w:rsidRPr="00D2493C">
        <w:rPr>
          <w:b/>
          <w:sz w:val="20"/>
          <w:szCs w:val="20"/>
        </w:rPr>
        <w:t xml:space="preserve">– </w:t>
      </w:r>
      <w:r w:rsidRPr="00D2493C">
        <w:rPr>
          <w:b/>
          <w:sz w:val="20"/>
          <w:szCs w:val="20"/>
        </w:rPr>
        <w:t>ERP AE7</w:t>
      </w:r>
    </w:p>
    <w:p w14:paraId="64E72604" w14:textId="2FBF06EB" w:rsidR="003F7826" w:rsidRDefault="003F7826" w:rsidP="00D2493C">
      <w:pPr>
        <w:pStyle w:val="BodyText"/>
      </w:pPr>
      <w:r w:rsidRPr="00C518D6">
        <w:t xml:space="preserve">The EPR AE7 development plan response requires RIA to ensure any design with a potential impact to stormwater </w:t>
      </w:r>
      <w:r w:rsidR="00430EB8">
        <w:t>has</w:t>
      </w:r>
      <w:r w:rsidR="00430EB8" w:rsidRPr="00C518D6">
        <w:t xml:space="preserve"> </w:t>
      </w:r>
      <w:r w:rsidRPr="00C518D6">
        <w:t xml:space="preserve">necessary monitoring of certain water quality parameters. The monitoring of these parameters is to occur at the source and point of discharge at specified times. The IEA found that there was no monitoring of stormwater occurring at the site as required and SEPP during the audit. </w:t>
      </w:r>
    </w:p>
    <w:p w14:paraId="2E06ED53" w14:textId="78CB8ADC" w:rsidR="003F7826" w:rsidRPr="003F7826" w:rsidRDefault="003F7826" w:rsidP="00D2493C">
      <w:pPr>
        <w:pStyle w:val="BodyText"/>
      </w:pPr>
      <w:r w:rsidRPr="00C518D6">
        <w:t>During the subsequent audit the IEA found with regards to stormwater discharge point is low, and there is no requirement for stormwater discharge monitoring during construction</w:t>
      </w:r>
      <w:r w:rsidR="00430EB8">
        <w:t xml:space="preserve">. </w:t>
      </w:r>
      <w:r w:rsidR="00C77C37">
        <w:t>The</w:t>
      </w:r>
      <w:r w:rsidRPr="00C518D6">
        <w:t xml:space="preserve"> finding was closed </w:t>
      </w:r>
      <w:r w:rsidR="00430EB8">
        <w:t xml:space="preserve">in </w:t>
      </w:r>
      <w:r w:rsidRPr="00C518D6">
        <w:t>November 2019.</w:t>
      </w:r>
    </w:p>
    <w:p w14:paraId="5ACB62D7" w14:textId="72CA7948" w:rsidR="003F7826" w:rsidRPr="00D2493C" w:rsidRDefault="003F7826" w:rsidP="00D2493C">
      <w:pPr>
        <w:spacing w:before="240" w:after="120"/>
        <w:rPr>
          <w:b/>
          <w:szCs w:val="20"/>
        </w:rPr>
      </w:pPr>
      <w:r w:rsidRPr="00D2493C">
        <w:rPr>
          <w:b/>
          <w:sz w:val="20"/>
          <w:szCs w:val="20"/>
        </w:rPr>
        <w:t xml:space="preserve">Finding </w:t>
      </w:r>
      <w:r w:rsidR="006B4025" w:rsidRPr="00D2493C">
        <w:rPr>
          <w:b/>
          <w:sz w:val="20"/>
          <w:szCs w:val="20"/>
        </w:rPr>
        <w:t xml:space="preserve">– </w:t>
      </w:r>
      <w:r w:rsidRPr="00D2493C">
        <w:rPr>
          <w:b/>
          <w:sz w:val="20"/>
          <w:szCs w:val="20"/>
        </w:rPr>
        <w:t>EPR EM</w:t>
      </w:r>
      <w:r w:rsidR="000B3913" w:rsidRPr="00D2493C">
        <w:rPr>
          <w:b/>
          <w:sz w:val="20"/>
          <w:szCs w:val="20"/>
        </w:rPr>
        <w:t>F</w:t>
      </w:r>
      <w:r w:rsidRPr="00D2493C">
        <w:rPr>
          <w:b/>
          <w:sz w:val="20"/>
          <w:szCs w:val="20"/>
        </w:rPr>
        <w:t xml:space="preserve">2 </w:t>
      </w:r>
    </w:p>
    <w:p w14:paraId="4DDA3AEC" w14:textId="6B2F1360" w:rsidR="00374720" w:rsidRPr="0074674A" w:rsidRDefault="003F7826" w:rsidP="00D2493C">
      <w:pPr>
        <w:pStyle w:val="BodyText"/>
        <w:rPr>
          <w:sz w:val="24"/>
          <w:szCs w:val="24"/>
        </w:rPr>
      </w:pPr>
      <w:r w:rsidRPr="00C518D6">
        <w:t>RIA CEMP outlines that site</w:t>
      </w:r>
      <w:r w:rsidR="00406C2A" w:rsidRPr="00C518D6">
        <w:t>-specific</w:t>
      </w:r>
      <w:r w:rsidRPr="00C518D6">
        <w:t xml:space="preserve"> environmental controls being detailed in the SEIP, will be displayed onsite, where the relevant works are occurring. During a site visit to the Western Turnback as part of the audit, the IEA observed that SEIP documentation which includes the site-specific measures related to the Western Turnback construction site was not present on site.</w:t>
      </w:r>
    </w:p>
    <w:p w14:paraId="3C8FF886" w14:textId="080736E6" w:rsidR="003F7826" w:rsidRPr="00895877" w:rsidRDefault="003F7826" w:rsidP="00D2493C">
      <w:pPr>
        <w:pStyle w:val="BodyText"/>
      </w:pPr>
      <w:r w:rsidRPr="0074674A">
        <w:t xml:space="preserve">During the November 2019 audit, RIA supplied evidence showing that </w:t>
      </w:r>
      <w:r w:rsidR="00C77C37">
        <w:t xml:space="preserve">the </w:t>
      </w:r>
      <w:r w:rsidRPr="0074674A">
        <w:t>SEIP was displayed at the office and the finding was closed.</w:t>
      </w:r>
    </w:p>
    <w:p w14:paraId="4CB0F27D" w14:textId="5BCD1E82" w:rsidR="00CE7076" w:rsidRDefault="00CE7076" w:rsidP="00BB464A">
      <w:pPr>
        <w:pStyle w:val="Heading4"/>
        <w:rPr>
          <w:szCs w:val="20"/>
        </w:rPr>
      </w:pPr>
      <w:r w:rsidRPr="00CE7076">
        <w:rPr>
          <w:szCs w:val="20"/>
        </w:rPr>
        <w:t>Does Not Comply</w:t>
      </w:r>
    </w:p>
    <w:p w14:paraId="6718367E" w14:textId="3FC75335" w:rsidR="00CE7076" w:rsidRPr="00CE7076" w:rsidRDefault="00CE7076" w:rsidP="00CE7076">
      <w:pPr>
        <w:pStyle w:val="BodyText"/>
      </w:pPr>
      <w:r>
        <w:t xml:space="preserve">No findings raised as “Does Not Comply” during this </w:t>
      </w:r>
      <w:r w:rsidR="0059150E">
        <w:t>audit</w:t>
      </w:r>
      <w:r>
        <w:t xml:space="preserve">. </w:t>
      </w:r>
    </w:p>
    <w:p w14:paraId="6A4E37C8" w14:textId="6BD45AEC" w:rsidR="00327FE8" w:rsidRPr="00F022ED" w:rsidRDefault="00BB464A" w:rsidP="00BB464A">
      <w:pPr>
        <w:pStyle w:val="Heading4"/>
        <w:rPr>
          <w:sz w:val="22"/>
        </w:rPr>
      </w:pPr>
      <w:r>
        <w:t>P</w:t>
      </w:r>
      <w:r w:rsidR="00327FE8">
        <w:t xml:space="preserve">artially </w:t>
      </w:r>
      <w:r>
        <w:t>C</w:t>
      </w:r>
      <w:r w:rsidR="00327FE8">
        <w:t xml:space="preserve">ompliant </w:t>
      </w:r>
    </w:p>
    <w:p w14:paraId="0DA7295F" w14:textId="2C0AC6C4" w:rsidR="00327FE8" w:rsidRDefault="00327FE8" w:rsidP="00D2493C">
      <w:pPr>
        <w:spacing w:before="240" w:after="120"/>
        <w:rPr>
          <w:sz w:val="20"/>
          <w:szCs w:val="20"/>
        </w:rPr>
      </w:pPr>
      <w:r w:rsidRPr="00F208BF">
        <w:rPr>
          <w:b/>
          <w:bCs/>
          <w:sz w:val="20"/>
          <w:szCs w:val="20"/>
        </w:rPr>
        <w:t xml:space="preserve">Finding </w:t>
      </w:r>
      <w:r w:rsidR="006B4025" w:rsidRPr="00D2493C">
        <w:rPr>
          <w:b/>
          <w:sz w:val="20"/>
          <w:szCs w:val="20"/>
        </w:rPr>
        <w:t xml:space="preserve">– </w:t>
      </w:r>
      <w:r w:rsidRPr="00F208BF">
        <w:rPr>
          <w:b/>
          <w:bCs/>
          <w:sz w:val="20"/>
          <w:szCs w:val="20"/>
        </w:rPr>
        <w:t>EPR AE7</w:t>
      </w:r>
    </w:p>
    <w:p w14:paraId="58EC1FF0" w14:textId="52BEA1A0" w:rsidR="00374720" w:rsidRPr="0074674A" w:rsidRDefault="00327FE8" w:rsidP="00D2493C">
      <w:pPr>
        <w:pStyle w:val="BodyText"/>
        <w:rPr>
          <w:sz w:val="24"/>
          <w:szCs w:val="24"/>
        </w:rPr>
      </w:pPr>
      <w:r w:rsidRPr="00C518D6">
        <w:t>To address compliance with EPR AE7, RIA’s Development Plan included the design of up to 600 cubic meters (m</w:t>
      </w:r>
      <w:r w:rsidRPr="00D2493C">
        <w:rPr>
          <w:vertAlign w:val="superscript"/>
        </w:rPr>
        <w:t>3</w:t>
      </w:r>
      <w:r w:rsidRPr="00C518D6">
        <w:t xml:space="preserve">) of storage for stormwater detention and </w:t>
      </w:r>
      <w:r w:rsidR="00AA09A2">
        <w:t>implementation</w:t>
      </w:r>
      <w:r w:rsidR="00AA09A2" w:rsidRPr="00C518D6">
        <w:t xml:space="preserve"> </w:t>
      </w:r>
      <w:r w:rsidRPr="00C518D6">
        <w:t xml:space="preserve">of water sensitive </w:t>
      </w:r>
      <w:r w:rsidR="00327A05">
        <w:t xml:space="preserve">urban </w:t>
      </w:r>
      <w:r w:rsidRPr="00C518D6">
        <w:t>design</w:t>
      </w:r>
      <w:r w:rsidR="00327A05">
        <w:t xml:space="preserve"> </w:t>
      </w:r>
      <w:r w:rsidR="00327A05" w:rsidRPr="00C518D6">
        <w:t>(WSUD)</w:t>
      </w:r>
      <w:r w:rsidRPr="00C518D6">
        <w:t xml:space="preserve"> measures in the design.</w:t>
      </w:r>
      <w:r>
        <w:t xml:space="preserve"> </w:t>
      </w:r>
      <w:r w:rsidRPr="00C518D6">
        <w:t xml:space="preserve">During the July 2019 audit, it was noted that while the WSUD measures are included in the overall </w:t>
      </w:r>
      <w:r w:rsidRPr="00C518D6">
        <w:lastRenderedPageBreak/>
        <w:t>design, however</w:t>
      </w:r>
      <w:r w:rsidR="00327A05">
        <w:t>,</w:t>
      </w:r>
      <w:r w:rsidRPr="00C518D6">
        <w:t xml:space="preserve"> it was unable to be determined if the design will include up to 600m</w:t>
      </w:r>
      <w:r w:rsidRPr="00E7098A">
        <w:rPr>
          <w:szCs w:val="20"/>
          <w:vertAlign w:val="superscript"/>
        </w:rPr>
        <w:t>3</w:t>
      </w:r>
      <w:r w:rsidRPr="00C518D6">
        <w:t xml:space="preserve"> of storage for stormwater detention. RIA advised the IEA that the detailed design was to be finalised in October 2019 as further consideration was being undertaken for nearby utilities that may be impacted by the inclusion of stormwater detention storage. </w:t>
      </w:r>
    </w:p>
    <w:p w14:paraId="34B04B87" w14:textId="6BCD40E2" w:rsidR="00327FE8" w:rsidRPr="00895877" w:rsidRDefault="00327FE8" w:rsidP="00D2493C">
      <w:pPr>
        <w:pStyle w:val="BodyText"/>
        <w:rPr>
          <w:b/>
        </w:rPr>
      </w:pPr>
      <w:r w:rsidRPr="0074674A">
        <w:t>In the subsequent audit, RIA stated that 600m</w:t>
      </w:r>
      <w:r w:rsidRPr="00D2493C">
        <w:rPr>
          <w:vertAlign w:val="superscript"/>
        </w:rPr>
        <w:t>3</w:t>
      </w:r>
      <w:r w:rsidRPr="0074674A">
        <w:t xml:space="preserve"> storage tank was not necessary for their needs, and the volume </w:t>
      </w:r>
      <w:r w:rsidR="00327A05">
        <w:t>was</w:t>
      </w:r>
      <w:r w:rsidRPr="0074674A">
        <w:t xml:space="preserve"> downgraded in subsequent design iterations to a 100m</w:t>
      </w:r>
      <w:r w:rsidRPr="00D2493C">
        <w:rPr>
          <w:vertAlign w:val="superscript"/>
        </w:rPr>
        <w:t>3</w:t>
      </w:r>
      <w:r w:rsidRPr="0074674A">
        <w:t xml:space="preserve"> water storage solution and the finding was closed.</w:t>
      </w:r>
    </w:p>
    <w:p w14:paraId="09E19167" w14:textId="37FCF86B" w:rsidR="00327FE8" w:rsidRPr="00F022ED" w:rsidRDefault="00BB464A" w:rsidP="00BB464A">
      <w:pPr>
        <w:pStyle w:val="Heading4"/>
        <w:rPr>
          <w:sz w:val="22"/>
        </w:rPr>
      </w:pPr>
      <w:r>
        <w:t>P</w:t>
      </w:r>
      <w:r w:rsidR="00327FE8">
        <w:t xml:space="preserve">otential </w:t>
      </w:r>
      <w:r>
        <w:t>I</w:t>
      </w:r>
      <w:r w:rsidR="00327FE8">
        <w:t xml:space="preserve">mprovement </w:t>
      </w:r>
      <w:r>
        <w:t>O</w:t>
      </w:r>
      <w:r w:rsidR="00327FE8">
        <w:t xml:space="preserve">pportunity </w:t>
      </w:r>
    </w:p>
    <w:p w14:paraId="44A9C214" w14:textId="3C3F1BAF" w:rsidR="00327FE8" w:rsidRPr="00D2493C" w:rsidRDefault="00327FE8" w:rsidP="00D2493C">
      <w:pPr>
        <w:spacing w:before="240" w:after="120"/>
        <w:rPr>
          <w:b/>
          <w:szCs w:val="20"/>
        </w:rPr>
      </w:pPr>
      <w:r w:rsidRPr="00D2493C">
        <w:rPr>
          <w:b/>
          <w:sz w:val="20"/>
          <w:szCs w:val="20"/>
        </w:rPr>
        <w:t xml:space="preserve">PIO </w:t>
      </w:r>
      <w:r w:rsidR="006B4025" w:rsidRPr="00D2493C">
        <w:rPr>
          <w:b/>
          <w:sz w:val="20"/>
          <w:szCs w:val="20"/>
        </w:rPr>
        <w:t xml:space="preserve">– </w:t>
      </w:r>
      <w:r w:rsidRPr="00D2493C">
        <w:rPr>
          <w:b/>
          <w:sz w:val="20"/>
          <w:szCs w:val="20"/>
        </w:rPr>
        <w:t xml:space="preserve">EPR SW2 </w:t>
      </w:r>
    </w:p>
    <w:p w14:paraId="3F87446B" w14:textId="40EC1A91" w:rsidR="00327FE8" w:rsidRDefault="00327FE8" w:rsidP="00327FE8">
      <w:pPr>
        <w:pStyle w:val="BodyText"/>
        <w:rPr>
          <w:szCs w:val="20"/>
        </w:rPr>
      </w:pPr>
      <w:r w:rsidRPr="00C518D6">
        <w:rPr>
          <w:szCs w:val="20"/>
        </w:rPr>
        <w:t>RIA had not installed erosion</w:t>
      </w:r>
      <w:r>
        <w:rPr>
          <w:szCs w:val="20"/>
        </w:rPr>
        <w:t xml:space="preserve"> </w:t>
      </w:r>
      <w:r w:rsidRPr="00C518D6">
        <w:rPr>
          <w:szCs w:val="20"/>
        </w:rPr>
        <w:t>and sediment control measures in a</w:t>
      </w:r>
      <w:r w:rsidR="00EB7478">
        <w:rPr>
          <w:szCs w:val="20"/>
        </w:rPr>
        <w:t xml:space="preserve">ll locations in </w:t>
      </w:r>
      <w:r w:rsidRPr="00C518D6">
        <w:rPr>
          <w:szCs w:val="20"/>
        </w:rPr>
        <w:t xml:space="preserve">accordance with their management plans. </w:t>
      </w:r>
      <w:r w:rsidR="00B97C60">
        <w:t xml:space="preserve">RIA adopted the POI and installed sediment controls in all relevant locations as required by the management plans. </w:t>
      </w:r>
    </w:p>
    <w:p w14:paraId="4ED58C79" w14:textId="5C15D812" w:rsidR="00327FE8" w:rsidRPr="005A2796" w:rsidRDefault="00327FE8" w:rsidP="00D2493C">
      <w:pPr>
        <w:spacing w:before="240" w:after="120"/>
        <w:rPr>
          <w:b/>
          <w:szCs w:val="20"/>
        </w:rPr>
      </w:pPr>
      <w:r w:rsidRPr="00D2493C">
        <w:rPr>
          <w:b/>
          <w:sz w:val="20"/>
          <w:szCs w:val="20"/>
        </w:rPr>
        <w:t xml:space="preserve">PIO </w:t>
      </w:r>
      <w:r w:rsidR="006B4025" w:rsidRPr="00D2493C">
        <w:rPr>
          <w:b/>
          <w:sz w:val="20"/>
          <w:szCs w:val="20"/>
        </w:rPr>
        <w:t xml:space="preserve">– </w:t>
      </w:r>
      <w:r w:rsidRPr="00D2493C">
        <w:rPr>
          <w:b/>
          <w:sz w:val="20"/>
          <w:szCs w:val="20"/>
        </w:rPr>
        <w:t>EPR AQ1</w:t>
      </w:r>
    </w:p>
    <w:p w14:paraId="717ADB51" w14:textId="2168A458" w:rsidR="00327FE8" w:rsidRDefault="00327FE8" w:rsidP="00327FE8">
      <w:pPr>
        <w:pStyle w:val="BodyText"/>
        <w:rPr>
          <w:b/>
          <w:bCs/>
        </w:rPr>
      </w:pPr>
      <w:r w:rsidRPr="00C518D6">
        <w:rPr>
          <w:szCs w:val="20"/>
        </w:rPr>
        <w:t xml:space="preserve">RIA’s AQMP did not reflect the completion of the air quality modelling. The IEA recommended that RIA consider updating the AQMP to reflect the existence and completion or update the AQMP to include the process to undertake air quality impact assessments. </w:t>
      </w:r>
      <w:r w:rsidR="00DE7566">
        <w:rPr>
          <w:szCs w:val="20"/>
        </w:rPr>
        <w:t>RIA adopted the POI, and updated the AQMP to include the relevant information.</w:t>
      </w:r>
      <w:r w:rsidR="00DE7566" w:rsidRPr="00CC2DA1" w:rsidDel="00DE7566">
        <w:t xml:space="preserve"> </w:t>
      </w:r>
    </w:p>
    <w:p w14:paraId="0E546BFD" w14:textId="4D0F2007" w:rsidR="00327FE8" w:rsidRPr="005A2796" w:rsidRDefault="00327FE8" w:rsidP="00D2493C">
      <w:pPr>
        <w:spacing w:before="240" w:after="120"/>
        <w:rPr>
          <w:b/>
          <w:szCs w:val="20"/>
        </w:rPr>
      </w:pPr>
      <w:r w:rsidRPr="00D2493C">
        <w:rPr>
          <w:b/>
          <w:sz w:val="20"/>
          <w:szCs w:val="20"/>
        </w:rPr>
        <w:t xml:space="preserve">PIO </w:t>
      </w:r>
      <w:r w:rsidR="006B4025" w:rsidRPr="00D2493C">
        <w:rPr>
          <w:b/>
          <w:sz w:val="20"/>
          <w:szCs w:val="20"/>
        </w:rPr>
        <w:t xml:space="preserve">– </w:t>
      </w:r>
      <w:r w:rsidRPr="00D2493C">
        <w:rPr>
          <w:b/>
          <w:sz w:val="20"/>
          <w:szCs w:val="20"/>
        </w:rPr>
        <w:t>Traffic Management Plans</w:t>
      </w:r>
    </w:p>
    <w:p w14:paraId="57BF847A" w14:textId="6552EE7D" w:rsidR="00327FE8" w:rsidRDefault="00327FE8" w:rsidP="00327FE8">
      <w:pPr>
        <w:pStyle w:val="BodyText"/>
        <w:rPr>
          <w:b/>
          <w:bCs/>
        </w:rPr>
      </w:pPr>
      <w:r w:rsidRPr="00C518D6">
        <w:rPr>
          <w:szCs w:val="20"/>
        </w:rPr>
        <w:t xml:space="preserve">RIA </w:t>
      </w:r>
      <w:r w:rsidR="0058398E">
        <w:rPr>
          <w:szCs w:val="20"/>
        </w:rPr>
        <w:t>Worksite Traffic Management Plans (</w:t>
      </w:r>
      <w:r w:rsidRPr="00C518D6">
        <w:rPr>
          <w:szCs w:val="20"/>
        </w:rPr>
        <w:t>WTMPs</w:t>
      </w:r>
      <w:r w:rsidR="0058398E">
        <w:rPr>
          <w:szCs w:val="20"/>
        </w:rPr>
        <w:t>)</w:t>
      </w:r>
      <w:r w:rsidRPr="00C518D6">
        <w:rPr>
          <w:szCs w:val="20"/>
        </w:rPr>
        <w:t xml:space="preserve"> had not been “issued for use”. It was recommended that RIA provide the IEA with the “issued for use” WTMPs.  </w:t>
      </w:r>
      <w:r w:rsidR="00DE7566">
        <w:rPr>
          <w:szCs w:val="20"/>
        </w:rPr>
        <w:t xml:space="preserve">RIA adopted the POI and the WTMP was updated to the correct version. </w:t>
      </w:r>
    </w:p>
    <w:p w14:paraId="74FA863F" w14:textId="7BD6B450" w:rsidR="00327FE8" w:rsidRPr="005A2796" w:rsidRDefault="00327FE8" w:rsidP="00D2493C">
      <w:pPr>
        <w:spacing w:before="240" w:after="120"/>
        <w:rPr>
          <w:b/>
          <w:szCs w:val="20"/>
        </w:rPr>
      </w:pPr>
      <w:r w:rsidRPr="00D2493C">
        <w:rPr>
          <w:b/>
          <w:sz w:val="20"/>
          <w:szCs w:val="20"/>
        </w:rPr>
        <w:t xml:space="preserve">PIO </w:t>
      </w:r>
      <w:r w:rsidR="006B4025" w:rsidRPr="00D2493C">
        <w:rPr>
          <w:b/>
          <w:sz w:val="20"/>
          <w:szCs w:val="20"/>
        </w:rPr>
        <w:t xml:space="preserve">– </w:t>
      </w:r>
      <w:r w:rsidRPr="00D2493C">
        <w:rPr>
          <w:b/>
          <w:sz w:val="20"/>
          <w:szCs w:val="20"/>
        </w:rPr>
        <w:t xml:space="preserve">Spoil Management Plan </w:t>
      </w:r>
    </w:p>
    <w:p w14:paraId="4539A0AB" w14:textId="14459F68" w:rsidR="00327FE8" w:rsidRPr="00327FE8" w:rsidRDefault="00327FE8" w:rsidP="00327FE8">
      <w:pPr>
        <w:pStyle w:val="BodyText"/>
      </w:pPr>
      <w:r w:rsidRPr="00C518D6">
        <w:rPr>
          <w:szCs w:val="20"/>
        </w:rPr>
        <w:t xml:space="preserve">RIA’s spoil management plan was incomplete in relation to providing spoil volumes. The IEA suggested that this be updated if the information was available. </w:t>
      </w:r>
      <w:r w:rsidR="00DE7566">
        <w:rPr>
          <w:szCs w:val="20"/>
        </w:rPr>
        <w:t>RIA adopted the POI, and the spoil management plan was updated to include the relevant information.</w:t>
      </w:r>
    </w:p>
    <w:p w14:paraId="3B2EEEC5" w14:textId="31CEAF49" w:rsidR="00327FE8" w:rsidRPr="00D2493C" w:rsidRDefault="00327FE8" w:rsidP="00D2493C">
      <w:pPr>
        <w:spacing w:before="240" w:after="120"/>
        <w:rPr>
          <w:b/>
          <w:szCs w:val="20"/>
        </w:rPr>
      </w:pPr>
      <w:r w:rsidRPr="00D2493C">
        <w:rPr>
          <w:b/>
          <w:sz w:val="20"/>
          <w:szCs w:val="20"/>
        </w:rPr>
        <w:t xml:space="preserve">PIO </w:t>
      </w:r>
      <w:r w:rsidR="006B4025" w:rsidRPr="00D2493C">
        <w:rPr>
          <w:b/>
          <w:sz w:val="20"/>
          <w:szCs w:val="20"/>
        </w:rPr>
        <w:t xml:space="preserve">– </w:t>
      </w:r>
      <w:r w:rsidRPr="00D2493C">
        <w:rPr>
          <w:b/>
          <w:sz w:val="20"/>
          <w:szCs w:val="20"/>
        </w:rPr>
        <w:t xml:space="preserve">EPR SW2 </w:t>
      </w:r>
    </w:p>
    <w:p w14:paraId="128ABFE7" w14:textId="3822E8C0" w:rsidR="00327FE8" w:rsidRDefault="00327FE8" w:rsidP="00327FE8">
      <w:pPr>
        <w:pStyle w:val="BodyText"/>
        <w:rPr>
          <w:szCs w:val="20"/>
        </w:rPr>
      </w:pPr>
      <w:r w:rsidRPr="00C518D6">
        <w:rPr>
          <w:szCs w:val="20"/>
        </w:rPr>
        <w:t xml:space="preserve">RIA’s SWMP, reference to known flooding locations for the Western Turnback site in the </w:t>
      </w:r>
      <w:r w:rsidR="00203BB1">
        <w:rPr>
          <w:szCs w:val="20"/>
        </w:rPr>
        <w:t>SWMP</w:t>
      </w:r>
      <w:r w:rsidRPr="00C518D6">
        <w:rPr>
          <w:szCs w:val="20"/>
        </w:rPr>
        <w:t xml:space="preserve"> were </w:t>
      </w:r>
      <w:r w:rsidR="00E859E2">
        <w:rPr>
          <w:szCs w:val="20"/>
        </w:rPr>
        <w:t>yet</w:t>
      </w:r>
      <w:r w:rsidR="00E859E2" w:rsidRPr="00C518D6">
        <w:rPr>
          <w:szCs w:val="20"/>
        </w:rPr>
        <w:t xml:space="preserve"> </w:t>
      </w:r>
      <w:r w:rsidRPr="00C518D6">
        <w:rPr>
          <w:szCs w:val="20"/>
        </w:rPr>
        <w:t>to be confirmed.</w:t>
      </w:r>
      <w:r>
        <w:t xml:space="preserve"> </w:t>
      </w:r>
      <w:r w:rsidR="00DE7566">
        <w:t xml:space="preserve"> RIA adopted the POI and the SWMP was updated to include the known flooding locations. </w:t>
      </w:r>
    </w:p>
    <w:p w14:paraId="4B1E0B21" w14:textId="611502B7" w:rsidR="00327FE8" w:rsidRPr="005A2796" w:rsidRDefault="00327FE8" w:rsidP="00D2493C">
      <w:pPr>
        <w:spacing w:before="240" w:after="120"/>
        <w:rPr>
          <w:b/>
          <w:szCs w:val="20"/>
        </w:rPr>
      </w:pPr>
      <w:r w:rsidRPr="00D2493C">
        <w:rPr>
          <w:b/>
          <w:sz w:val="20"/>
          <w:szCs w:val="20"/>
        </w:rPr>
        <w:t xml:space="preserve">PIO </w:t>
      </w:r>
      <w:r w:rsidR="006B4025" w:rsidRPr="00D2493C">
        <w:rPr>
          <w:b/>
          <w:sz w:val="20"/>
          <w:szCs w:val="20"/>
        </w:rPr>
        <w:t xml:space="preserve">– </w:t>
      </w:r>
      <w:r w:rsidRPr="00D2493C">
        <w:rPr>
          <w:b/>
          <w:sz w:val="20"/>
          <w:szCs w:val="20"/>
        </w:rPr>
        <w:t xml:space="preserve">EPR AR4 </w:t>
      </w:r>
    </w:p>
    <w:p w14:paraId="5A9DD41E" w14:textId="1EF2BC86" w:rsidR="00327FE8" w:rsidRPr="00EA69C2" w:rsidRDefault="00327FE8" w:rsidP="00327FE8">
      <w:pPr>
        <w:pStyle w:val="BodyText"/>
      </w:pPr>
      <w:r w:rsidRPr="00C518D6">
        <w:rPr>
          <w:szCs w:val="20"/>
        </w:rPr>
        <w:t>Following an incident where works occurred within a Tree Protection Zone (TPZ), it was recommended that RIA consider having the Environmental Manager or, Arborist onsite for any future works within the proximity of TPZ’s, to ensure appropriate controls are being implemented onsite</w:t>
      </w:r>
      <w:r w:rsidRPr="00D1782D">
        <w:t>.</w:t>
      </w:r>
      <w:r>
        <w:t xml:space="preserve"> </w:t>
      </w:r>
      <w:r w:rsidR="00DE7566">
        <w:t>RIA process has been updated to where an a</w:t>
      </w:r>
      <w:r w:rsidR="00DE7566" w:rsidRPr="00E7098A">
        <w:t>rborist now attends works</w:t>
      </w:r>
      <w:r w:rsidR="00DE7566">
        <w:t xml:space="preserve"> that are </w:t>
      </w:r>
      <w:r w:rsidR="00DE7566" w:rsidRPr="00E7098A">
        <w:t>in close proximity to retained trees</w:t>
      </w:r>
      <w:r w:rsidR="00DE7566">
        <w:t>,</w:t>
      </w:r>
      <w:r w:rsidR="00DE7566" w:rsidRPr="00E7098A">
        <w:t xml:space="preserve"> where informed by Arborist assessment</w:t>
      </w:r>
      <w:r w:rsidR="00DE7566">
        <w:t>.</w:t>
      </w:r>
    </w:p>
    <w:p w14:paraId="3AB4B680" w14:textId="31304C42" w:rsidR="00327FE8" w:rsidRPr="005A2796" w:rsidRDefault="00327FE8" w:rsidP="00D2493C">
      <w:pPr>
        <w:spacing w:before="240" w:after="120"/>
        <w:rPr>
          <w:b/>
          <w:szCs w:val="20"/>
        </w:rPr>
      </w:pPr>
      <w:r w:rsidRPr="00D2493C">
        <w:rPr>
          <w:b/>
          <w:sz w:val="20"/>
          <w:szCs w:val="20"/>
        </w:rPr>
        <w:t xml:space="preserve">PIO </w:t>
      </w:r>
      <w:r w:rsidR="006B4025" w:rsidRPr="00D2493C">
        <w:rPr>
          <w:b/>
          <w:sz w:val="20"/>
          <w:szCs w:val="20"/>
        </w:rPr>
        <w:t xml:space="preserve">– </w:t>
      </w:r>
      <w:r w:rsidRPr="00D2493C">
        <w:rPr>
          <w:b/>
          <w:sz w:val="20"/>
          <w:szCs w:val="20"/>
        </w:rPr>
        <w:t>EPR GM1</w:t>
      </w:r>
    </w:p>
    <w:p w14:paraId="1E68EC91" w14:textId="3D805784" w:rsidR="00327FE8" w:rsidRPr="00327FE8" w:rsidRDefault="00327FE8" w:rsidP="00F022ED">
      <w:pPr>
        <w:pStyle w:val="BodyText"/>
      </w:pPr>
      <w:r w:rsidRPr="00C518D6">
        <w:rPr>
          <w:szCs w:val="20"/>
        </w:rPr>
        <w:t xml:space="preserve">At the time of </w:t>
      </w:r>
      <w:r w:rsidR="00A153A5">
        <w:rPr>
          <w:szCs w:val="20"/>
        </w:rPr>
        <w:t>the</w:t>
      </w:r>
      <w:r w:rsidR="00A153A5" w:rsidRPr="00C518D6">
        <w:rPr>
          <w:szCs w:val="20"/>
        </w:rPr>
        <w:t xml:space="preserve"> </w:t>
      </w:r>
      <w:r w:rsidRPr="00C518D6">
        <w:rPr>
          <w:szCs w:val="20"/>
        </w:rPr>
        <w:t xml:space="preserve">July 2019 audit for Eastern </w:t>
      </w:r>
      <w:r w:rsidR="006A20F5">
        <w:t xml:space="preserve">(Tunnel Entrance) </w:t>
      </w:r>
      <w:r w:rsidRPr="00C518D6">
        <w:rPr>
          <w:szCs w:val="20"/>
        </w:rPr>
        <w:t xml:space="preserve">Portal, the RIA documents relevant to EPR GM1, including </w:t>
      </w:r>
      <w:r w:rsidR="00A153A5">
        <w:rPr>
          <w:szCs w:val="20"/>
        </w:rPr>
        <w:t>the</w:t>
      </w:r>
      <w:r w:rsidRPr="00C518D6">
        <w:rPr>
          <w:szCs w:val="20"/>
        </w:rPr>
        <w:t xml:space="preserve"> </w:t>
      </w:r>
      <w:r w:rsidR="00A153A5">
        <w:rPr>
          <w:szCs w:val="20"/>
        </w:rPr>
        <w:t>G</w:t>
      </w:r>
      <w:r w:rsidRPr="00C518D6">
        <w:rPr>
          <w:szCs w:val="20"/>
        </w:rPr>
        <w:t xml:space="preserve">round </w:t>
      </w:r>
      <w:r w:rsidR="00A153A5">
        <w:rPr>
          <w:szCs w:val="20"/>
        </w:rPr>
        <w:t>M</w:t>
      </w:r>
      <w:r w:rsidRPr="00C518D6">
        <w:rPr>
          <w:szCs w:val="20"/>
        </w:rPr>
        <w:t xml:space="preserve">ovement </w:t>
      </w:r>
      <w:r w:rsidR="00A153A5">
        <w:rPr>
          <w:szCs w:val="20"/>
        </w:rPr>
        <w:t>M</w:t>
      </w:r>
      <w:r w:rsidRPr="00C518D6">
        <w:rPr>
          <w:szCs w:val="20"/>
        </w:rPr>
        <w:t xml:space="preserve">anagement </w:t>
      </w:r>
      <w:r w:rsidR="00A153A5">
        <w:rPr>
          <w:szCs w:val="20"/>
        </w:rPr>
        <w:t>P</w:t>
      </w:r>
      <w:r w:rsidRPr="00C518D6">
        <w:rPr>
          <w:szCs w:val="20"/>
        </w:rPr>
        <w:t>lan</w:t>
      </w:r>
      <w:r w:rsidR="00650528">
        <w:rPr>
          <w:szCs w:val="20"/>
        </w:rPr>
        <w:t xml:space="preserve"> and the Geotechnical Interpretive Report</w:t>
      </w:r>
      <w:r w:rsidRPr="00C518D6">
        <w:rPr>
          <w:szCs w:val="20"/>
        </w:rPr>
        <w:t xml:space="preserve"> had not been “issued for use”. The IEA recommended that RIA consider updating the documentation to be “issued for use”</w:t>
      </w:r>
      <w:r>
        <w:t xml:space="preserve">. </w:t>
      </w:r>
      <w:r w:rsidR="00CC2DA1" w:rsidRPr="00CC2DA1">
        <w:t>The IEA does not require RIA to close-out PIOs, and therefore no follow-up was required.</w:t>
      </w:r>
    </w:p>
    <w:p w14:paraId="5B4A4B4D" w14:textId="285EBBCF" w:rsidR="003F7826" w:rsidRPr="001C0297" w:rsidRDefault="003F7826" w:rsidP="003F7826">
      <w:pPr>
        <w:pStyle w:val="Heading2"/>
      </w:pPr>
      <w:bookmarkStart w:id="39" w:name="_Toc96586783"/>
      <w:r>
        <w:lastRenderedPageBreak/>
        <w:t>Implementation Audit Q4 2019</w:t>
      </w:r>
      <w:bookmarkEnd w:id="39"/>
      <w:r>
        <w:t xml:space="preserve"> </w:t>
      </w:r>
    </w:p>
    <w:p w14:paraId="46E27DBE" w14:textId="3F6D761A" w:rsidR="00FE6CE7" w:rsidRDefault="007E5025" w:rsidP="000E74FC">
      <w:pPr>
        <w:pStyle w:val="Heading3"/>
      </w:pPr>
      <w:r>
        <w:t>A</w:t>
      </w:r>
      <w:r w:rsidR="00FE6CE7">
        <w:t xml:space="preserve">udit </w:t>
      </w:r>
      <w:r w:rsidR="002A535C">
        <w:t>S</w:t>
      </w:r>
      <w:r w:rsidR="00FE6CE7">
        <w:t>cope</w:t>
      </w:r>
    </w:p>
    <w:p w14:paraId="1EF10FA3" w14:textId="4436DCF8" w:rsidR="00FE6CE7" w:rsidRDefault="005451EF" w:rsidP="00FE6CE7">
      <w:pPr>
        <w:pStyle w:val="BodyText"/>
      </w:pPr>
      <w:r>
        <w:t>This audit was conducted as part of the regular implementation audit schedule outline</w:t>
      </w:r>
      <w:r w:rsidR="005B2B5F">
        <w:t>d</w:t>
      </w:r>
      <w:r>
        <w:t xml:space="preserve"> in the EMF</w:t>
      </w:r>
      <w:r w:rsidR="005B2B5F">
        <w:t xml:space="preserve"> and included a </w:t>
      </w:r>
      <w:r w:rsidR="00744942">
        <w:t>site visit</w:t>
      </w:r>
      <w:r>
        <w:t xml:space="preserve"> to review the compliance of the following EPRs: </w:t>
      </w:r>
    </w:p>
    <w:p w14:paraId="4B4A703D" w14:textId="556B8547" w:rsidR="006C190E" w:rsidRDefault="006C190E" w:rsidP="00D2493C">
      <w:pPr>
        <w:pStyle w:val="Bullet1"/>
      </w:pPr>
      <w:r>
        <w:t>Aquatic Ecology &amp; River Health: AE</w:t>
      </w:r>
      <w:r w:rsidR="003D1073">
        <w:t>2</w:t>
      </w:r>
      <w:r>
        <w:t>, AE3</w:t>
      </w:r>
    </w:p>
    <w:p w14:paraId="56AF60D8" w14:textId="10130C55" w:rsidR="006C190E" w:rsidRDefault="006C190E" w:rsidP="00D2493C">
      <w:pPr>
        <w:pStyle w:val="Bullet1"/>
      </w:pPr>
      <w:r>
        <w:t>Air Quality: AQ2, AQ3</w:t>
      </w:r>
    </w:p>
    <w:p w14:paraId="121996E8" w14:textId="4B7E86D4" w:rsidR="006C190E" w:rsidRDefault="006C190E" w:rsidP="00D2493C">
      <w:pPr>
        <w:pStyle w:val="Bullet1"/>
      </w:pPr>
      <w:r>
        <w:t>Contaminated Land and Spoil Management: C2, C3</w:t>
      </w:r>
    </w:p>
    <w:p w14:paraId="7ABF0ACF" w14:textId="43590560" w:rsidR="006C190E" w:rsidRDefault="006C190E" w:rsidP="00D2493C">
      <w:pPr>
        <w:pStyle w:val="Bullet1"/>
      </w:pPr>
      <w:r>
        <w:t>Historical Cultural Heritage: CH22</w:t>
      </w:r>
    </w:p>
    <w:p w14:paraId="0E0EA0D0" w14:textId="77777777" w:rsidR="006C190E" w:rsidRDefault="006C190E" w:rsidP="00D2493C">
      <w:pPr>
        <w:pStyle w:val="Bullet1"/>
      </w:pPr>
      <w:r>
        <w:t>Greenhouse Gas: GHG1, GHG2</w:t>
      </w:r>
    </w:p>
    <w:p w14:paraId="623BF78B" w14:textId="52DB9F0A" w:rsidR="006C190E" w:rsidRDefault="006C190E" w:rsidP="00D2493C">
      <w:pPr>
        <w:pStyle w:val="Bullet1"/>
      </w:pPr>
      <w:r>
        <w:t>Ground Movement and Land Stability: GM2, GM3</w:t>
      </w:r>
    </w:p>
    <w:p w14:paraId="3194813D" w14:textId="76E0921B" w:rsidR="006C190E" w:rsidRDefault="006C190E" w:rsidP="00D2493C">
      <w:pPr>
        <w:pStyle w:val="Bullet1"/>
      </w:pPr>
      <w:r>
        <w:t>Groundwater: GW3, GW4, GW5</w:t>
      </w:r>
    </w:p>
    <w:p w14:paraId="36586AF7" w14:textId="644E27CC" w:rsidR="006C190E" w:rsidRDefault="006C190E" w:rsidP="00D2493C">
      <w:pPr>
        <w:pStyle w:val="Bullet1"/>
      </w:pPr>
      <w:r>
        <w:t>Noise and Vibration: NV1, NV4, NV6, NV7, NV8, NV9, NV11, NV16, NV21</w:t>
      </w:r>
    </w:p>
    <w:p w14:paraId="790C469D" w14:textId="1319D438" w:rsidR="006C190E" w:rsidRDefault="006C190E" w:rsidP="00D2493C">
      <w:pPr>
        <w:pStyle w:val="Bullet1"/>
      </w:pPr>
      <w:r>
        <w:t>Social and Community: SC4</w:t>
      </w:r>
    </w:p>
    <w:p w14:paraId="0D676553" w14:textId="55D4824F" w:rsidR="005B2B5F" w:rsidRDefault="006C190E" w:rsidP="00D2493C">
      <w:pPr>
        <w:pStyle w:val="Bullet1"/>
      </w:pPr>
      <w:r>
        <w:t>Transport: T2, T3</w:t>
      </w:r>
      <w:r w:rsidR="00D03479">
        <w:t>.</w:t>
      </w:r>
    </w:p>
    <w:p w14:paraId="39DDDC63" w14:textId="5D908C68" w:rsidR="00190FAB" w:rsidRPr="00FE6CE7" w:rsidRDefault="00190FAB" w:rsidP="00FE6CE7">
      <w:pPr>
        <w:pStyle w:val="BodyText"/>
      </w:pPr>
      <w:r>
        <w:t xml:space="preserve">The audit scope also incorporated the investigation of any open previous findings to update their status and close where appropriate. </w:t>
      </w:r>
    </w:p>
    <w:p w14:paraId="0C3A1E66" w14:textId="4C37BDFA" w:rsidR="00FE6CE7" w:rsidRDefault="007E5025" w:rsidP="000E74FC">
      <w:pPr>
        <w:pStyle w:val="Heading3"/>
      </w:pPr>
      <w:r>
        <w:t>A</w:t>
      </w:r>
      <w:r w:rsidR="00FE6CE7">
        <w:t xml:space="preserve">udit </w:t>
      </w:r>
      <w:r w:rsidR="002A535C">
        <w:t>F</w:t>
      </w:r>
      <w:r w:rsidR="00FE6CE7">
        <w:t>indings</w:t>
      </w:r>
    </w:p>
    <w:p w14:paraId="71DB7A9A" w14:textId="08A493E0" w:rsidR="005021F0" w:rsidRPr="004C7B5C" w:rsidRDefault="005021F0" w:rsidP="005021F0">
      <w:pPr>
        <w:pStyle w:val="BodyText"/>
      </w:pPr>
      <w:r>
        <w:t>This section summaris</w:t>
      </w:r>
      <w:r w:rsidR="00785A65">
        <w:t>es</w:t>
      </w:r>
      <w:r>
        <w:t xml:space="preserve"> the IEA findings relevant to the Q4 2019 IEA Report. </w:t>
      </w:r>
    </w:p>
    <w:p w14:paraId="0767B764" w14:textId="69CE3DFF" w:rsidR="00FE6CE7" w:rsidRDefault="00FE6CE7" w:rsidP="00FE6CE7">
      <w:pPr>
        <w:pStyle w:val="Heading4"/>
      </w:pPr>
      <w:r>
        <w:t xml:space="preserve">Does Not Comply </w:t>
      </w:r>
    </w:p>
    <w:p w14:paraId="282D59D9" w14:textId="3F24ABFF" w:rsidR="00FE6CE7" w:rsidRPr="00FE6CE7" w:rsidRDefault="00FE6CE7" w:rsidP="00FE6CE7">
      <w:pPr>
        <w:pStyle w:val="BodyText"/>
      </w:pPr>
      <w:r>
        <w:t xml:space="preserve">No findings raised as “Does Not Comply” during this audit. </w:t>
      </w:r>
    </w:p>
    <w:p w14:paraId="13EEC70B" w14:textId="3680D492" w:rsidR="000E74FC" w:rsidRDefault="00FE6CE7" w:rsidP="00FE6CE7">
      <w:pPr>
        <w:pStyle w:val="Heading4"/>
      </w:pPr>
      <w:r>
        <w:t>P</w:t>
      </w:r>
      <w:r w:rsidR="000E74FC">
        <w:t xml:space="preserve">artially </w:t>
      </w:r>
      <w:r>
        <w:t>C</w:t>
      </w:r>
      <w:r w:rsidR="000E74FC">
        <w:t xml:space="preserve">omplies </w:t>
      </w:r>
    </w:p>
    <w:p w14:paraId="211506A1" w14:textId="077635E5" w:rsidR="000C699E" w:rsidRPr="00E7098A" w:rsidRDefault="000C699E" w:rsidP="00E7098A">
      <w:pPr>
        <w:spacing w:before="240" w:after="120"/>
        <w:rPr>
          <w:b/>
          <w:szCs w:val="20"/>
        </w:rPr>
      </w:pPr>
      <w:r w:rsidRPr="00D2493C">
        <w:rPr>
          <w:b/>
          <w:sz w:val="20"/>
          <w:szCs w:val="20"/>
        </w:rPr>
        <w:t xml:space="preserve">Finding – EPR </w:t>
      </w:r>
      <w:r>
        <w:rPr>
          <w:b/>
          <w:sz w:val="20"/>
          <w:szCs w:val="20"/>
        </w:rPr>
        <w:t>AE</w:t>
      </w:r>
      <w:r w:rsidRPr="00D2493C">
        <w:rPr>
          <w:b/>
          <w:sz w:val="20"/>
          <w:szCs w:val="20"/>
        </w:rPr>
        <w:t>2</w:t>
      </w:r>
    </w:p>
    <w:p w14:paraId="6233F9E8" w14:textId="77777777" w:rsidR="00966233" w:rsidRDefault="0059150E" w:rsidP="00D2493C">
      <w:pPr>
        <w:pStyle w:val="BodyText"/>
      </w:pPr>
      <w:r w:rsidRPr="00C518D6">
        <w:t>RIA’s CEMP, SEIP and SWMP outline</w:t>
      </w:r>
      <w:r>
        <w:t>d</w:t>
      </w:r>
      <w:r w:rsidRPr="00C518D6">
        <w:t xml:space="preserve"> measures for the storage and handling of hazardous chemicals, including the provision of spill kits and personnel trained in their use. During a site inspection as part of the November 2019 audit, the IEA did not observe any spill kits in a key external location. </w:t>
      </w:r>
    </w:p>
    <w:p w14:paraId="6C263921" w14:textId="30E7DA74" w:rsidR="0059150E" w:rsidRDefault="0059150E" w:rsidP="00D2493C">
      <w:pPr>
        <w:pStyle w:val="BodyText"/>
      </w:pPr>
      <w:r w:rsidRPr="00C518D6">
        <w:t>It was determined RIA</w:t>
      </w:r>
      <w:r w:rsidRPr="00C518D6" w:rsidDel="00785A65">
        <w:t xml:space="preserve"> </w:t>
      </w:r>
      <w:r>
        <w:t>had</w:t>
      </w:r>
      <w:r w:rsidRPr="00C518D6">
        <w:t xml:space="preserve"> not manag</w:t>
      </w:r>
      <w:r>
        <w:t>ed the</w:t>
      </w:r>
      <w:r w:rsidRPr="00C518D6">
        <w:t xml:space="preserve"> risk associated with AE2.</w:t>
      </w:r>
      <w:r>
        <w:t xml:space="preserve"> RIA resolved this finding by placing a</w:t>
      </w:r>
      <w:r w:rsidR="00966233">
        <w:t>dditonal</w:t>
      </w:r>
      <w:r>
        <w:t xml:space="preserve"> spill kit</w:t>
      </w:r>
      <w:r w:rsidR="00966233">
        <w:t>s</w:t>
      </w:r>
      <w:r>
        <w:t xml:space="preserve"> near the bulk chemical container located at the Western</w:t>
      </w:r>
      <w:r w:rsidR="006A20F5">
        <w:t xml:space="preserve"> (Tunnel Entrance) </w:t>
      </w:r>
      <w:r>
        <w:t xml:space="preserve">Portal and also delivering a spill kit toolbox talk to educate site staff. </w:t>
      </w:r>
    </w:p>
    <w:p w14:paraId="14CB117C" w14:textId="112F3F61" w:rsidR="000B3913" w:rsidRPr="005A2796" w:rsidRDefault="000B3913" w:rsidP="00D2493C">
      <w:pPr>
        <w:spacing w:before="240" w:after="120"/>
        <w:rPr>
          <w:b/>
          <w:szCs w:val="20"/>
        </w:rPr>
      </w:pPr>
      <w:r w:rsidRPr="00D2493C">
        <w:rPr>
          <w:b/>
          <w:sz w:val="20"/>
          <w:szCs w:val="20"/>
        </w:rPr>
        <w:t xml:space="preserve">Finding </w:t>
      </w:r>
      <w:r w:rsidR="006B4025" w:rsidRPr="00D2493C">
        <w:rPr>
          <w:b/>
          <w:sz w:val="20"/>
          <w:szCs w:val="20"/>
        </w:rPr>
        <w:t xml:space="preserve">– </w:t>
      </w:r>
      <w:r w:rsidRPr="00D2493C">
        <w:rPr>
          <w:b/>
          <w:sz w:val="20"/>
          <w:szCs w:val="20"/>
        </w:rPr>
        <w:t>EPR EM2</w:t>
      </w:r>
    </w:p>
    <w:p w14:paraId="4D6A74C6" w14:textId="3683283C" w:rsidR="000B3913" w:rsidRPr="00C518D6" w:rsidRDefault="000B3913" w:rsidP="00D2493C">
      <w:pPr>
        <w:pStyle w:val="BodyText"/>
      </w:pPr>
      <w:r w:rsidRPr="00C518D6">
        <w:t>RIA and the IEA had agreed that references to SEPs would be removed from SEIPs (as per a previous audit finding) as they were deemed not to be needed. However, references to SEPs were still included in the SEIP</w:t>
      </w:r>
      <w:r w:rsidR="00CF10A2">
        <w:t xml:space="preserve"> at the time of the audit</w:t>
      </w:r>
      <w:r w:rsidRPr="00C518D6">
        <w:t xml:space="preserve">. </w:t>
      </w:r>
    </w:p>
    <w:p w14:paraId="0E2ED96A" w14:textId="49471C79" w:rsidR="000B3913" w:rsidRPr="000B3913" w:rsidRDefault="000B3913" w:rsidP="00D2493C">
      <w:pPr>
        <w:pStyle w:val="BodyText"/>
      </w:pPr>
      <w:r w:rsidRPr="00C518D6">
        <w:lastRenderedPageBreak/>
        <w:t xml:space="preserve">During the Q1 2020 audit, RIA provided the IEA with the updated SEIPs where references to the SEPs had been removed and the finding was closed. </w:t>
      </w:r>
    </w:p>
    <w:p w14:paraId="603116D5" w14:textId="49B4642A" w:rsidR="006806CF" w:rsidRPr="005A2796" w:rsidRDefault="006806CF" w:rsidP="00D2493C">
      <w:pPr>
        <w:spacing w:before="240" w:after="120"/>
        <w:rPr>
          <w:b/>
          <w:szCs w:val="20"/>
        </w:rPr>
      </w:pPr>
      <w:r w:rsidRPr="00D2493C">
        <w:rPr>
          <w:b/>
          <w:sz w:val="20"/>
          <w:szCs w:val="20"/>
        </w:rPr>
        <w:t xml:space="preserve">Finding </w:t>
      </w:r>
      <w:r w:rsidR="006B4025" w:rsidRPr="00D2493C">
        <w:rPr>
          <w:b/>
          <w:sz w:val="20"/>
          <w:szCs w:val="20"/>
        </w:rPr>
        <w:t xml:space="preserve">– </w:t>
      </w:r>
      <w:r w:rsidRPr="00D2493C">
        <w:rPr>
          <w:b/>
          <w:sz w:val="20"/>
          <w:szCs w:val="20"/>
        </w:rPr>
        <w:t>EP</w:t>
      </w:r>
      <w:r w:rsidR="008A7DC4">
        <w:rPr>
          <w:b/>
          <w:sz w:val="20"/>
          <w:szCs w:val="20"/>
        </w:rPr>
        <w:t>R</w:t>
      </w:r>
      <w:r w:rsidRPr="00D2493C">
        <w:rPr>
          <w:b/>
          <w:sz w:val="20"/>
          <w:szCs w:val="20"/>
        </w:rPr>
        <w:t xml:space="preserve"> T3</w:t>
      </w:r>
    </w:p>
    <w:p w14:paraId="5645CA73" w14:textId="287378CD" w:rsidR="006806CF" w:rsidRPr="00C518D6" w:rsidRDefault="006806CF" w:rsidP="00D2493C">
      <w:pPr>
        <w:pStyle w:val="BodyText"/>
      </w:pPr>
      <w:r w:rsidRPr="00C518D6">
        <w:t>RIA TMPs are required to include a green travel strategy to encourage construction workers to travel to and from worksites by means other than private vehicle. RIA TMPs d</w:t>
      </w:r>
      <w:r w:rsidR="00445183">
        <w:t>id</w:t>
      </w:r>
      <w:r w:rsidRPr="00C518D6">
        <w:t xml:space="preserve"> not include a Green Travel Strategy</w:t>
      </w:r>
      <w:r w:rsidR="00445183">
        <w:t xml:space="preserve"> at the time of the audit</w:t>
      </w:r>
      <w:r w:rsidRPr="00C518D6">
        <w:t xml:space="preserve">.  </w:t>
      </w:r>
    </w:p>
    <w:p w14:paraId="1CFBFB54" w14:textId="72A5B2E2" w:rsidR="000B3913" w:rsidRPr="000B3913" w:rsidRDefault="006806CF" w:rsidP="00D2493C">
      <w:pPr>
        <w:pStyle w:val="BodyText"/>
      </w:pPr>
      <w:r w:rsidRPr="00C518D6">
        <w:t xml:space="preserve">During the Q1 2020 audit, RIA provided the IEA with the Green Travel Strategy and the finding was closed. </w:t>
      </w:r>
    </w:p>
    <w:p w14:paraId="4B5F5C29" w14:textId="2146DC5E" w:rsidR="006806CF" w:rsidRDefault="00FE6CE7" w:rsidP="00FE6CE7">
      <w:pPr>
        <w:pStyle w:val="Heading4"/>
      </w:pPr>
      <w:r>
        <w:t>P</w:t>
      </w:r>
      <w:r w:rsidR="006806CF">
        <w:t xml:space="preserve">otential </w:t>
      </w:r>
      <w:r>
        <w:t>I</w:t>
      </w:r>
      <w:r w:rsidR="006806CF">
        <w:t xml:space="preserve">mprovement </w:t>
      </w:r>
      <w:r>
        <w:t>O</w:t>
      </w:r>
      <w:r w:rsidR="006806CF">
        <w:t xml:space="preserve">pportunity  </w:t>
      </w:r>
    </w:p>
    <w:p w14:paraId="096432B4" w14:textId="59CC71D3" w:rsidR="006806CF" w:rsidRPr="005A2796" w:rsidRDefault="006806CF" w:rsidP="00D2493C">
      <w:pPr>
        <w:spacing w:before="240" w:after="120"/>
        <w:rPr>
          <w:b/>
          <w:szCs w:val="20"/>
        </w:rPr>
      </w:pPr>
      <w:bookmarkStart w:id="40" w:name="_Hlk59546341"/>
      <w:r w:rsidRPr="00D2493C">
        <w:rPr>
          <w:b/>
          <w:sz w:val="20"/>
          <w:szCs w:val="20"/>
        </w:rPr>
        <w:t xml:space="preserve">PIO </w:t>
      </w:r>
      <w:r w:rsidR="006B4025" w:rsidRPr="00D2493C">
        <w:rPr>
          <w:b/>
          <w:sz w:val="20"/>
          <w:szCs w:val="20"/>
        </w:rPr>
        <w:t xml:space="preserve">– </w:t>
      </w:r>
      <w:r w:rsidRPr="00D2493C">
        <w:rPr>
          <w:b/>
          <w:sz w:val="20"/>
          <w:szCs w:val="20"/>
        </w:rPr>
        <w:t xml:space="preserve">Monitoring </w:t>
      </w:r>
    </w:p>
    <w:p w14:paraId="15A238A2" w14:textId="0972BD95" w:rsidR="006806CF" w:rsidRDefault="006806CF" w:rsidP="00D2493C">
      <w:pPr>
        <w:pStyle w:val="BodyText"/>
      </w:pPr>
      <w:r w:rsidRPr="00C518D6">
        <w:t>RIA</w:t>
      </w:r>
      <w:r w:rsidR="00717D08">
        <w:t>’</w:t>
      </w:r>
      <w:r w:rsidRPr="00C518D6">
        <w:t>s noise and vibration monitoring data to monitor compliance against relevant EPRs, did not include information on the reason for exceedance</w:t>
      </w:r>
      <w:r w:rsidR="00EA0ECC">
        <w:t>s</w:t>
      </w:r>
      <w:r w:rsidRPr="00C518D6">
        <w:t>.</w:t>
      </w:r>
      <w:r>
        <w:t xml:space="preserve"> </w:t>
      </w:r>
      <w:r w:rsidRPr="00C518D6">
        <w:t xml:space="preserve">The IEA therefore raised a potential improvement opportunity for RIA to investigate possible ways to make the commentary provided by the Environment Team more accessible and visible within the outputs of the monitoring systems. </w:t>
      </w:r>
      <w:r w:rsidR="00CC2DA1" w:rsidRPr="00CC2DA1">
        <w:t>The IEA does not require RIA to close-out PIOs, and therefore no follow-up was required.</w:t>
      </w:r>
    </w:p>
    <w:p w14:paraId="76CDC942" w14:textId="2426CC82" w:rsidR="006806CF" w:rsidRPr="005A2796" w:rsidRDefault="006806CF" w:rsidP="00D2493C">
      <w:pPr>
        <w:spacing w:before="240" w:after="120"/>
        <w:rPr>
          <w:b/>
          <w:szCs w:val="20"/>
        </w:rPr>
      </w:pPr>
      <w:r w:rsidRPr="00D2493C">
        <w:rPr>
          <w:b/>
          <w:sz w:val="20"/>
          <w:szCs w:val="20"/>
        </w:rPr>
        <w:t xml:space="preserve">PIO </w:t>
      </w:r>
      <w:r w:rsidR="006B4025" w:rsidRPr="00D2493C">
        <w:rPr>
          <w:b/>
          <w:sz w:val="20"/>
          <w:szCs w:val="20"/>
        </w:rPr>
        <w:t xml:space="preserve">– </w:t>
      </w:r>
      <w:r w:rsidRPr="00D2493C">
        <w:rPr>
          <w:b/>
          <w:sz w:val="20"/>
          <w:szCs w:val="20"/>
        </w:rPr>
        <w:t>EPR AE2 and AE3</w:t>
      </w:r>
    </w:p>
    <w:bookmarkEnd w:id="40"/>
    <w:p w14:paraId="4FAEF252" w14:textId="139F0CD9" w:rsidR="006806CF" w:rsidRDefault="006806CF" w:rsidP="006806CF">
      <w:pPr>
        <w:pStyle w:val="BodyText"/>
      </w:pPr>
      <w:r w:rsidRPr="00C518D6">
        <w:t xml:space="preserve">RIA’s spill kits and waste bins looked extremely similar and were placed next to each other in multiple locations across the site. Due to the confusion between the two several spill kits contained other waste material. The IEA therefore raised a potential improvement opportunity to consider ways to more easily distinguish between the spill kits and waste bins. </w:t>
      </w:r>
      <w:r w:rsidR="00CC2DA1" w:rsidRPr="00CC2DA1">
        <w:t>The IEA does not require RIA to close-out PIOs, and therefore no follow-up was required.</w:t>
      </w:r>
    </w:p>
    <w:p w14:paraId="1617F928" w14:textId="6A9AB1F0" w:rsidR="006806CF" w:rsidRPr="005A2796" w:rsidRDefault="006806CF" w:rsidP="00D2493C">
      <w:pPr>
        <w:spacing w:before="240" w:after="120"/>
        <w:rPr>
          <w:b/>
          <w:szCs w:val="20"/>
        </w:rPr>
      </w:pPr>
      <w:r w:rsidRPr="00D2493C">
        <w:rPr>
          <w:b/>
          <w:sz w:val="20"/>
          <w:szCs w:val="20"/>
        </w:rPr>
        <w:t xml:space="preserve">PIO </w:t>
      </w:r>
      <w:r w:rsidR="006B4025" w:rsidRPr="00D2493C">
        <w:rPr>
          <w:b/>
          <w:sz w:val="20"/>
          <w:szCs w:val="20"/>
        </w:rPr>
        <w:t xml:space="preserve">– </w:t>
      </w:r>
      <w:r w:rsidRPr="00D2493C">
        <w:rPr>
          <w:b/>
          <w:sz w:val="20"/>
          <w:szCs w:val="20"/>
        </w:rPr>
        <w:t>EPR AE2 and AE3</w:t>
      </w:r>
    </w:p>
    <w:p w14:paraId="7C4C433E" w14:textId="0632E7EC" w:rsidR="00F208BF" w:rsidRPr="00EA69C2" w:rsidRDefault="006806CF" w:rsidP="00EA69C2">
      <w:pPr>
        <w:pStyle w:val="BodyText"/>
      </w:pPr>
      <w:r w:rsidRPr="00C518D6">
        <w:rPr>
          <w:szCs w:val="20"/>
        </w:rPr>
        <w:t>RIA’s SEIPs did not reflect the works that were happening on site at the time. A potential improvement opportunity was therefore raised for RIA to update the Eastern</w:t>
      </w:r>
      <w:r w:rsidR="006A20F5">
        <w:rPr>
          <w:szCs w:val="20"/>
        </w:rPr>
        <w:t xml:space="preserve"> </w:t>
      </w:r>
      <w:r w:rsidR="006A20F5">
        <w:t xml:space="preserve">(Tunnel Entrance) </w:t>
      </w:r>
      <w:r w:rsidRPr="00C518D6">
        <w:rPr>
          <w:szCs w:val="20"/>
        </w:rPr>
        <w:t xml:space="preserve">Portal SEIP map to reflect the missing features. </w:t>
      </w:r>
      <w:r w:rsidR="00CC2DA1" w:rsidRPr="00CC2DA1">
        <w:t>The IEA does not require RIA to close-out PIOs, and therefore no follow-up was required.</w:t>
      </w:r>
    </w:p>
    <w:p w14:paraId="0D9B4ACC" w14:textId="1A52C82E" w:rsidR="004B1C6E" w:rsidRDefault="004B1C6E" w:rsidP="00116BB3">
      <w:pPr>
        <w:pStyle w:val="Heading1"/>
        <w:ind w:right="141"/>
      </w:pPr>
      <w:bookmarkStart w:id="41" w:name="_Toc96586784"/>
      <w:r>
        <w:lastRenderedPageBreak/>
        <w:t>Conclusions</w:t>
      </w:r>
      <w:bookmarkEnd w:id="41"/>
    </w:p>
    <w:p w14:paraId="3E78320C" w14:textId="3F8EE7AA" w:rsidR="001B0377" w:rsidRDefault="001B0377" w:rsidP="001B0377">
      <w:pPr>
        <w:pStyle w:val="BodyText"/>
      </w:pPr>
      <w:r>
        <w:t xml:space="preserve">The auditing programme identified that, in general, the </w:t>
      </w:r>
      <w:r w:rsidR="005B2B5F">
        <w:t xml:space="preserve">Rail Infrastructure </w:t>
      </w:r>
      <w:r w:rsidR="005B2B5F" w:rsidRPr="00271896">
        <w:t xml:space="preserve">Package </w:t>
      </w:r>
      <w:r w:rsidR="003D1073">
        <w:t>being delivered by RIA and</w:t>
      </w:r>
      <w:r w:rsidR="005B2B5F">
        <w:t xml:space="preserve"> </w:t>
      </w:r>
      <w:r w:rsidR="00A33956">
        <w:t>summarised within this report</w:t>
      </w:r>
      <w:r>
        <w:t xml:space="preserve"> was undertaken in accordance with the requirements of EMF, relevant EPRs and Incorporated Document. </w:t>
      </w:r>
    </w:p>
    <w:p w14:paraId="1BDFB1DE" w14:textId="66D614D8" w:rsidR="00373D7A" w:rsidRDefault="005B2B5F">
      <w:pPr>
        <w:pStyle w:val="BodyText"/>
      </w:pPr>
      <w:r w:rsidRPr="00271896">
        <w:t xml:space="preserve">The </w:t>
      </w:r>
      <w:r w:rsidR="00D4627C">
        <w:t xml:space="preserve">Rail Infrastructure </w:t>
      </w:r>
      <w:r w:rsidRPr="00271896">
        <w:t xml:space="preserve">Package </w:t>
      </w:r>
      <w:r w:rsidR="00373D7A">
        <w:t>is a</w:t>
      </w:r>
      <w:r w:rsidRPr="00271896">
        <w:t xml:space="preserve"> complex construction program </w:t>
      </w:r>
      <w:r w:rsidR="003420A1">
        <w:t>in a constrained urban environment</w:t>
      </w:r>
      <w:r w:rsidR="00373D7A">
        <w:t>, and</w:t>
      </w:r>
      <w:r w:rsidR="00AA09A2">
        <w:t xml:space="preserve"> </w:t>
      </w:r>
      <w:r w:rsidRPr="00271896">
        <w:t xml:space="preserve">therefore a number of findings </w:t>
      </w:r>
      <w:r w:rsidR="003420A1">
        <w:t>were</w:t>
      </w:r>
      <w:r w:rsidR="003420A1" w:rsidRPr="00271896">
        <w:t xml:space="preserve"> </w:t>
      </w:r>
      <w:r w:rsidRPr="00271896">
        <w:t xml:space="preserve">expected, particularly within earlier reports. </w:t>
      </w:r>
      <w:r w:rsidR="00373D7A" w:rsidRPr="00650B5E">
        <w:t xml:space="preserve">The auditing process is designed to lead to continual improvement during projects - this is key to </w:t>
      </w:r>
      <w:r w:rsidR="00373D7A">
        <w:t xml:space="preserve">implementing best practice </w:t>
      </w:r>
      <w:r w:rsidR="00373D7A" w:rsidRPr="00650B5E">
        <w:t>ISO14001</w:t>
      </w:r>
      <w:r w:rsidR="00373D7A">
        <w:t xml:space="preserve"> environmental management systems.</w:t>
      </w:r>
    </w:p>
    <w:p w14:paraId="1898F385" w14:textId="366455D4" w:rsidR="00E87073" w:rsidRDefault="003856AD" w:rsidP="00E87073">
      <w:pPr>
        <w:pStyle w:val="BodyText"/>
      </w:pPr>
      <w:r w:rsidRPr="00271896">
        <w:t>A greater number of non-compliance findings were identified during the pre-commencement audits than during the implementation audits. This trend was expected a</w:t>
      </w:r>
      <w:r w:rsidR="00DE1A65" w:rsidRPr="00271896">
        <w:t xml:space="preserve">s identifying and addressing potential environmental risks </w:t>
      </w:r>
      <w:r w:rsidRPr="00271896">
        <w:t xml:space="preserve">was key to ensuring the project was ready for works to commence. </w:t>
      </w:r>
      <w:r w:rsidR="00AA09A2">
        <w:t>F</w:t>
      </w:r>
      <w:r w:rsidR="005B2B5F">
        <w:t xml:space="preserve">indings identified by the IEA, were typically addressed </w:t>
      </w:r>
      <w:r w:rsidR="00373D7A">
        <w:t>by</w:t>
      </w:r>
      <w:r w:rsidR="005B2B5F" w:rsidRPr="00271896">
        <w:t xml:space="preserve"> </w:t>
      </w:r>
      <w:r w:rsidR="00D4627C">
        <w:t>RIA</w:t>
      </w:r>
      <w:r w:rsidR="005B2B5F" w:rsidRPr="00271896">
        <w:t xml:space="preserve"> </w:t>
      </w:r>
      <w:r w:rsidR="005B2B5F">
        <w:t xml:space="preserve">in a timely manner </w:t>
      </w:r>
      <w:r w:rsidR="00373D7A">
        <w:t>with the associated level of environ</w:t>
      </w:r>
      <w:r w:rsidR="00373D7A" w:rsidRPr="00373D7A">
        <w:t>mental risk</w:t>
      </w:r>
      <w:r w:rsidR="00373D7A" w:rsidRPr="00D2493C">
        <w:t>.</w:t>
      </w:r>
      <w:r w:rsidR="005B2B5F">
        <w:t xml:space="preserve"> </w:t>
      </w:r>
      <w:r w:rsidR="00A33956">
        <w:t>This highlights the project’s overall improvements in compliance and the continued commitment to the continual improvement principle</w:t>
      </w:r>
      <w:r w:rsidR="0016019C">
        <w:t>.</w:t>
      </w:r>
      <w:r w:rsidR="00A33956">
        <w:t xml:space="preserve"> </w:t>
      </w:r>
    </w:p>
    <w:p w14:paraId="1E80DBB4" w14:textId="6826DAFE" w:rsidR="001B0377" w:rsidRDefault="001B0377" w:rsidP="001B0377">
      <w:pPr>
        <w:pStyle w:val="BodyText"/>
      </w:pPr>
      <w:r>
        <w:t xml:space="preserve">This summary report relates to the </w:t>
      </w:r>
      <w:r w:rsidR="00F97E45">
        <w:t xml:space="preserve">Main </w:t>
      </w:r>
      <w:r>
        <w:t>Works Package of the MTP</w:t>
      </w:r>
      <w:r w:rsidR="00A33956">
        <w:t xml:space="preserve"> RIA Works Package</w:t>
      </w:r>
      <w:r w:rsidR="00085D7A">
        <w:t xml:space="preserve"> until the end of 2019,</w:t>
      </w:r>
      <w:r>
        <w:t xml:space="preserve"> only. </w:t>
      </w:r>
      <w:bookmarkStart w:id="42" w:name="_Hlk25589400"/>
      <w:r>
        <w:t xml:space="preserve">Further summaries of key findings and recommended actions from future IEA reports produced for the remaining works packages of the MTP will be prepared and published on the project's official </w:t>
      </w:r>
      <w:bookmarkEnd w:id="42"/>
      <w:r w:rsidR="00464B27">
        <w:fldChar w:fldCharType="begin"/>
      </w:r>
      <w:r w:rsidR="00464B27">
        <w:instrText xml:space="preserve"> HYPERLINK "https://metrotunnel.vic.gov.au/planning/planning-approvals" </w:instrText>
      </w:r>
      <w:r w:rsidR="00464B27">
        <w:fldChar w:fldCharType="separate"/>
      </w:r>
      <w:r w:rsidR="002334E8" w:rsidRPr="00464B27">
        <w:rPr>
          <w:rStyle w:val="Hyperlink"/>
        </w:rPr>
        <w:t>website</w:t>
      </w:r>
      <w:r w:rsidR="00464B27">
        <w:fldChar w:fldCharType="end"/>
      </w:r>
      <w:r>
        <w:t>.</w:t>
      </w:r>
    </w:p>
    <w:p w14:paraId="145E3A85" w14:textId="77777777" w:rsidR="00674800" w:rsidRPr="00EF5AB9" w:rsidRDefault="00EF5AB9" w:rsidP="00EF5AB9">
      <w:pPr>
        <w:spacing w:before="0" w:after="120" w:line="360" w:lineRule="auto"/>
        <w:sectPr w:rsidR="00674800" w:rsidRPr="00EF5AB9" w:rsidSect="00CF5B15">
          <w:pgSz w:w="11907" w:h="16839" w:code="9"/>
          <w:pgMar w:top="1701" w:right="851" w:bottom="1021" w:left="1134" w:header="567" w:footer="0" w:gutter="0"/>
          <w:pgNumType w:start="1"/>
          <w:cols w:space="340"/>
          <w:docGrid w:linePitch="360"/>
        </w:sectPr>
      </w:pPr>
      <w:r>
        <w:br w:type="page"/>
      </w:r>
    </w:p>
    <w:p w14:paraId="145E3AC4" w14:textId="77777777" w:rsidR="004C631E" w:rsidRDefault="004C631E" w:rsidP="00FB3545">
      <w:bookmarkStart w:id="43" w:name="CurrentBookMark"/>
      <w:bookmarkEnd w:id="43"/>
    </w:p>
    <w:tbl>
      <w:tblPr>
        <w:tblStyle w:val="TableGrid"/>
        <w:tblW w:w="0" w:type="auto"/>
        <w:tblCellMar>
          <w:left w:w="57" w:type="dxa"/>
          <w:right w:w="57" w:type="dxa"/>
        </w:tblCellMar>
        <w:tblLook w:val="04A0" w:firstRow="1" w:lastRow="0" w:firstColumn="1" w:lastColumn="0" w:noHBand="0" w:noVBand="1"/>
      </w:tblPr>
      <w:tblGrid>
        <w:gridCol w:w="2552"/>
        <w:gridCol w:w="7086"/>
      </w:tblGrid>
      <w:tr w:rsidR="001C46D0" w14:paraId="145E3ADC" w14:textId="77777777" w:rsidTr="001C46D0">
        <w:trPr>
          <w:trHeight w:val="14065"/>
        </w:trPr>
        <w:tc>
          <w:tcPr>
            <w:tcW w:w="2552" w:type="dxa"/>
            <w:tcBorders>
              <w:top w:val="nil"/>
              <w:left w:val="nil"/>
              <w:bottom w:val="nil"/>
              <w:right w:val="nil"/>
            </w:tcBorders>
            <w:shd w:val="clear" w:color="auto" w:fill="auto"/>
            <w:vAlign w:val="bottom"/>
          </w:tcPr>
          <w:p w14:paraId="145E3AC5" w14:textId="77777777" w:rsidR="001C46D0" w:rsidRPr="001C46D0" w:rsidRDefault="001C46D0" w:rsidP="001C46D0"/>
          <w:p w14:paraId="145E3AC6" w14:textId="77777777" w:rsidR="001C46D0" w:rsidRPr="001C46D0" w:rsidRDefault="001C46D0" w:rsidP="001C46D0"/>
          <w:p w14:paraId="145E3AC7" w14:textId="77777777" w:rsidR="001C46D0" w:rsidRPr="001C46D0" w:rsidRDefault="001C46D0" w:rsidP="001C46D0"/>
          <w:p w14:paraId="145E3AC8" w14:textId="77777777" w:rsidR="001C46D0" w:rsidRPr="001C46D0" w:rsidRDefault="001C46D0" w:rsidP="001C46D0"/>
          <w:p w14:paraId="145E3AC9" w14:textId="77777777" w:rsidR="001C46D0" w:rsidRPr="001C46D0" w:rsidRDefault="001C46D0" w:rsidP="001C46D0"/>
          <w:p w14:paraId="145E3ACA" w14:textId="77777777" w:rsidR="001C46D0" w:rsidRPr="001C46D0" w:rsidRDefault="001C46D0" w:rsidP="001C46D0"/>
          <w:p w14:paraId="145E3ACB" w14:textId="77777777" w:rsidR="001C46D0" w:rsidRPr="001C46D0" w:rsidRDefault="001C46D0" w:rsidP="001C46D0"/>
          <w:p w14:paraId="145E3ACC" w14:textId="77777777" w:rsidR="001C46D0" w:rsidRPr="001C46D0" w:rsidRDefault="001C46D0" w:rsidP="001C46D0"/>
          <w:p w14:paraId="145E3ACD" w14:textId="77777777" w:rsidR="001C46D0" w:rsidRPr="001C46D0" w:rsidRDefault="001C46D0" w:rsidP="001C46D0"/>
          <w:p w14:paraId="145E3ACE" w14:textId="77777777" w:rsidR="001C46D0" w:rsidRPr="001C46D0" w:rsidRDefault="001C46D0" w:rsidP="001C46D0"/>
          <w:p w14:paraId="145E3ACF" w14:textId="77777777" w:rsidR="001C46D0" w:rsidRPr="001C46D0" w:rsidRDefault="001C46D0" w:rsidP="001C46D0"/>
          <w:p w14:paraId="145E3AD0" w14:textId="77777777" w:rsidR="001C46D0" w:rsidRPr="001C46D0" w:rsidRDefault="001C46D0" w:rsidP="001C46D0">
            <w:r w:rsidRPr="001C46D0">
              <w:rPr>
                <w:noProof/>
                <w:lang w:val="en-AU" w:eastAsia="en-AU"/>
              </w:rPr>
              <w:drawing>
                <wp:inline distT="0" distB="0" distL="0" distR="0" wp14:anchorId="145E3AEE" wp14:editId="145E3AEF">
                  <wp:extent cx="1357816" cy="1579419"/>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349580" cy="1569838"/>
                          </a:xfrm>
                          <a:prstGeom prst="rect">
                            <a:avLst/>
                          </a:prstGeom>
                          <a:noFill/>
                          <a:ln>
                            <a:noFill/>
                          </a:ln>
                        </pic:spPr>
                      </pic:pic>
                    </a:graphicData>
                  </a:graphic>
                </wp:inline>
              </w:drawing>
            </w:r>
          </w:p>
        </w:tc>
        <w:tc>
          <w:tcPr>
            <w:tcW w:w="7086" w:type="dxa"/>
            <w:tcBorders>
              <w:top w:val="nil"/>
              <w:left w:val="nil"/>
              <w:bottom w:val="nil"/>
              <w:right w:val="nil"/>
            </w:tcBorders>
            <w:shd w:val="clear" w:color="auto" w:fill="auto"/>
            <w:vAlign w:val="bottom"/>
          </w:tcPr>
          <w:p w14:paraId="145E3AD1" w14:textId="77777777" w:rsidR="001C46D0" w:rsidRPr="001C46D0" w:rsidRDefault="001C46D0" w:rsidP="001C46D0"/>
          <w:p w14:paraId="145E3AD2" w14:textId="77777777" w:rsidR="001C46D0" w:rsidRPr="001C46D0" w:rsidRDefault="001C46D0" w:rsidP="001C46D0"/>
          <w:p w14:paraId="145E3AD3" w14:textId="77777777" w:rsidR="001C46D0" w:rsidRPr="001C46D0" w:rsidRDefault="001C46D0" w:rsidP="001C46D0"/>
          <w:p w14:paraId="145E3AD4" w14:textId="77777777" w:rsidR="001C46D0" w:rsidRPr="001C46D0" w:rsidRDefault="001C46D0" w:rsidP="001C46D0"/>
          <w:p w14:paraId="145E3AD5" w14:textId="77777777" w:rsidR="001C46D0" w:rsidRPr="001C46D0" w:rsidRDefault="001C46D0" w:rsidP="001C46D0"/>
          <w:p w14:paraId="145E3AD6" w14:textId="77777777" w:rsidR="001C46D0" w:rsidRPr="001C46D0" w:rsidRDefault="001C46D0" w:rsidP="001C46D0"/>
          <w:p w14:paraId="145E3AD7" w14:textId="77777777" w:rsidR="001C46D0" w:rsidRPr="001C46D0" w:rsidRDefault="001C46D0" w:rsidP="001C46D0"/>
          <w:p w14:paraId="145E3AD8" w14:textId="77777777" w:rsidR="001C46D0" w:rsidRPr="001C46D0" w:rsidRDefault="001C46D0" w:rsidP="001C46D0"/>
          <w:p w14:paraId="145E3AD9" w14:textId="77777777" w:rsidR="001C46D0" w:rsidRPr="001C46D0" w:rsidRDefault="001C46D0" w:rsidP="001C46D0"/>
          <w:p w14:paraId="145E3ADA" w14:textId="731C20D9" w:rsidR="001C46D0" w:rsidRPr="00F505D0" w:rsidRDefault="00421D76" w:rsidP="001C46D0">
            <w:pPr>
              <w:rPr>
                <w:caps/>
                <w:sz w:val="18"/>
              </w:rPr>
            </w:pPr>
            <w:r w:rsidRPr="00F505D0">
              <w:rPr>
                <w:caps/>
                <w:sz w:val="18"/>
              </w:rPr>
              <w:t>222</w:t>
            </w:r>
            <w:r w:rsidR="001C46D0" w:rsidRPr="00F505D0">
              <w:rPr>
                <w:caps/>
                <w:sz w:val="18"/>
              </w:rPr>
              <w:t xml:space="preserve"> Exhibition Street, Melbourne VIC 3000</w:t>
            </w:r>
          </w:p>
          <w:p w14:paraId="145E3ADB" w14:textId="77777777" w:rsidR="001C46D0" w:rsidRPr="001C46D0" w:rsidRDefault="001C46D0" w:rsidP="001C46D0">
            <w:r w:rsidRPr="00F505D0">
              <w:rPr>
                <w:caps/>
                <w:sz w:val="18"/>
              </w:rPr>
              <w:t>PO Box 23061 Docklands VIC 8012 Australia</w:t>
            </w:r>
          </w:p>
        </w:tc>
      </w:tr>
    </w:tbl>
    <w:p w14:paraId="145E3ADD" w14:textId="77777777" w:rsidR="004C631E" w:rsidRDefault="001C46D0" w:rsidP="001C46D0">
      <w:r>
        <w:tab/>
      </w:r>
    </w:p>
    <w:p w14:paraId="145E3ADE" w14:textId="77777777" w:rsidR="00F07963" w:rsidRDefault="00F07963" w:rsidP="001C46D0">
      <w:pPr>
        <w:spacing w:before="0" w:after="120" w:line="360" w:lineRule="auto"/>
        <w:sectPr w:rsidR="00F07963" w:rsidSect="00485127">
          <w:headerReference w:type="even" r:id="rId33"/>
          <w:headerReference w:type="default" r:id="rId34"/>
          <w:footerReference w:type="default" r:id="rId35"/>
          <w:headerReference w:type="first" r:id="rId36"/>
          <w:pgSz w:w="11907" w:h="16839" w:code="9"/>
          <w:pgMar w:top="993" w:right="851" w:bottom="1021" w:left="1418" w:header="284" w:footer="567" w:gutter="0"/>
          <w:pgNumType w:start="1"/>
          <w:cols w:space="720"/>
          <w:docGrid w:linePitch="360"/>
        </w:sectPr>
      </w:pPr>
    </w:p>
    <w:p w14:paraId="145E3ADF" w14:textId="77777777" w:rsidR="001B2677" w:rsidRDefault="001B2677" w:rsidP="00FB3545"/>
    <w:p w14:paraId="145E3AE0" w14:textId="77777777" w:rsidR="00F07963" w:rsidRDefault="00F07963" w:rsidP="00FB3545"/>
    <w:p w14:paraId="145E3AE1" w14:textId="77777777" w:rsidR="00F07963" w:rsidRPr="00B33197" w:rsidRDefault="00F07963" w:rsidP="00FB3545"/>
    <w:sectPr w:rsidR="00F07963" w:rsidRPr="00B33197" w:rsidSect="00485127">
      <w:headerReference w:type="default" r:id="rId37"/>
      <w:pgSz w:w="11907" w:h="16839" w:code="9"/>
      <w:pgMar w:top="993" w:right="851" w:bottom="1021" w:left="1418" w:header="284"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80F243" w14:textId="77777777" w:rsidR="005D5155" w:rsidRDefault="005D5155" w:rsidP="00FB3545">
      <w:r>
        <w:separator/>
      </w:r>
    </w:p>
  </w:endnote>
  <w:endnote w:type="continuationSeparator" w:id="0">
    <w:p w14:paraId="601DC7A8" w14:textId="77777777" w:rsidR="005D5155" w:rsidRDefault="005D5155" w:rsidP="00FB3545">
      <w:r>
        <w:continuationSeparator/>
      </w:r>
    </w:p>
  </w:endnote>
  <w:endnote w:type="continuationNotice" w:id="1">
    <w:p w14:paraId="09512823" w14:textId="77777777" w:rsidR="005D5155" w:rsidRDefault="005D515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01CAF" w14:textId="77777777" w:rsidR="00894DB7" w:rsidRDefault="00894D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62F7F" w14:textId="77777777" w:rsidR="00894DB7" w:rsidRDefault="00894D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B8E19" w14:textId="77777777" w:rsidR="00764BAC" w:rsidRDefault="00764BAC" w:rsidP="0030735F">
    <w:r>
      <w:tab/>
    </w:r>
  </w:p>
  <w:p w14:paraId="5B89FAA9" w14:textId="128A9F31" w:rsidR="00764BAC" w:rsidRDefault="00764BAC" w:rsidP="0030735F">
    <w:pPr>
      <w:pStyle w:val="Footer"/>
      <w:tabs>
        <w:tab w:val="clear" w:pos="4680"/>
        <w:tab w:val="clear" w:pos="9360"/>
        <w:tab w:val="left" w:pos="6336"/>
      </w:tabs>
    </w:pPr>
    <w:r>
      <w:rPr>
        <w:noProof/>
        <w:lang w:val="en-AU" w:eastAsia="en-AU"/>
      </w:rPr>
      <mc:AlternateContent>
        <mc:Choice Requires="wps">
          <w:drawing>
            <wp:anchor distT="45720" distB="45720" distL="114300" distR="114300" simplePos="0" relativeHeight="251653632" behindDoc="0" locked="0" layoutInCell="1" allowOverlap="1" wp14:anchorId="6B09C37C" wp14:editId="36394D81">
              <wp:simplePos x="0" y="0"/>
              <wp:positionH relativeFrom="column">
                <wp:posOffset>3983603</wp:posOffset>
              </wp:positionH>
              <wp:positionV relativeFrom="paragraph">
                <wp:posOffset>45720</wp:posOffset>
              </wp:positionV>
              <wp:extent cx="882595" cy="2146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95" cy="214685"/>
                      </a:xfrm>
                      <a:prstGeom prst="rect">
                        <a:avLst/>
                      </a:prstGeom>
                      <a:solidFill>
                        <a:schemeClr val="bg1"/>
                      </a:solidFill>
                      <a:ln w="9525">
                        <a:noFill/>
                        <a:miter lim="800000"/>
                        <a:headEnd/>
                        <a:tailEnd/>
                      </a:ln>
                    </wps:spPr>
                    <wps:txbx>
                      <w:txbxContent>
                        <w:p w14:paraId="23577BE5" w14:textId="77777777" w:rsidR="00764BAC" w:rsidRDefault="00764BAC" w:rsidP="003073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09C37C" id="_x0000_t202" coordsize="21600,21600" o:spt="202" path="m,l,21600r21600,l21600,xe">
              <v:stroke joinstyle="miter"/>
              <v:path gradientshapeok="t" o:connecttype="rect"/>
            </v:shapetype>
            <v:shape id="Text Box 2" o:spid="_x0000_s1026" type="#_x0000_t202" style="position:absolute;margin-left:313.65pt;margin-top:3.6pt;width:69.5pt;height:16.9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" fillcolor="white [3212]" stroked="f">
              <v:textbox>
                <w:txbxContent>
                  <w:p w14:paraId="23577BE5" w14:textId="77777777" w:rsidR="00764BAC" w:rsidRDefault="00764BAC" w:rsidP="0030735F"/>
                </w:txbxContent>
              </v:textbox>
            </v:shape>
          </w:pict>
        </mc:Fallback>
      </mc:AlternateContent>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single" w:sz="12" w:space="0" w:color="92D050"/>
        <w:insideV w:val="none" w:sz="0" w:space="0" w:color="auto"/>
      </w:tblBorders>
      <w:tblCellMar>
        <w:left w:w="0" w:type="dxa"/>
        <w:right w:w="0" w:type="dxa"/>
      </w:tblCellMar>
      <w:tblLook w:val="04A0" w:firstRow="1" w:lastRow="0" w:firstColumn="1" w:lastColumn="0" w:noHBand="0" w:noVBand="1"/>
    </w:tblPr>
    <w:tblGrid>
      <w:gridCol w:w="3907"/>
      <w:gridCol w:w="3751"/>
      <w:gridCol w:w="1980"/>
    </w:tblGrid>
    <w:tr w:rsidR="00764BAC" w:rsidRPr="00D103B0" w14:paraId="145E3B04" w14:textId="77777777" w:rsidTr="00F85B44">
      <w:trPr>
        <w:trHeight w:val="567"/>
      </w:trPr>
      <w:tc>
        <w:tcPr>
          <w:tcW w:w="5000" w:type="pct"/>
          <w:gridSpan w:val="3"/>
          <w:tcBorders>
            <w:top w:val="nil"/>
            <w:bottom w:val="single" w:sz="4" w:space="0" w:color="55BCFF" w:themeColor="accent1"/>
          </w:tcBorders>
          <w:vAlign w:val="bottom"/>
        </w:tcPr>
        <w:p w14:paraId="145E3B03" w14:textId="77777777" w:rsidR="00764BAC" w:rsidRPr="00D103B0" w:rsidRDefault="00764BAC" w:rsidP="00FB3545">
          <w:pPr>
            <w:pStyle w:val="Footer"/>
          </w:pPr>
          <w:r>
            <w:fldChar w:fldCharType="begin"/>
          </w:r>
          <w:r>
            <w:instrText xml:space="preserve"> PAGE  \* roman  \* MERGEFORMAT </w:instrText>
          </w:r>
          <w:r>
            <w:fldChar w:fldCharType="separate"/>
          </w:r>
          <w:r>
            <w:rPr>
              <w:noProof/>
            </w:rPr>
            <w:t>iii</w:t>
          </w:r>
          <w:r>
            <w:fldChar w:fldCharType="end"/>
          </w:r>
        </w:p>
      </w:tc>
    </w:tr>
    <w:tr w:rsidR="00764BAC" w:rsidRPr="00D103B0" w14:paraId="145E3B08" w14:textId="77777777" w:rsidTr="00F85B44">
      <w:tblPrEx>
        <w:tblBorders>
          <w:top w:val="single" w:sz="4" w:space="0" w:color="000000" w:themeColor="text1"/>
          <w:insideH w:val="none" w:sz="0" w:space="0" w:color="auto"/>
        </w:tblBorders>
      </w:tblPrEx>
      <w:trPr>
        <w:trHeight w:val="250"/>
      </w:trPr>
      <w:tc>
        <w:tcPr>
          <w:tcW w:w="1200" w:type="pct"/>
          <w:tcBorders>
            <w:top w:val="single" w:sz="4" w:space="0" w:color="55BCFF" w:themeColor="accent1"/>
          </w:tcBorders>
          <w:vAlign w:val="bottom"/>
        </w:tcPr>
        <w:sdt>
          <w:sdtPr>
            <w:rPr>
              <w:noProof/>
            </w:rPr>
            <w:alias w:val="Footer Logo"/>
            <w:tag w:val="FooterLogo"/>
            <w:id w:val="436341974"/>
            <w:picture/>
          </w:sdtPr>
          <w:sdtEndPr/>
          <w:sdtContent>
            <w:p w14:paraId="145E3B05" w14:textId="77777777" w:rsidR="00764BAC" w:rsidRPr="00D103B0" w:rsidRDefault="00764BAC" w:rsidP="00FB3545">
              <w:pPr>
                <w:pStyle w:val="Footer"/>
              </w:pPr>
              <w:r>
                <w:rPr>
                  <w:noProof/>
                  <w:lang w:val="en-AU" w:eastAsia="en-AU"/>
                </w:rPr>
                <w:drawing>
                  <wp:inline distT="0" distB="0" distL="0" distR="0" wp14:anchorId="145E3B38" wp14:editId="145E3B39">
                    <wp:extent cx="2481077" cy="195072"/>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481077" cy="195072"/>
                            </a:xfrm>
                            <a:prstGeom prst="rect">
                              <a:avLst/>
                            </a:prstGeom>
                          </pic:spPr>
                        </pic:pic>
                      </a:graphicData>
                    </a:graphic>
                  </wp:inline>
                </w:drawing>
              </w:r>
            </w:p>
          </w:sdtContent>
        </w:sdt>
      </w:tc>
      <w:tc>
        <w:tcPr>
          <w:tcW w:w="2578" w:type="pct"/>
          <w:tcBorders>
            <w:top w:val="single" w:sz="4" w:space="0" w:color="55BCFF" w:themeColor="accent1"/>
          </w:tcBorders>
          <w:vAlign w:val="bottom"/>
        </w:tcPr>
        <w:p w14:paraId="145E3B06" w14:textId="77777777" w:rsidR="00764BAC" w:rsidRPr="00D103B0" w:rsidRDefault="00764BAC" w:rsidP="00FB3545">
          <w:pPr>
            <w:pStyle w:val="Footer"/>
            <w:rPr>
              <w:noProof/>
            </w:rPr>
          </w:pPr>
        </w:p>
      </w:tc>
      <w:tc>
        <w:tcPr>
          <w:tcW w:w="1200" w:type="pct"/>
          <w:tcBorders>
            <w:top w:val="single" w:sz="4" w:space="0" w:color="55BCFF" w:themeColor="accent1"/>
          </w:tcBorders>
          <w:vAlign w:val="bottom"/>
        </w:tcPr>
        <w:sdt>
          <w:sdtPr>
            <w:alias w:val="Footer Right Image"/>
            <w:tag w:val="FooterRightImage"/>
            <w:id w:val="-902752375"/>
            <w:picture/>
          </w:sdtPr>
          <w:sdtEndPr/>
          <w:sdtContent>
            <w:p w14:paraId="145E3B07" w14:textId="77777777" w:rsidR="00764BAC" w:rsidRPr="00D103B0" w:rsidRDefault="00764BAC" w:rsidP="00FB3545">
              <w:pPr>
                <w:pStyle w:val="Footer"/>
              </w:pPr>
              <w:r>
                <w:rPr>
                  <w:noProof/>
                  <w:lang w:val="en-AU" w:eastAsia="en-AU"/>
                </w:rPr>
                <w:drawing>
                  <wp:inline distT="0" distB="0" distL="0" distR="0" wp14:anchorId="145E3B3A" wp14:editId="145E3B3B">
                    <wp:extent cx="1249788" cy="106689"/>
                    <wp:effectExtent l="0" t="0" r="7620" b="7620"/>
                    <wp:docPr id="61" name="Picture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249788" cy="106689"/>
                            </a:xfrm>
                            <a:prstGeom prst="rect">
                              <a:avLst/>
                            </a:prstGeom>
                          </pic:spPr>
                        </pic:pic>
                      </a:graphicData>
                    </a:graphic>
                  </wp:inline>
                </w:drawing>
              </w:r>
            </w:p>
          </w:sdtContent>
        </w:sdt>
      </w:tc>
    </w:tr>
  </w:tbl>
  <w:p w14:paraId="145E3B09" w14:textId="77777777" w:rsidR="00764BAC" w:rsidRDefault="00764BAC" w:rsidP="00FB354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5072879"/>
      <w:docPartObj>
        <w:docPartGallery w:val="Page Numbers (Bottom of Page)"/>
        <w:docPartUnique/>
      </w:docPartObj>
    </w:sdtPr>
    <w:sdtEndPr>
      <w:rPr>
        <w:noProof/>
      </w:rPr>
    </w:sdtEndPr>
    <w:sdtContent>
      <w:p w14:paraId="79240D7D" w14:textId="2A5C32EF" w:rsidR="00764BAC" w:rsidRDefault="00764BAC" w:rsidP="009F43E1">
        <w:pPr>
          <w:pStyle w:val="Footer"/>
          <w:rPr>
            <w:noProof/>
          </w:rPr>
        </w:pPr>
        <w:r w:rsidRPr="009F43E1">
          <w:rPr>
            <w:noProof/>
          </w:rPr>
          <w:t xml:space="preserve"> </w:t>
        </w:r>
      </w:p>
      <w:tbl>
        <w:tblPr>
          <w:tblStyle w:val="TableGrid"/>
          <w:tblW w:w="9498" w:type="dxa"/>
          <w:tblBorders>
            <w:top w:val="single" w:sz="4" w:space="0" w:color="262262"/>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371"/>
          <w:gridCol w:w="851"/>
        </w:tblGrid>
        <w:tr w:rsidR="00764BAC" w:rsidRPr="00272202" w14:paraId="4838BEF9" w14:textId="77777777" w:rsidTr="00E7098A">
          <w:trPr>
            <w:trHeight w:val="73"/>
          </w:trPr>
          <w:tc>
            <w:tcPr>
              <w:tcW w:w="1276" w:type="dxa"/>
              <w:tcBorders>
                <w:top w:val="single" w:sz="18" w:space="0" w:color="141B51" w:themeColor="text2"/>
              </w:tcBorders>
              <w:vAlign w:val="bottom"/>
            </w:tcPr>
            <w:p w14:paraId="77267881" w14:textId="77777777" w:rsidR="00764BAC" w:rsidRPr="008553BD" w:rsidRDefault="00764BAC" w:rsidP="009F43E1">
              <w:pPr>
                <w:pStyle w:val="Footer"/>
                <w:rPr>
                  <w:szCs w:val="12"/>
                </w:rPr>
              </w:pPr>
              <w:r w:rsidRPr="008553BD">
                <w:rPr>
                  <w:noProof/>
                  <w:lang w:val="en-AU" w:eastAsia="en-AU"/>
                </w:rPr>
                <w:drawing>
                  <wp:inline distT="0" distB="0" distL="0" distR="0" wp14:anchorId="4801F50F" wp14:editId="0E231DE3">
                    <wp:extent cx="265814" cy="30919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65814" cy="309196"/>
                            </a:xfrm>
                            <a:prstGeom prst="rect">
                              <a:avLst/>
                            </a:prstGeom>
                          </pic:spPr>
                        </pic:pic>
                      </a:graphicData>
                    </a:graphic>
                  </wp:inline>
                </w:drawing>
              </w:r>
              <w:r w:rsidRPr="008553BD">
                <w:rPr>
                  <w:noProof/>
                </w:rPr>
                <w:t xml:space="preserve">   </w:t>
              </w:r>
              <w:r w:rsidRPr="008553BD">
                <w:tab/>
              </w:r>
            </w:p>
          </w:tc>
          <w:tc>
            <w:tcPr>
              <w:tcW w:w="7371" w:type="dxa"/>
              <w:tcBorders>
                <w:top w:val="single" w:sz="18" w:space="0" w:color="141B51" w:themeColor="text2"/>
              </w:tcBorders>
              <w:vAlign w:val="center"/>
            </w:tcPr>
            <w:p w14:paraId="19E9F60F" w14:textId="246EE5F7" w:rsidR="00764BAC" w:rsidRPr="002E06B2" w:rsidRDefault="00764BAC" w:rsidP="009F43E1">
              <w:pPr>
                <w:pStyle w:val="FooterText"/>
              </w:pPr>
              <w:r w:rsidRPr="0090257F">
                <w:t>File </w:t>
              </w:r>
              <w:r>
                <w:fldChar w:fldCharType="begin"/>
              </w:r>
              <w:r>
                <w:instrText xml:space="preserve"> FILENAME  \* FirstCap  \* MERGEFORMAT </w:instrText>
              </w:r>
              <w:r>
                <w:fldChar w:fldCharType="separate"/>
              </w:r>
              <w:r w:rsidR="00E77B24">
                <w:t>MMR-AJM-PWAA-RP-NN-005022</w:t>
              </w:r>
              <w:r>
                <w:fldChar w:fldCharType="end"/>
              </w:r>
              <w:r w:rsidRPr="0090257F">
                <w:t xml:space="preserve">  </w:t>
              </w:r>
              <w:sdt>
                <w:sdtPr>
                  <w:alias w:val="Date"/>
                  <w:tag w:val="Date"/>
                  <w:id w:val="1974322815"/>
                  <w:dataBinding w:xpath="/root[1]/date[1]" w:storeItemID="{FFD81A59-B074-45B3-B3B7-CA5E6F5AEDEE}"/>
                  <w:date w:fullDate="2022-02-10T00:00:00Z">
                    <w:dateFormat w:val="d MMMM yyyy"/>
                    <w:lid w:val="en-GB"/>
                    <w:storeMappedDataAs w:val="dateTime"/>
                    <w:calendar w:val="gregorian"/>
                  </w:date>
                </w:sdtPr>
                <w:sdtEndPr/>
                <w:sdtContent>
                  <w:r>
                    <w:t>10 February 2022</w:t>
                  </w:r>
                </w:sdtContent>
              </w:sdt>
              <w:r w:rsidRPr="0090257F">
                <w:t xml:space="preserve">  Revisi</w:t>
              </w:r>
              <w:r w:rsidRPr="002E06B2">
                <w:t>on </w:t>
              </w:r>
              <w:sdt>
                <w:sdtPr>
                  <w:alias w:val="Current Revision"/>
                  <w:tag w:val="CurrentRevision"/>
                  <w:id w:val="1783916521"/>
                  <w:dataBinding w:xpath="/root[1]/revision[1]" w:storeItemID="{FFD81A59-B074-45B3-B3B7-CA5E6F5AEDEE}"/>
                  <w:text/>
                </w:sdtPr>
                <w:sdtEndPr/>
                <w:sdtContent>
                  <w:r>
                    <w:t>P3</w:t>
                  </w:r>
                </w:sdtContent>
              </w:sdt>
            </w:p>
          </w:tc>
          <w:tc>
            <w:tcPr>
              <w:tcW w:w="851" w:type="dxa"/>
              <w:tcBorders>
                <w:top w:val="single" w:sz="18" w:space="0" w:color="141B51" w:themeColor="text2"/>
              </w:tcBorders>
              <w:vAlign w:val="center"/>
            </w:tcPr>
            <w:p w14:paraId="3F916767" w14:textId="70570D04" w:rsidR="00764BAC" w:rsidRPr="00272202" w:rsidRDefault="00764BAC" w:rsidP="009F43E1">
              <w:pPr>
                <w:pStyle w:val="Footer"/>
                <w:jc w:val="right"/>
              </w:pPr>
              <w:r w:rsidRPr="00272202">
                <w:t>P.</w:t>
              </w:r>
              <w:r w:rsidRPr="00272202">
                <w:rPr>
                  <w:b/>
                </w:rPr>
                <w:t xml:space="preserve"> </w:t>
              </w:r>
              <w:sdt>
                <w:sdtPr>
                  <w:id w:val="-1537117711"/>
                  <w:docPartObj>
                    <w:docPartGallery w:val="Page Numbers (Bottom of Page)"/>
                    <w:docPartUnique/>
                  </w:docPartObj>
                </w:sdtPr>
                <w:sdtEndPr>
                  <w:rPr>
                    <w:noProof/>
                  </w:rPr>
                </w:sdtEndPr>
                <w:sdtContent>
                  <w:r w:rsidRPr="00272202">
                    <w:fldChar w:fldCharType="begin"/>
                  </w:r>
                  <w:r w:rsidRPr="00272202">
                    <w:instrText xml:space="preserve"> PAGE   \* MERGEFORMAT </w:instrText>
                  </w:r>
                  <w:r w:rsidRPr="00272202">
                    <w:fldChar w:fldCharType="separate"/>
                  </w:r>
                  <w:r>
                    <w:t>i</w:t>
                  </w:r>
                  <w:r w:rsidRPr="00272202">
                    <w:rPr>
                      <w:noProof/>
                    </w:rPr>
                    <w:fldChar w:fldCharType="end"/>
                  </w:r>
                </w:sdtContent>
              </w:sdt>
            </w:p>
          </w:tc>
        </w:tr>
      </w:tbl>
      <w:p w14:paraId="12B2C0A5" w14:textId="44032728" w:rsidR="00764BAC" w:rsidRPr="00272547" w:rsidRDefault="005D5155" w:rsidP="00E7098A">
        <w:pPr>
          <w:pStyle w:val="Footer"/>
          <w:tabs>
            <w:tab w:val="clear" w:pos="4680"/>
            <w:tab w:val="clear" w:pos="9360"/>
            <w:tab w:val="left" w:pos="4256"/>
          </w:tabs>
          <w:rPr>
            <w:noProof/>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E3B0D" w14:textId="77777777" w:rsidR="00764BAC" w:rsidRDefault="00764BAC" w:rsidP="00A2579E">
    <w:pPr>
      <w:pStyle w:val="Footer"/>
      <w:tabs>
        <w:tab w:val="clear" w:pos="4680"/>
        <w:tab w:val="clear" w:pos="9360"/>
        <w:tab w:val="left" w:pos="1674"/>
        <w:tab w:val="left" w:pos="2311"/>
      </w:tabs>
    </w:pPr>
    <w:r>
      <w:tab/>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E3B27" w14:textId="77777777" w:rsidR="00764BAC" w:rsidRPr="00272547" w:rsidRDefault="00764BAC" w:rsidP="00FB3545">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29322F" w14:textId="77777777" w:rsidR="005D5155" w:rsidRDefault="005D5155" w:rsidP="00FB3545">
      <w:r>
        <w:separator/>
      </w:r>
    </w:p>
  </w:footnote>
  <w:footnote w:type="continuationSeparator" w:id="0">
    <w:p w14:paraId="0A83764E" w14:textId="77777777" w:rsidR="005D5155" w:rsidRDefault="005D5155" w:rsidP="00FB3545">
      <w:r>
        <w:continuationSeparator/>
      </w:r>
    </w:p>
  </w:footnote>
  <w:footnote w:type="continuationNotice" w:id="1">
    <w:p w14:paraId="6929D017" w14:textId="77777777" w:rsidR="005D5155" w:rsidRDefault="005D515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70323" w14:textId="77777777" w:rsidR="00894DB7" w:rsidRDefault="00894DB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E3B25" w14:textId="77777777" w:rsidR="00764BAC" w:rsidRDefault="00764BAC" w:rsidP="00FB354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E3B26" w14:textId="77777777" w:rsidR="00764BAC" w:rsidRPr="0063784B" w:rsidRDefault="00764BAC" w:rsidP="00FB354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E3B28" w14:textId="77777777" w:rsidR="00764BAC" w:rsidRDefault="00764BAC" w:rsidP="00FB354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E3B29" w14:textId="756EF36E" w:rsidR="00764BAC" w:rsidRPr="0063784B" w:rsidRDefault="00764BAC" w:rsidP="00FB3545">
    <w:pPr>
      <w:pStyle w:val="Header"/>
    </w:pPr>
    <w:r>
      <w:rPr>
        <w:noProof/>
        <w:lang w:eastAsia="en-AU"/>
      </w:rPr>
      <mc:AlternateContent>
        <mc:Choice Requires="wps">
          <w:drawing>
            <wp:anchor distT="45720" distB="45720" distL="114300" distR="114300" simplePos="0" relativeHeight="251655680" behindDoc="1" locked="0" layoutInCell="1" allowOverlap="1" wp14:anchorId="3C7DB860" wp14:editId="1B061BCF">
              <wp:simplePos x="0" y="0"/>
              <wp:positionH relativeFrom="column">
                <wp:posOffset>4843145</wp:posOffset>
              </wp:positionH>
              <wp:positionV relativeFrom="paragraph">
                <wp:posOffset>133985</wp:posOffset>
              </wp:positionV>
              <wp:extent cx="1587500" cy="1905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90500"/>
                      </a:xfrm>
                      <a:prstGeom prst="rect">
                        <a:avLst/>
                      </a:prstGeom>
                      <a:solidFill>
                        <a:srgbClr val="1F1B4D"/>
                      </a:solidFill>
                      <a:ln w="9525">
                        <a:noFill/>
                        <a:miter lim="800000"/>
                        <a:headEnd/>
                        <a:tailEnd/>
                      </a:ln>
                    </wps:spPr>
                    <wps:txbx>
                      <w:txbxContent>
                        <w:p w14:paraId="665361AB" w14:textId="77777777" w:rsidR="00764BAC" w:rsidRDefault="00764BAC" w:rsidP="003364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DB860" id="_x0000_t202" coordsize="21600,21600" o:spt="202" path="m,l,21600r21600,l21600,xe">
              <v:stroke joinstyle="miter"/>
              <v:path gradientshapeok="t" o:connecttype="rect"/>
            </v:shapetype>
            <v:shape id="_x0000_s1037" type="#_x0000_t202" style="position:absolute;margin-left:381.35pt;margin-top:10.55pt;width:125pt;height:1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" fillcolor="#1f1b4d" stroked="f">
              <v:textbox>
                <w:txbxContent>
                  <w:p w14:paraId="665361AB" w14:textId="77777777" w:rsidR="00764BAC" w:rsidRDefault="00764BAC" w:rsidP="0033649F"/>
                </w:txbxContent>
              </v:textbox>
            </v:shape>
          </w:pict>
        </mc:Fallback>
      </mc:AlternateContent>
    </w:r>
    <w:r>
      <w:rPr>
        <w:noProof/>
        <w:lang w:eastAsia="en-AU"/>
      </w:rPr>
      <w:drawing>
        <wp:anchor distT="0" distB="0" distL="114300" distR="114300" simplePos="0" relativeHeight="251654656" behindDoc="1" locked="0" layoutInCell="1" allowOverlap="1" wp14:anchorId="7A8C1BC7" wp14:editId="5AC5B845">
          <wp:simplePos x="0" y="0"/>
          <wp:positionH relativeFrom="page">
            <wp:posOffset>-4445</wp:posOffset>
          </wp:positionH>
          <wp:positionV relativeFrom="page">
            <wp:posOffset>17780</wp:posOffset>
          </wp:positionV>
          <wp:extent cx="7558767" cy="10692000"/>
          <wp:effectExtent l="0" t="0" r="4445"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A4 Portrait Back Cover 2015.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767"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E3AF4" w14:textId="77777777" w:rsidR="00764BAC" w:rsidRDefault="00764BAC" w:rsidP="00FB3545">
    <w:pPr>
      <w:pStyle w:val="Header"/>
    </w:pPr>
    <w:r>
      <w:rPr>
        <w:noProof/>
        <w:lang w:val="en-AU" w:eastAsia="en-AU"/>
      </w:rPr>
      <w:drawing>
        <wp:anchor distT="0" distB="0" distL="114300" distR="114300" simplePos="0" relativeHeight="251651584" behindDoc="1" locked="0" layoutInCell="1" allowOverlap="1" wp14:anchorId="145E3B2B" wp14:editId="145E3B2C">
          <wp:simplePos x="0" y="0"/>
          <wp:positionH relativeFrom="page">
            <wp:align>right</wp:align>
          </wp:positionH>
          <wp:positionV relativeFrom="paragraph">
            <wp:posOffset>-178435</wp:posOffset>
          </wp:positionV>
          <wp:extent cx="7559163" cy="10692558"/>
          <wp:effectExtent l="0" t="0" r="381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L_Covers_New_A4P_Mgt Plans.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9163" cy="10692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F4BB7" w14:textId="77777777" w:rsidR="00764BAC" w:rsidRDefault="00764BAC" w:rsidP="00F504B2">
    <w:pPr>
      <w:spacing w:after="0"/>
      <w:ind w:left="-284"/>
      <w:rPr>
        <w:rFonts w:ascii="Franklin Gothic Medium" w:hAnsi="Franklin Gothic Medium"/>
        <w:b/>
        <w:color w:val="262262"/>
        <w:spacing w:val="-6"/>
        <w:sz w:val="84"/>
        <w:szCs w:val="96"/>
      </w:rPr>
    </w:pPr>
    <w:r>
      <w:rPr>
        <w:rFonts w:ascii="Franklin Gothic Medium" w:hAnsi="Franklin Gothic Medium"/>
        <w:b/>
        <w:color w:val="262262"/>
        <w:spacing w:val="-6"/>
        <w:sz w:val="84"/>
        <w:szCs w:val="96"/>
      </w:rPr>
      <w:t>Melbourne Metro Rail Project</w:t>
    </w:r>
  </w:p>
  <w:p w14:paraId="6FF87F8C" w14:textId="77777777" w:rsidR="00764BAC" w:rsidRPr="004F7E11" w:rsidRDefault="00764BAC" w:rsidP="00F504B2">
    <w:pPr>
      <w:spacing w:after="0"/>
      <w:ind w:left="-284"/>
      <w:rPr>
        <w:b/>
        <w:color w:val="262262"/>
        <w:sz w:val="14"/>
        <w:szCs w:val="96"/>
      </w:rPr>
    </w:pPr>
  </w:p>
  <w:tbl>
    <w:tblPr>
      <w:tblStyle w:val="TableGrid"/>
      <w:tblW w:w="0" w:type="auto"/>
      <w:tblInd w:w="-142" w:type="dxa"/>
      <w:tblBorders>
        <w:top w:val="none" w:sz="0" w:space="0" w:color="auto"/>
        <w:left w:val="none" w:sz="0" w:space="0" w:color="auto"/>
        <w:bottom w:val="single" w:sz="18" w:space="0" w:color="262262"/>
        <w:right w:val="none" w:sz="0" w:space="0" w:color="auto"/>
        <w:insideH w:val="none" w:sz="0" w:space="0" w:color="auto"/>
        <w:insideV w:val="none" w:sz="0" w:space="0" w:color="auto"/>
      </w:tblBorders>
      <w:tblLook w:val="04A0" w:firstRow="1" w:lastRow="0" w:firstColumn="1" w:lastColumn="0" w:noHBand="0" w:noVBand="1"/>
    </w:tblPr>
    <w:tblGrid>
      <w:gridCol w:w="709"/>
    </w:tblGrid>
    <w:tr w:rsidR="00764BAC" w14:paraId="2162EAC1" w14:textId="77777777" w:rsidTr="00CE26C2">
      <w:trPr>
        <w:trHeight w:val="53"/>
      </w:trPr>
      <w:tc>
        <w:tcPr>
          <w:tcW w:w="709" w:type="dxa"/>
        </w:tcPr>
        <w:p w14:paraId="2B42166C" w14:textId="77777777" w:rsidR="00764BAC" w:rsidRPr="004F7E11" w:rsidRDefault="00764BAC" w:rsidP="00F504B2">
          <w:pPr>
            <w:ind w:left="-284"/>
            <w:rPr>
              <w:sz w:val="4"/>
            </w:rPr>
          </w:pPr>
        </w:p>
      </w:tc>
    </w:tr>
  </w:tbl>
  <w:p w14:paraId="6AD4A675" w14:textId="77777777" w:rsidR="00764BAC" w:rsidRDefault="00764BAC" w:rsidP="00F504B2">
    <w:pPr>
      <w:spacing w:after="0"/>
      <w:ind w:left="-284"/>
    </w:pPr>
  </w:p>
  <w:p w14:paraId="4B9D1F50" w14:textId="77777777" w:rsidR="00764BAC" w:rsidRDefault="00764BAC" w:rsidP="0030735F"/>
  <w:p w14:paraId="7B02C71E" w14:textId="77777777" w:rsidR="00764BAC" w:rsidRPr="004A219D" w:rsidRDefault="00764BAC" w:rsidP="00F504B2">
    <w:pPr>
      <w:spacing w:after="0"/>
      <w:ind w:left="-284"/>
      <w:rPr>
        <w:sz w:val="20"/>
      </w:rPr>
    </w:pPr>
    <w:r w:rsidRPr="004F7E11">
      <w:rPr>
        <w:rFonts w:ascii="Franklin Gothic Medium" w:hAnsi="Franklin Gothic Medium"/>
        <w:b/>
        <w:noProof/>
        <w:color w:val="262262"/>
        <w:spacing w:val="-6"/>
        <w:sz w:val="84"/>
        <w:szCs w:val="96"/>
        <w:lang w:val="en-AU" w:eastAsia="en-AU"/>
      </w:rPr>
      <w:drawing>
        <wp:anchor distT="0" distB="0" distL="114300" distR="114300" simplePos="0" relativeHeight="251652608" behindDoc="1" locked="0" layoutInCell="1" allowOverlap="1" wp14:anchorId="349DCA67" wp14:editId="246A98AD">
          <wp:simplePos x="0" y="0"/>
          <wp:positionH relativeFrom="page">
            <wp:posOffset>31897</wp:posOffset>
          </wp:positionH>
          <wp:positionV relativeFrom="paragraph">
            <wp:posOffset>370604</wp:posOffset>
          </wp:positionV>
          <wp:extent cx="7565390" cy="758952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A4 Portrait Front Cover 2015.11.png"/>
                  <pic:cNvPicPr/>
                </pic:nvPicPr>
                <pic:blipFill rotWithShape="1">
                  <a:blip r:embed="rId1" cstate="print">
                    <a:extLst>
                      <a:ext uri="{28A0092B-C50C-407E-A947-70E740481C1C}">
                        <a14:useLocalDpi xmlns:a14="http://schemas.microsoft.com/office/drawing/2010/main" val="0"/>
                      </a:ext>
                    </a:extLst>
                  </a:blip>
                  <a:srcRect t="29078"/>
                  <a:stretch/>
                </pic:blipFill>
                <pic:spPr bwMode="auto">
                  <a:xfrm>
                    <a:off x="0" y="0"/>
                    <a:ext cx="756539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Bold" w:hAnsi="Arial Bold"/>
        <w:b/>
        <w:color w:val="262262"/>
        <w:sz w:val="30"/>
        <w:szCs w:val="96"/>
      </w:rPr>
      <w:t>PREPARED FOR RAIL PROJECTS VICTORIA</w:t>
    </w:r>
  </w:p>
  <w:p w14:paraId="145E3AF5" w14:textId="26CC631C" w:rsidR="00764BAC" w:rsidRDefault="00764BAC" w:rsidP="00FB35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E3B00" w14:textId="77777777" w:rsidR="00764BAC" w:rsidRDefault="00764BAC" w:rsidP="00FB3545">
    <w:pPr>
      <w:pStyle w:val="Header"/>
    </w:pPr>
    <w:r>
      <w:rPr>
        <w:noProof/>
        <w:lang w:val="en-AU" w:eastAsia="en-AU"/>
      </w:rPr>
      <mc:AlternateContent>
        <mc:Choice Requires="wps">
          <w:drawing>
            <wp:anchor distT="0" distB="0" distL="114300" distR="114300" simplePos="0" relativeHeight="251650560" behindDoc="1" locked="0" layoutInCell="0" allowOverlap="1" wp14:anchorId="145E3B32" wp14:editId="145E3B33">
              <wp:simplePos x="0" y="0"/>
              <wp:positionH relativeFrom="margin">
                <wp:align>center</wp:align>
              </wp:positionH>
              <wp:positionV relativeFrom="margin">
                <wp:align>center</wp:align>
              </wp:positionV>
              <wp:extent cx="5800725" cy="2320290"/>
              <wp:effectExtent l="0" t="1571625" r="0" b="1270635"/>
              <wp:wrapNone/>
              <wp:docPr id="228" name="WordArt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5E3B60" w14:textId="77777777" w:rsidR="00764BAC" w:rsidRDefault="00764BAC"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5E3B32" id="_x0000_t202" coordsize="21600,21600" o:spt="202" path="m,l,21600r21600,l21600,xe">
              <v:stroke joinstyle="miter"/>
              <v:path gradientshapeok="t" o:connecttype="rect"/>
            </v:shapetype>
            <v:shape id="WordArt 124" o:spid="_x0000_s1027" type="#_x0000_t202" style="position:absolute;margin-left:0;margin-top:0;width:456.75pt;height:182.7pt;rotation:-45;z-index:-251665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" o:allowincell="f" filled="f" stroked="f">
              <v:stroke joinstyle="round"/>
              <o:lock v:ext="edit" shapetype="t"/>
              <v:textbox style="mso-fit-shape-to-text:t">
                <w:txbxContent>
                  <w:p w14:paraId="145E3B60" w14:textId="77777777" w:rsidR="00764BAC" w:rsidRDefault="00764BAC" w:rsidP="00FB3545">
                    <w:pPr>
                      <w:pStyle w:val="NormalWeb"/>
                    </w:pPr>
                    <w: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E3B01" w14:textId="3E5953B0" w:rsidR="00764BAC" w:rsidRPr="0063784B" w:rsidRDefault="00764BAC" w:rsidP="00FB3545">
    <w:pPr>
      <w:pStyle w:val="Header"/>
    </w:pPr>
    <w:r>
      <w:rPr>
        <w:noProof/>
        <w:lang w:val="en-AU" w:eastAsia="en-AU"/>
      </w:rPr>
      <w:drawing>
        <wp:anchor distT="0" distB="0" distL="114300" distR="114300" simplePos="0" relativeHeight="251648512" behindDoc="1" locked="0" layoutInCell="1" allowOverlap="1" wp14:anchorId="145E3B34" wp14:editId="145E3B35">
          <wp:simplePos x="0" y="0"/>
          <wp:positionH relativeFrom="column">
            <wp:posOffset>-913765</wp:posOffset>
          </wp:positionH>
          <wp:positionV relativeFrom="paragraph">
            <wp:posOffset>10448925</wp:posOffset>
          </wp:positionV>
          <wp:extent cx="7563485" cy="10699750"/>
          <wp:effectExtent l="0" t="0" r="0" b="6350"/>
          <wp:wrapNone/>
          <wp:docPr id="59" name="Picture 59" descr="\\cs.au.aurecongroup.com\DavWWWRoot\csdav\nodes\135711578\5. Templates\Branding\MRL_Divider_A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au.aurecongroup.com\DavWWWRoot\csdav\nodes\135711578\5. Templates\Branding\MRL_Divider_A4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3485" cy="1069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E3B02" w14:textId="77777777" w:rsidR="00764BAC" w:rsidRDefault="00764BAC" w:rsidP="00FB3545">
    <w:pPr>
      <w:pStyle w:val="Header"/>
    </w:pPr>
    <w:r>
      <w:rPr>
        <w:noProof/>
        <w:lang w:val="en-AU" w:eastAsia="en-AU"/>
      </w:rPr>
      <mc:AlternateContent>
        <mc:Choice Requires="wps">
          <w:drawing>
            <wp:anchor distT="0" distB="0" distL="114300" distR="114300" simplePos="0" relativeHeight="251649536" behindDoc="1" locked="0" layoutInCell="0" allowOverlap="1" wp14:anchorId="145E3B36" wp14:editId="145E3B37">
              <wp:simplePos x="0" y="0"/>
              <wp:positionH relativeFrom="margin">
                <wp:align>center</wp:align>
              </wp:positionH>
              <wp:positionV relativeFrom="margin">
                <wp:align>center</wp:align>
              </wp:positionV>
              <wp:extent cx="5800725" cy="2320290"/>
              <wp:effectExtent l="0" t="1571625" r="0" b="1270635"/>
              <wp:wrapNone/>
              <wp:docPr id="30" name="WordArt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5E3B61" w14:textId="77777777" w:rsidR="00764BAC" w:rsidRDefault="00764BAC"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5E3B36" id="_x0000_t202" coordsize="21600,21600" o:spt="202" path="m,l,21600r21600,l21600,xe">
              <v:stroke joinstyle="miter"/>
              <v:path gradientshapeok="t" o:connecttype="rect"/>
            </v:shapetype>
            <v:shape id="WordArt 123" o:spid="_x0000_s1028" type="#_x0000_t202" style="position:absolute;margin-left:0;margin-top:0;width:456.75pt;height:182.7pt;rotation:-45;z-index:-251666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" o:allowincell="f" filled="f" stroked="f">
              <v:stroke joinstyle="round"/>
              <o:lock v:ext="edit" shapetype="t"/>
              <v:textbox style="mso-fit-shape-to-text:t">
                <w:txbxContent>
                  <w:p w14:paraId="145E3B61" w14:textId="77777777" w:rsidR="00764BAC" w:rsidRDefault="00764BAC" w:rsidP="00FB3545">
                    <w:pPr>
                      <w:pStyle w:val="NormalWeb"/>
                    </w:pPr>
                    <w: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E3B0A" w14:textId="77777777" w:rsidR="00764BAC" w:rsidRDefault="00764BAC" w:rsidP="00FB3545">
    <w:pPr>
      <w:pStyle w:val="Header"/>
    </w:pPr>
    <w:r>
      <w:rPr>
        <w:noProof/>
        <w:lang w:val="en-AU" w:eastAsia="en-AU"/>
      </w:rPr>
      <mc:AlternateContent>
        <mc:Choice Requires="wps">
          <w:drawing>
            <wp:anchor distT="0" distB="0" distL="114300" distR="114300" simplePos="0" relativeHeight="251656704" behindDoc="0" locked="0" layoutInCell="0" allowOverlap="1" wp14:anchorId="145E3B3C" wp14:editId="145E3B3D">
              <wp:simplePos x="0" y="0"/>
              <wp:positionH relativeFrom="page">
                <wp:align>center</wp:align>
              </wp:positionH>
              <wp:positionV relativeFrom="page">
                <wp:align>center</wp:align>
              </wp:positionV>
              <wp:extent cx="5770880" cy="2198370"/>
              <wp:effectExtent l="0" t="1724025" r="0" b="1725930"/>
              <wp:wrapNone/>
              <wp:docPr id="28" name="WordArt 5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5770880" cy="21983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45E3B62" w14:textId="77777777" w:rsidR="00764BAC" w:rsidRDefault="00764BAC"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5E3B3C" id="_x0000_t202" coordsize="21600,21600" o:spt="202" path="m,l,21600r21600,l21600,xe">
              <v:stroke joinstyle="miter"/>
              <v:path gradientshapeok="t" o:connecttype="rect"/>
            </v:shapetype>
            <v:shape id="WordArt 531" o:spid="_x0000_s1029" type="#_x0000_t202" style="position:absolute;margin-left:0;margin-top:0;width:454.4pt;height:173.1pt;rotation:-45;z-index:2516567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" o:allowincell="f" filled="f" stroked="f">
              <v:stroke joinstyle="round"/>
              <o:lock v:ext="edit" aspectratio="t" shapetype="t"/>
              <v:textbox style="mso-fit-shape-to-text:t">
                <w:txbxContent>
                  <w:p w14:paraId="145E3B62" w14:textId="77777777" w:rsidR="00764BAC" w:rsidRDefault="00764BAC" w:rsidP="00FB3545">
                    <w:pPr>
                      <w:pStyle w:val="NormalWeb"/>
                    </w:pPr>
                    <w:r>
                      <w:t>DRAFT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7728" behindDoc="0" locked="0" layoutInCell="0" allowOverlap="1" wp14:anchorId="145E3B3E" wp14:editId="145E3B3F">
              <wp:simplePos x="0" y="0"/>
              <wp:positionH relativeFrom="page">
                <wp:align>center</wp:align>
              </wp:positionH>
              <wp:positionV relativeFrom="page">
                <wp:align>center</wp:align>
              </wp:positionV>
              <wp:extent cx="5770880" cy="2198370"/>
              <wp:effectExtent l="0" t="1724025" r="0" b="1725930"/>
              <wp:wrapNone/>
              <wp:docPr id="26" name="WordArt 5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5770880" cy="21983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45E3B63" w14:textId="77777777" w:rsidR="00764BAC" w:rsidRDefault="00764BAC"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5E3B3E" id="WordArt 529" o:spid="_x0000_s1030" type="#_x0000_t202" style="position:absolute;margin-left:0;margin-top:0;width:454.4pt;height:173.1pt;rotation:-45;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" o:allowincell="f" filled="f" stroked="f">
              <v:stroke joinstyle="round"/>
              <o:lock v:ext="edit" aspectratio="t" shapetype="t"/>
              <v:textbox style="mso-fit-shape-to-text:t">
                <w:txbxContent>
                  <w:p w14:paraId="145E3B63" w14:textId="77777777" w:rsidR="00764BAC" w:rsidRDefault="00764BAC" w:rsidP="00FB3545">
                    <w:pPr>
                      <w:pStyle w:val="NormalWeb"/>
                    </w:pPr>
                    <w:r>
                      <w:t>DRAFT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752" behindDoc="0" locked="0" layoutInCell="0" allowOverlap="1" wp14:anchorId="145E3B40" wp14:editId="145E3B41">
              <wp:simplePos x="0" y="0"/>
              <wp:positionH relativeFrom="page">
                <wp:align>center</wp:align>
              </wp:positionH>
              <wp:positionV relativeFrom="page">
                <wp:align>center</wp:align>
              </wp:positionV>
              <wp:extent cx="5770880" cy="2198370"/>
              <wp:effectExtent l="0" t="1724025" r="0" b="1725930"/>
              <wp:wrapNone/>
              <wp:docPr id="21" name="WordArt 5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5770880" cy="21983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45E3B64" w14:textId="77777777" w:rsidR="00764BAC" w:rsidRDefault="00764BAC"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5E3B40" id="WordArt 527" o:spid="_x0000_s1031" type="#_x0000_t202" style="position:absolute;margin-left:0;margin-top:0;width:454.4pt;height:173.1pt;rotation:-45;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" o:allowincell="f" filled="f" stroked="f">
              <v:stroke joinstyle="round"/>
              <o:lock v:ext="edit" aspectratio="t" shapetype="t"/>
              <v:textbox style="mso-fit-shape-to-text:t">
                <w:txbxContent>
                  <w:p w14:paraId="145E3B64" w14:textId="77777777" w:rsidR="00764BAC" w:rsidRDefault="00764BAC" w:rsidP="00FB3545">
                    <w:pPr>
                      <w:pStyle w:val="NormalWeb"/>
                    </w:pPr>
                    <w:r>
                      <w:t>DRAFT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9776" behindDoc="1" locked="0" layoutInCell="0" allowOverlap="1" wp14:anchorId="145E3B42" wp14:editId="145E3B43">
              <wp:simplePos x="0" y="0"/>
              <wp:positionH relativeFrom="margin">
                <wp:align>center</wp:align>
              </wp:positionH>
              <wp:positionV relativeFrom="margin">
                <wp:align>center</wp:align>
              </wp:positionV>
              <wp:extent cx="5800725" cy="2320290"/>
              <wp:effectExtent l="0" t="1571625" r="0" b="1270635"/>
              <wp:wrapNone/>
              <wp:docPr id="20" name="WordArt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5E3B65" w14:textId="77777777" w:rsidR="00764BAC" w:rsidRDefault="00764BAC"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5E3B42" id="WordArt 525" o:spid="_x0000_s1032" type="#_x0000_t202" style="position:absolute;margin-left:0;margin-top:0;width:456.75pt;height:182.7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" o:allowincell="f" filled="f" stroked="f">
              <v:stroke joinstyle="round"/>
              <o:lock v:ext="edit" shapetype="t"/>
              <v:textbox style="mso-fit-shape-to-text:t">
                <w:txbxContent>
                  <w:p w14:paraId="145E3B65" w14:textId="77777777" w:rsidR="00764BAC" w:rsidRDefault="00764BAC" w:rsidP="00FB3545">
                    <w:pPr>
                      <w:pStyle w:val="NormalWeb"/>
                    </w:pPr>
                    <w: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E3B0B" w14:textId="6218206E" w:rsidR="00764BAC" w:rsidRPr="0063784B" w:rsidRDefault="00764BAC" w:rsidP="00FB3545">
    <w:pPr>
      <w:pStyle w:val="Header"/>
    </w:pPr>
    <w:r>
      <w:rPr>
        <w:noProof/>
        <w:lang w:val="en-AU" w:eastAsia="en-AU"/>
      </w:rPr>
      <w:drawing>
        <wp:anchor distT="0" distB="0" distL="114300" distR="114300" simplePos="0" relativeHeight="251660800" behindDoc="1" locked="0" layoutInCell="1" allowOverlap="1" wp14:anchorId="145E3B44" wp14:editId="145E3B45">
          <wp:simplePos x="0" y="0"/>
          <wp:positionH relativeFrom="column">
            <wp:posOffset>-913765</wp:posOffset>
          </wp:positionH>
          <wp:positionV relativeFrom="paragraph">
            <wp:posOffset>10448925</wp:posOffset>
          </wp:positionV>
          <wp:extent cx="7563485" cy="10699750"/>
          <wp:effectExtent l="0" t="0" r="0" b="6350"/>
          <wp:wrapNone/>
          <wp:docPr id="62" name="Picture 62" descr="\\cs.au.aurecongroup.com\DavWWWRoot\csdav\nodes\135711578\5. Templates\Branding\MRL_Divider_A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au.aurecongroup.com\DavWWWRoot\csdav\nodes\135711578\5. Templates\Branding\MRL_Divider_A4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3485" cy="1069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E3B0C" w14:textId="77777777" w:rsidR="00764BAC" w:rsidRDefault="00764BAC" w:rsidP="00FB3545">
    <w:pPr>
      <w:pStyle w:val="Header"/>
    </w:pPr>
    <w:r>
      <w:rPr>
        <w:noProof/>
        <w:lang w:val="en-AU" w:eastAsia="en-AU"/>
      </w:rPr>
      <mc:AlternateContent>
        <mc:Choice Requires="wps">
          <w:drawing>
            <wp:anchor distT="0" distB="0" distL="114300" distR="114300" simplePos="0" relativeHeight="251661824" behindDoc="0" locked="0" layoutInCell="0" allowOverlap="1" wp14:anchorId="145E3B46" wp14:editId="145E3B47">
              <wp:simplePos x="0" y="0"/>
              <wp:positionH relativeFrom="page">
                <wp:align>center</wp:align>
              </wp:positionH>
              <wp:positionV relativeFrom="page">
                <wp:align>center</wp:align>
              </wp:positionV>
              <wp:extent cx="5770880" cy="2198370"/>
              <wp:effectExtent l="0" t="1724025" r="0" b="1725930"/>
              <wp:wrapNone/>
              <wp:docPr id="16" name="WordArt 5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5770880" cy="21983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45E3B66" w14:textId="77777777" w:rsidR="00764BAC" w:rsidRDefault="00764BAC"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5E3B46" id="_x0000_t202" coordsize="21600,21600" o:spt="202" path="m,l,21600r21600,l21600,xe">
              <v:stroke joinstyle="miter"/>
              <v:path gradientshapeok="t" o:connecttype="rect"/>
            </v:shapetype>
            <v:shape id="WordArt 530" o:spid="_x0000_s1033" type="#_x0000_t202" style="position:absolute;margin-left:0;margin-top:0;width:454.4pt;height:173.1pt;rotation:-45;z-index:2516618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" o:allowincell="f" filled="f" stroked="f">
              <v:stroke joinstyle="round"/>
              <o:lock v:ext="edit" aspectratio="t" shapetype="t"/>
              <v:textbox style="mso-fit-shape-to-text:t">
                <w:txbxContent>
                  <w:p w14:paraId="145E3B66" w14:textId="77777777" w:rsidR="00764BAC" w:rsidRDefault="00764BAC" w:rsidP="00FB3545">
                    <w:pPr>
                      <w:pStyle w:val="NormalWeb"/>
                    </w:pPr>
                    <w:r>
                      <w:t>DRAFT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62848" behindDoc="0" locked="0" layoutInCell="0" allowOverlap="1" wp14:anchorId="145E3B48" wp14:editId="145E3B49">
              <wp:simplePos x="0" y="0"/>
              <wp:positionH relativeFrom="page">
                <wp:align>center</wp:align>
              </wp:positionH>
              <wp:positionV relativeFrom="page">
                <wp:align>center</wp:align>
              </wp:positionV>
              <wp:extent cx="5770880" cy="2198370"/>
              <wp:effectExtent l="0" t="1724025" r="0" b="1725930"/>
              <wp:wrapNone/>
              <wp:docPr id="13" name="WordArt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5770880" cy="21983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45E3B67" w14:textId="77777777" w:rsidR="00764BAC" w:rsidRDefault="00764BAC"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5E3B48" id="WordArt 528" o:spid="_x0000_s1034" type="#_x0000_t202" style="position:absolute;margin-left:0;margin-top:0;width:454.4pt;height:173.1pt;rotation:-45;z-index:2516628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" o:allowincell="f" filled="f" stroked="f">
              <v:stroke joinstyle="round"/>
              <o:lock v:ext="edit" aspectratio="t" shapetype="t"/>
              <v:textbox style="mso-fit-shape-to-text:t">
                <w:txbxContent>
                  <w:p w14:paraId="145E3B67" w14:textId="77777777" w:rsidR="00764BAC" w:rsidRDefault="00764BAC" w:rsidP="00FB3545">
                    <w:pPr>
                      <w:pStyle w:val="NormalWeb"/>
                    </w:pPr>
                    <w:r>
                      <w:t>DRAFT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63872" behindDoc="0" locked="0" layoutInCell="0" allowOverlap="1" wp14:anchorId="145E3B4A" wp14:editId="145E3B4B">
              <wp:simplePos x="0" y="0"/>
              <wp:positionH relativeFrom="page">
                <wp:align>center</wp:align>
              </wp:positionH>
              <wp:positionV relativeFrom="page">
                <wp:align>center</wp:align>
              </wp:positionV>
              <wp:extent cx="5770880" cy="2198370"/>
              <wp:effectExtent l="0" t="1724025" r="0" b="1725930"/>
              <wp:wrapNone/>
              <wp:docPr id="12" name="WordArt 5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5770880" cy="21983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45E3B68" w14:textId="77777777" w:rsidR="00764BAC" w:rsidRDefault="00764BAC"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5E3B4A" id="WordArt 526" o:spid="_x0000_s1035" type="#_x0000_t202" style="position:absolute;margin-left:0;margin-top:0;width:454.4pt;height:173.1pt;rotation:-45;z-index:2516638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" o:allowincell="f" filled="f" stroked="f">
              <v:stroke joinstyle="round"/>
              <o:lock v:ext="edit" aspectratio="t" shapetype="t"/>
              <v:textbox style="mso-fit-shape-to-text:t">
                <w:txbxContent>
                  <w:p w14:paraId="145E3B68" w14:textId="77777777" w:rsidR="00764BAC" w:rsidRDefault="00764BAC" w:rsidP="00FB3545">
                    <w:pPr>
                      <w:pStyle w:val="NormalWeb"/>
                    </w:pPr>
                    <w:r>
                      <w:t>DRAFT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64896" behindDoc="1" locked="0" layoutInCell="0" allowOverlap="1" wp14:anchorId="145E3B4C" wp14:editId="145E3B4D">
              <wp:simplePos x="0" y="0"/>
              <wp:positionH relativeFrom="margin">
                <wp:align>center</wp:align>
              </wp:positionH>
              <wp:positionV relativeFrom="margin">
                <wp:align>center</wp:align>
              </wp:positionV>
              <wp:extent cx="5800725" cy="2320290"/>
              <wp:effectExtent l="0" t="1571625" r="0" b="1270635"/>
              <wp:wrapNone/>
              <wp:docPr id="9" name="WordArt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5E3B69" w14:textId="77777777" w:rsidR="00764BAC" w:rsidRDefault="00764BAC"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5E3B4C" id="WordArt 524" o:spid="_x0000_s1036" type="#_x0000_t202" style="position:absolute;margin-left:0;margin-top:0;width:456.75pt;height:182.7pt;rotation:-45;z-index:-251651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" o:allowincell="f" filled="f" stroked="f">
              <v:stroke joinstyle="round"/>
              <o:lock v:ext="edit" shapetype="t"/>
              <v:textbox style="mso-fit-shape-to-text:t">
                <w:txbxContent>
                  <w:p w14:paraId="145E3B69" w14:textId="77777777" w:rsidR="00764BAC" w:rsidRDefault="00764BAC" w:rsidP="00FB3545">
                    <w:pPr>
                      <w:pStyle w:val="NormalWeb"/>
                    </w:pPr>
                    <w: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216592B"/>
    <w:multiLevelType w:val="hybridMultilevel"/>
    <w:tmpl w:val="F236474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156BD1D"/>
    <w:multiLevelType w:val="hybridMultilevel"/>
    <w:tmpl w:val="8015D1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F"/>
    <w:multiLevelType w:val="singleLevel"/>
    <w:tmpl w:val="83EA4284"/>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singleLevel"/>
    <w:tmpl w:val="1A08F45A"/>
    <w:lvl w:ilvl="0">
      <w:start w:val="1"/>
      <w:numFmt w:val="decimal"/>
      <w:pStyle w:val="ListNumber"/>
      <w:lvlText w:val="%1."/>
      <w:lvlJc w:val="left"/>
      <w:pPr>
        <w:tabs>
          <w:tab w:val="num" w:pos="360"/>
        </w:tabs>
        <w:ind w:left="360" w:hanging="360"/>
      </w:pPr>
    </w:lvl>
  </w:abstractNum>
  <w:abstractNum w:abstractNumId="4" w15:restartNumberingAfterBreak="0">
    <w:nsid w:val="00486B6D"/>
    <w:multiLevelType w:val="hybridMultilevel"/>
    <w:tmpl w:val="00946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216006"/>
    <w:multiLevelType w:val="hybridMultilevel"/>
    <w:tmpl w:val="12407D7C"/>
    <w:lvl w:ilvl="0" w:tplc="510CBD92">
      <w:start w:val="1"/>
      <w:numFmt w:val="bullet"/>
      <w:lvlText w:val=""/>
      <w:lvlJc w:val="left"/>
      <w:pPr>
        <w:ind w:left="360" w:hanging="360"/>
      </w:pPr>
      <w:rPr>
        <w:rFonts w:ascii="Symbol" w:hAnsi="Symbol" w:hint="default"/>
        <w:color w:val="000000"/>
        <w:sz w:val="1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6C0317"/>
    <w:multiLevelType w:val="hybridMultilevel"/>
    <w:tmpl w:val="7EB6A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866A76"/>
    <w:multiLevelType w:val="hybridMultilevel"/>
    <w:tmpl w:val="17568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1D060E"/>
    <w:multiLevelType w:val="multilevel"/>
    <w:tmpl w:val="5E8228DE"/>
    <w:styleLink w:val="AureconNumberList"/>
    <w:lvl w:ilvl="0">
      <w:start w:val="1"/>
      <w:numFmt w:val="lowerLetter"/>
      <w:lvlText w:val="%1)"/>
      <w:lvlJc w:val="left"/>
      <w:pPr>
        <w:tabs>
          <w:tab w:val="num" w:pos="284"/>
        </w:tabs>
        <w:ind w:left="284" w:hanging="284"/>
      </w:pPr>
      <w:rPr>
        <w:rFonts w:asciiTheme="minorHAnsi" w:hAnsiTheme="minorHAnsi" w:hint="default"/>
        <w:sz w:val="20"/>
      </w:rPr>
    </w:lvl>
    <w:lvl w:ilvl="1">
      <w:start w:val="1"/>
      <w:numFmt w:val="lowerRoman"/>
      <w:lvlText w:val="%2)"/>
      <w:lvlJc w:val="left"/>
      <w:pPr>
        <w:tabs>
          <w:tab w:val="num" w:pos="567"/>
        </w:tabs>
        <w:ind w:left="568" w:hanging="284"/>
      </w:pPr>
      <w:rPr>
        <w:rFonts w:hint="default"/>
      </w:rPr>
    </w:lvl>
    <w:lvl w:ilvl="2">
      <w:start w:val="1"/>
      <w:numFmt w:val="none"/>
      <w:lvlText w:val=""/>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9" w15:restartNumberingAfterBreak="0">
    <w:nsid w:val="13E56BFF"/>
    <w:multiLevelType w:val="hybridMultilevel"/>
    <w:tmpl w:val="D6983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19286E"/>
    <w:multiLevelType w:val="multilevel"/>
    <w:tmpl w:val="B9B62150"/>
    <w:styleLink w:val="AureconHeadings"/>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134"/>
        </w:tabs>
        <w:ind w:left="1134" w:hanging="1134"/>
      </w:pPr>
      <w:rPr>
        <w:rFonts w:hint="default"/>
      </w:rPr>
    </w:lvl>
    <w:lvl w:ilvl="5">
      <w:start w:val="1"/>
      <w:numFmt w:val="none"/>
      <w:lvlText w:val=""/>
      <w:lvlJc w:val="left"/>
      <w:pPr>
        <w:ind w:left="1134" w:hanging="1134"/>
      </w:pPr>
      <w:rPr>
        <w:rFonts w:hint="default"/>
      </w:rPr>
    </w:lvl>
    <w:lvl w:ilvl="6">
      <w:start w:val="1"/>
      <w:numFmt w:val="none"/>
      <w:lvlRestart w:val="0"/>
      <w:suff w:val="nothing"/>
      <w:lvlText w:val=""/>
      <w:lvlJc w:val="left"/>
      <w:pPr>
        <w:ind w:left="1134" w:hanging="1134"/>
      </w:pPr>
      <w:rPr>
        <w:rFonts w:hint="default"/>
        <w:b w:val="0"/>
        <w:i w:val="0"/>
        <w:iCs w:val="0"/>
        <w:caps w:val="0"/>
        <w:smallCaps w:val="0"/>
        <w:strike w:val="0"/>
        <w:dstrike w:val="0"/>
        <w:noProof w:val="0"/>
        <w:vanish w:val="0"/>
        <w:color w:val="00000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1" w15:restartNumberingAfterBreak="0">
    <w:nsid w:val="152A1012"/>
    <w:multiLevelType w:val="hybridMultilevel"/>
    <w:tmpl w:val="7602CAD6"/>
    <w:lvl w:ilvl="0" w:tplc="6128C710">
      <w:start w:val="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90E656F"/>
    <w:multiLevelType w:val="hybridMultilevel"/>
    <w:tmpl w:val="375A0960"/>
    <w:lvl w:ilvl="0" w:tplc="510CBD92">
      <w:start w:val="1"/>
      <w:numFmt w:val="bullet"/>
      <w:lvlText w:val=""/>
      <w:lvlJc w:val="left"/>
      <w:pPr>
        <w:ind w:left="360" w:hanging="360"/>
      </w:pPr>
      <w:rPr>
        <w:rFonts w:ascii="Symbol" w:hAnsi="Symbol" w:hint="default"/>
        <w:color w:val="000000"/>
        <w:sz w:val="1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B2EBA35"/>
    <w:multiLevelType w:val="hybridMultilevel"/>
    <w:tmpl w:val="5BE95D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05F169E"/>
    <w:multiLevelType w:val="hybridMultilevel"/>
    <w:tmpl w:val="E2B83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0F6443"/>
    <w:multiLevelType w:val="hybridMultilevel"/>
    <w:tmpl w:val="592EB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E61EC3"/>
    <w:multiLevelType w:val="hybridMultilevel"/>
    <w:tmpl w:val="40BCFAFA"/>
    <w:lvl w:ilvl="0" w:tplc="D1D207CC">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C4677E"/>
    <w:multiLevelType w:val="hybridMultilevel"/>
    <w:tmpl w:val="54140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1EA38B"/>
    <w:multiLevelType w:val="hybridMultilevel"/>
    <w:tmpl w:val="93D1289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12401A0"/>
    <w:multiLevelType w:val="hybridMultilevel"/>
    <w:tmpl w:val="2E84C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F25644"/>
    <w:multiLevelType w:val="multilevel"/>
    <w:tmpl w:val="51EEA446"/>
    <w:styleLink w:val="AureconBullets"/>
    <w:lvl w:ilvl="0">
      <w:start w:val="1"/>
      <w:numFmt w:val="bullet"/>
      <w:lvlText w:val=""/>
      <w:lvlJc w:val="left"/>
      <w:pPr>
        <w:ind w:left="360" w:hanging="360"/>
      </w:pPr>
      <w:rPr>
        <w:rFonts w:ascii="Symbol" w:hAnsi="Symbol" w:hint="default"/>
        <w:color w:val="141B51" w:themeColor="text2"/>
        <w:position w:val="-3"/>
        <w:sz w:val="20"/>
      </w:rPr>
    </w:lvl>
    <w:lvl w:ilvl="1">
      <w:start w:val="1"/>
      <w:numFmt w:val="bullet"/>
      <w:lvlText w:val=""/>
      <w:lvlJc w:val="left"/>
      <w:pPr>
        <w:ind w:left="454" w:hanging="227"/>
      </w:pPr>
      <w:rPr>
        <w:rFonts w:ascii="Symbol" w:hAnsi="Symbol" w:hint="default"/>
        <w:color w:val="C00000" w:themeColor="accent2"/>
      </w:rPr>
    </w:lvl>
    <w:lvl w:ilvl="2">
      <w:start w:val="1"/>
      <w:numFmt w:val="bullet"/>
      <w:lvlText w:val=""/>
      <w:lvlJc w:val="left"/>
      <w:pPr>
        <w:ind w:left="681" w:hanging="227"/>
      </w:pPr>
      <w:rPr>
        <w:rFonts w:ascii="Wingdings" w:hAnsi="Wingdings" w:hint="default"/>
        <w:color w:val="969D91"/>
        <w:position w:val="-3"/>
        <w:sz w:val="28"/>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21" w15:restartNumberingAfterBreak="0">
    <w:nsid w:val="40C16372"/>
    <w:multiLevelType w:val="multilevel"/>
    <w:tmpl w:val="06FAE2AC"/>
    <w:lvl w:ilvl="0">
      <w:start w:val="1"/>
      <w:numFmt w:val="bullet"/>
      <w:lvlText w:val=""/>
      <w:lvlJc w:val="left"/>
      <w:pPr>
        <w:ind w:left="360" w:hanging="360"/>
      </w:pPr>
      <w:rPr>
        <w:rFonts w:ascii="Symbol" w:hAnsi="Symbol" w:hint="default"/>
        <w:color w:val="141B51" w:themeColor="text2"/>
        <w:position w:val="-3"/>
        <w:sz w:val="20"/>
      </w:rPr>
    </w:lvl>
    <w:lvl w:ilvl="1">
      <w:start w:val="1"/>
      <w:numFmt w:val="bullet"/>
      <w:pStyle w:val="Bullet2"/>
      <w:lvlText w:val="»"/>
      <w:lvlJc w:val="left"/>
      <w:pPr>
        <w:ind w:left="454" w:hanging="227"/>
      </w:pPr>
      <w:rPr>
        <w:rFonts w:ascii="Arial" w:hAnsi="Arial" w:hint="default"/>
        <w:color w:val="141B51" w:themeColor="text2"/>
      </w:rPr>
    </w:lvl>
    <w:lvl w:ilvl="2">
      <w:start w:val="1"/>
      <w:numFmt w:val="bullet"/>
      <w:lvlText w:val=""/>
      <w:lvlJc w:val="left"/>
      <w:pPr>
        <w:ind w:left="681" w:hanging="227"/>
      </w:pPr>
      <w:rPr>
        <w:rFonts w:ascii="Wingdings" w:hAnsi="Wingdings" w:hint="default"/>
        <w:color w:val="969D91"/>
        <w:position w:val="-3"/>
        <w:sz w:val="28"/>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22" w15:restartNumberingAfterBreak="0">
    <w:nsid w:val="41773688"/>
    <w:multiLevelType w:val="hybridMultilevel"/>
    <w:tmpl w:val="6E22A8B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90800DE"/>
    <w:multiLevelType w:val="hybridMultilevel"/>
    <w:tmpl w:val="DDCA3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886F78"/>
    <w:multiLevelType w:val="hybridMultilevel"/>
    <w:tmpl w:val="3594E040"/>
    <w:lvl w:ilvl="0" w:tplc="6128C710">
      <w:start w:val="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FC752D3"/>
    <w:multiLevelType w:val="hybridMultilevel"/>
    <w:tmpl w:val="F312A8B8"/>
    <w:lvl w:ilvl="0" w:tplc="82BC0E0C">
      <w:start w:val="1"/>
      <w:numFmt w:val="decimal"/>
      <w:pStyle w:val="Numberi"/>
      <w:lvlText w:val="%1."/>
      <w:lvlJc w:val="left"/>
      <w:pPr>
        <w:ind w:left="720" w:hanging="720"/>
      </w:pPr>
      <w:rPr>
        <w:rFonts w:hint="default"/>
      </w:rPr>
    </w:lvl>
    <w:lvl w:ilvl="1" w:tplc="28DA7596">
      <w:start w:val="1"/>
      <w:numFmt w:val="lowerLetter"/>
      <w:pStyle w:val="Numbera"/>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2752C3A"/>
    <w:multiLevelType w:val="hybridMultilevel"/>
    <w:tmpl w:val="5806589E"/>
    <w:lvl w:ilvl="0" w:tplc="2B3299F2">
      <w:start w:val="1"/>
      <w:numFmt w:val="bullet"/>
      <w:pStyle w:val="Bullet1"/>
      <w:lvlText w:val=""/>
      <w:lvlJc w:val="left"/>
      <w:pPr>
        <w:ind w:left="360" w:hanging="360"/>
      </w:pPr>
      <w:rPr>
        <w:rFonts w:ascii="Symbol" w:hAnsi="Symbol" w:hint="default"/>
        <w:strike w:val="0"/>
        <w:dstrike w:val="0"/>
        <w:color w:val="141B51" w:themeColor="tex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9C7F9C"/>
    <w:multiLevelType w:val="hybridMultilevel"/>
    <w:tmpl w:val="8E387532"/>
    <w:lvl w:ilvl="0" w:tplc="6128C710">
      <w:start w:val="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31F0E69"/>
    <w:multiLevelType w:val="hybridMultilevel"/>
    <w:tmpl w:val="0952CA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4982297"/>
    <w:multiLevelType w:val="multilevel"/>
    <w:tmpl w:val="F0766FE8"/>
    <w:lvl w:ilvl="0">
      <w:start w:val="1"/>
      <w:numFmt w:val="bullet"/>
      <w:lvlText w:val=""/>
      <w:lvlJc w:val="left"/>
      <w:pPr>
        <w:ind w:left="360" w:hanging="360"/>
      </w:pPr>
      <w:rPr>
        <w:rFonts w:ascii="Symbol" w:hAnsi="Symbol" w:hint="default"/>
        <w:color w:val="141B51" w:themeColor="text2"/>
        <w:position w:val="-3"/>
        <w:sz w:val="20"/>
      </w:rPr>
    </w:lvl>
    <w:lvl w:ilvl="1">
      <w:start w:val="1"/>
      <w:numFmt w:val="bullet"/>
      <w:lvlText w:val=""/>
      <w:lvlJc w:val="left"/>
      <w:pPr>
        <w:ind w:left="454" w:hanging="227"/>
      </w:pPr>
      <w:rPr>
        <w:rFonts w:ascii="Symbol" w:hAnsi="Symbol" w:hint="default"/>
        <w:color w:val="C00000" w:themeColor="accent2"/>
      </w:rPr>
    </w:lvl>
    <w:lvl w:ilvl="2">
      <w:start w:val="1"/>
      <w:numFmt w:val="bullet"/>
      <w:pStyle w:val="Bullet3"/>
      <w:lvlText w:val="−"/>
      <w:lvlJc w:val="left"/>
      <w:pPr>
        <w:ind w:left="681" w:hanging="227"/>
      </w:pPr>
      <w:rPr>
        <w:rFonts w:ascii="Arial" w:hAnsi="Arial" w:hint="default"/>
        <w:color w:val="141B51" w:themeColor="text2"/>
        <w:position w:val="-3"/>
        <w:sz w:val="28"/>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30" w15:restartNumberingAfterBreak="0">
    <w:nsid w:val="587B3D6A"/>
    <w:multiLevelType w:val="hybridMultilevel"/>
    <w:tmpl w:val="0D446212"/>
    <w:lvl w:ilvl="0" w:tplc="6128C710">
      <w:start w:val="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9ED0FE0"/>
    <w:multiLevelType w:val="hybridMultilevel"/>
    <w:tmpl w:val="5920B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2047AE"/>
    <w:multiLevelType w:val="hybridMultilevel"/>
    <w:tmpl w:val="6A8A9D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C277DF6"/>
    <w:multiLevelType w:val="hybridMultilevel"/>
    <w:tmpl w:val="16C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52086B"/>
    <w:multiLevelType w:val="hybridMultilevel"/>
    <w:tmpl w:val="9F644354"/>
    <w:lvl w:ilvl="0" w:tplc="439410C0">
      <w:start w:val="1"/>
      <w:numFmt w:val="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F70770"/>
    <w:multiLevelType w:val="hybridMultilevel"/>
    <w:tmpl w:val="162C0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6865BB"/>
    <w:multiLevelType w:val="hybridMultilevel"/>
    <w:tmpl w:val="E17AA644"/>
    <w:lvl w:ilvl="0" w:tplc="510CBD92">
      <w:start w:val="1"/>
      <w:numFmt w:val="bullet"/>
      <w:lvlText w:val=""/>
      <w:lvlJc w:val="left"/>
      <w:pPr>
        <w:ind w:left="360" w:hanging="360"/>
      </w:pPr>
      <w:rPr>
        <w:rFonts w:ascii="Symbol" w:hAnsi="Symbol" w:hint="default"/>
        <w:color w:val="000000"/>
        <w:sz w:val="1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E6D0DDE"/>
    <w:multiLevelType w:val="hybridMultilevel"/>
    <w:tmpl w:val="70DC1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4244C9B"/>
    <w:multiLevelType w:val="hybridMultilevel"/>
    <w:tmpl w:val="73B68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1671F8"/>
    <w:multiLevelType w:val="hybridMultilevel"/>
    <w:tmpl w:val="10C6F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8F0A7C"/>
    <w:multiLevelType w:val="hybridMultilevel"/>
    <w:tmpl w:val="5F70A3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7D8C4077"/>
    <w:multiLevelType w:val="hybridMultilevel"/>
    <w:tmpl w:val="C8A86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FFD5F1E"/>
    <w:multiLevelType w:val="hybridMultilevel"/>
    <w:tmpl w:val="B25E4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3"/>
  </w:num>
  <w:num w:numId="3">
    <w:abstractNumId w:val="2"/>
  </w:num>
  <w:num w:numId="4">
    <w:abstractNumId w:val="10"/>
  </w:num>
  <w:num w:numId="5">
    <w:abstractNumId w:val="20"/>
  </w:num>
  <w:num w:numId="6">
    <w:abstractNumId w:val="8"/>
  </w:num>
  <w:num w:numId="7">
    <w:abstractNumId w:val="25"/>
  </w:num>
  <w:num w:numId="8">
    <w:abstractNumId w:val="21"/>
  </w:num>
  <w:num w:numId="9">
    <w:abstractNumId w:val="29"/>
  </w:num>
  <w:num w:numId="10">
    <w:abstractNumId w:val="26"/>
  </w:num>
  <w:num w:numId="11">
    <w:abstractNumId w:val="10"/>
    <w:lvlOverride w:ilvl="0">
      <w:lvl w:ilvl="0">
        <w:numFmt w:val="decimal"/>
        <w:pStyle w:val="Heading1"/>
        <w:lvlText w:val=""/>
        <w:lvlJc w:val="left"/>
      </w:lvl>
    </w:lvlOverride>
    <w:lvlOverride w:ilvl="1">
      <w:lvl w:ilvl="1">
        <w:start w:val="1"/>
        <w:numFmt w:val="decimal"/>
        <w:pStyle w:val="Heading2"/>
        <w:lvlText w:val="%1.%2"/>
        <w:lvlJc w:val="left"/>
        <w:pPr>
          <w:tabs>
            <w:tab w:val="num" w:pos="1134"/>
          </w:tabs>
          <w:ind w:left="1134" w:hanging="1134"/>
        </w:pPr>
        <w:rPr>
          <w:rFonts w:hint="default"/>
        </w:rPr>
      </w:lvl>
    </w:lvlOverride>
  </w:num>
  <w:num w:numId="12">
    <w:abstractNumId w:val="6"/>
  </w:num>
  <w:num w:numId="13">
    <w:abstractNumId w:val="5"/>
  </w:num>
  <w:num w:numId="14">
    <w:abstractNumId w:val="12"/>
  </w:num>
  <w:num w:numId="15">
    <w:abstractNumId w:val="36"/>
  </w:num>
  <w:num w:numId="16">
    <w:abstractNumId w:val="35"/>
  </w:num>
  <w:num w:numId="17">
    <w:abstractNumId w:val="27"/>
  </w:num>
  <w:num w:numId="18">
    <w:abstractNumId w:val="24"/>
  </w:num>
  <w:num w:numId="19">
    <w:abstractNumId w:val="30"/>
  </w:num>
  <w:num w:numId="20">
    <w:abstractNumId w:val="11"/>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33"/>
  </w:num>
  <w:num w:numId="28">
    <w:abstractNumId w:val="26"/>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10"/>
  </w:num>
  <w:num w:numId="32">
    <w:abstractNumId w:val="14"/>
  </w:num>
  <w:num w:numId="33">
    <w:abstractNumId w:val="18"/>
  </w:num>
  <w:num w:numId="34">
    <w:abstractNumId w:val="13"/>
  </w:num>
  <w:num w:numId="35">
    <w:abstractNumId w:val="32"/>
  </w:num>
  <w:num w:numId="36">
    <w:abstractNumId w:val="34"/>
  </w:num>
  <w:num w:numId="37">
    <w:abstractNumId w:val="1"/>
  </w:num>
  <w:num w:numId="38">
    <w:abstractNumId w:val="0"/>
  </w:num>
  <w:num w:numId="39">
    <w:abstractNumId w:val="41"/>
  </w:num>
  <w:num w:numId="40">
    <w:abstractNumId w:val="17"/>
  </w:num>
  <w:num w:numId="41">
    <w:abstractNumId w:val="39"/>
  </w:num>
  <w:num w:numId="42">
    <w:abstractNumId w:val="31"/>
  </w:num>
  <w:num w:numId="43">
    <w:abstractNumId w:val="38"/>
  </w:num>
  <w:num w:numId="44">
    <w:abstractNumId w:val="7"/>
  </w:num>
  <w:num w:numId="45">
    <w:abstractNumId w:val="42"/>
  </w:num>
  <w:num w:numId="46">
    <w:abstractNumId w:val="15"/>
  </w:num>
  <w:num w:numId="47">
    <w:abstractNumId w:val="4"/>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num>
  <w:num w:numId="50">
    <w:abstractNumId w:val="19"/>
  </w:num>
  <w:num w:numId="51">
    <w:abstractNumId w:val="23"/>
  </w:num>
  <w:num w:numId="52">
    <w:abstractNumId w:val="37"/>
  </w:num>
  <w:num w:numId="53">
    <w:abstractNumId w:val="16"/>
  </w:num>
  <w:num w:numId="54">
    <w:abstractNumId w:val="9"/>
  </w:num>
  <w:num w:numId="55">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ttachedTemplate r:id="rId1"/>
  <w:stylePaneSortMethod w:val="0000"/>
  <w:documentProtection w:edit="readOnly" w:enforcement="1" w:cryptProviderType="rsaAES" w:cryptAlgorithmClass="hash" w:cryptAlgorithmType="typeAny" w:cryptAlgorithmSid="14" w:cryptSpinCount="100000" w:hash="3Rlf5oehMMUwTdPq4Pk32t+Jb9bywU4+MZD9cs5zL443/aIfsASb+tOCo+mX1KEeazEeTSM6JEwvdC2V9T7O/Q==" w:salt="0ijnkYfeXZ9IgPlvrFUxZQ=="/>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B0D"/>
    <w:rsid w:val="0000043F"/>
    <w:rsid w:val="000007F8"/>
    <w:rsid w:val="00000D42"/>
    <w:rsid w:val="00000ED1"/>
    <w:rsid w:val="000032C6"/>
    <w:rsid w:val="00004001"/>
    <w:rsid w:val="00004D1A"/>
    <w:rsid w:val="00004F85"/>
    <w:rsid w:val="000058DD"/>
    <w:rsid w:val="00006E1D"/>
    <w:rsid w:val="00011B9C"/>
    <w:rsid w:val="00012F65"/>
    <w:rsid w:val="00013C4A"/>
    <w:rsid w:val="00014DF3"/>
    <w:rsid w:val="00014F21"/>
    <w:rsid w:val="00016768"/>
    <w:rsid w:val="000168C0"/>
    <w:rsid w:val="00021035"/>
    <w:rsid w:val="00021184"/>
    <w:rsid w:val="000262C9"/>
    <w:rsid w:val="0002742F"/>
    <w:rsid w:val="0002746F"/>
    <w:rsid w:val="000278BA"/>
    <w:rsid w:val="000306B1"/>
    <w:rsid w:val="00030ED7"/>
    <w:rsid w:val="0003136F"/>
    <w:rsid w:val="00031456"/>
    <w:rsid w:val="00031DDA"/>
    <w:rsid w:val="00031E50"/>
    <w:rsid w:val="00032C6B"/>
    <w:rsid w:val="0003378B"/>
    <w:rsid w:val="00034EA7"/>
    <w:rsid w:val="00037B5E"/>
    <w:rsid w:val="0004149F"/>
    <w:rsid w:val="0004265B"/>
    <w:rsid w:val="00042724"/>
    <w:rsid w:val="00045F48"/>
    <w:rsid w:val="00046C73"/>
    <w:rsid w:val="00047AAB"/>
    <w:rsid w:val="00047D06"/>
    <w:rsid w:val="00047FB9"/>
    <w:rsid w:val="00050279"/>
    <w:rsid w:val="00053C03"/>
    <w:rsid w:val="00053F26"/>
    <w:rsid w:val="000541A3"/>
    <w:rsid w:val="0006015C"/>
    <w:rsid w:val="00061304"/>
    <w:rsid w:val="0006177C"/>
    <w:rsid w:val="00061F5C"/>
    <w:rsid w:val="00062E29"/>
    <w:rsid w:val="000655D0"/>
    <w:rsid w:val="00065B47"/>
    <w:rsid w:val="0006666B"/>
    <w:rsid w:val="000675E7"/>
    <w:rsid w:val="0006798D"/>
    <w:rsid w:val="000719F2"/>
    <w:rsid w:val="00071CFC"/>
    <w:rsid w:val="00072F0E"/>
    <w:rsid w:val="00072F3B"/>
    <w:rsid w:val="00073143"/>
    <w:rsid w:val="00074928"/>
    <w:rsid w:val="00075E2F"/>
    <w:rsid w:val="00076220"/>
    <w:rsid w:val="00080F35"/>
    <w:rsid w:val="00084301"/>
    <w:rsid w:val="000849F2"/>
    <w:rsid w:val="00084CCB"/>
    <w:rsid w:val="00085476"/>
    <w:rsid w:val="00085D7A"/>
    <w:rsid w:val="00086673"/>
    <w:rsid w:val="0008686F"/>
    <w:rsid w:val="00086B07"/>
    <w:rsid w:val="00090D1B"/>
    <w:rsid w:val="000915AD"/>
    <w:rsid w:val="000918D4"/>
    <w:rsid w:val="00093F7E"/>
    <w:rsid w:val="00095866"/>
    <w:rsid w:val="0009661C"/>
    <w:rsid w:val="000A11B7"/>
    <w:rsid w:val="000A193E"/>
    <w:rsid w:val="000A1CB0"/>
    <w:rsid w:val="000A1FA9"/>
    <w:rsid w:val="000A21AD"/>
    <w:rsid w:val="000A25E1"/>
    <w:rsid w:val="000A2E78"/>
    <w:rsid w:val="000A3908"/>
    <w:rsid w:val="000A4412"/>
    <w:rsid w:val="000A4836"/>
    <w:rsid w:val="000A4A2A"/>
    <w:rsid w:val="000A5CC4"/>
    <w:rsid w:val="000A6538"/>
    <w:rsid w:val="000A6F59"/>
    <w:rsid w:val="000B115A"/>
    <w:rsid w:val="000B3090"/>
    <w:rsid w:val="000B3913"/>
    <w:rsid w:val="000B3C3A"/>
    <w:rsid w:val="000B3FFB"/>
    <w:rsid w:val="000B56B1"/>
    <w:rsid w:val="000B5DA0"/>
    <w:rsid w:val="000B627C"/>
    <w:rsid w:val="000B6E41"/>
    <w:rsid w:val="000B7A30"/>
    <w:rsid w:val="000C0199"/>
    <w:rsid w:val="000C15A8"/>
    <w:rsid w:val="000C1DC1"/>
    <w:rsid w:val="000C350B"/>
    <w:rsid w:val="000C375E"/>
    <w:rsid w:val="000C37C9"/>
    <w:rsid w:val="000C3B19"/>
    <w:rsid w:val="000C53CC"/>
    <w:rsid w:val="000C699E"/>
    <w:rsid w:val="000C72FA"/>
    <w:rsid w:val="000C7561"/>
    <w:rsid w:val="000C75F6"/>
    <w:rsid w:val="000D3324"/>
    <w:rsid w:val="000D3DFC"/>
    <w:rsid w:val="000D60F6"/>
    <w:rsid w:val="000E2A66"/>
    <w:rsid w:val="000E4749"/>
    <w:rsid w:val="000E5C1D"/>
    <w:rsid w:val="000E6574"/>
    <w:rsid w:val="000E6A03"/>
    <w:rsid w:val="000E6EDF"/>
    <w:rsid w:val="000E74FC"/>
    <w:rsid w:val="000E7886"/>
    <w:rsid w:val="000F0D8B"/>
    <w:rsid w:val="000F1FDD"/>
    <w:rsid w:val="000F2A0D"/>
    <w:rsid w:val="000F2F9F"/>
    <w:rsid w:val="000F3607"/>
    <w:rsid w:val="000F4D25"/>
    <w:rsid w:val="000F7DD7"/>
    <w:rsid w:val="00101CE9"/>
    <w:rsid w:val="00103009"/>
    <w:rsid w:val="00103B31"/>
    <w:rsid w:val="00103C4A"/>
    <w:rsid w:val="0010425D"/>
    <w:rsid w:val="00107988"/>
    <w:rsid w:val="00112923"/>
    <w:rsid w:val="00112941"/>
    <w:rsid w:val="001146BE"/>
    <w:rsid w:val="0011509A"/>
    <w:rsid w:val="001150E6"/>
    <w:rsid w:val="00116254"/>
    <w:rsid w:val="00116BB3"/>
    <w:rsid w:val="00117C45"/>
    <w:rsid w:val="00125423"/>
    <w:rsid w:val="00126B2C"/>
    <w:rsid w:val="001270BA"/>
    <w:rsid w:val="001308D8"/>
    <w:rsid w:val="00130AB7"/>
    <w:rsid w:val="00131C87"/>
    <w:rsid w:val="001325CE"/>
    <w:rsid w:val="00132730"/>
    <w:rsid w:val="001343D2"/>
    <w:rsid w:val="00134758"/>
    <w:rsid w:val="00135FBD"/>
    <w:rsid w:val="00141AF0"/>
    <w:rsid w:val="00144A41"/>
    <w:rsid w:val="00146931"/>
    <w:rsid w:val="0014764B"/>
    <w:rsid w:val="0015095A"/>
    <w:rsid w:val="001515CD"/>
    <w:rsid w:val="001532E0"/>
    <w:rsid w:val="001538AB"/>
    <w:rsid w:val="001564DE"/>
    <w:rsid w:val="0016019C"/>
    <w:rsid w:val="00166AF1"/>
    <w:rsid w:val="001670AC"/>
    <w:rsid w:val="00167605"/>
    <w:rsid w:val="0017001A"/>
    <w:rsid w:val="00170264"/>
    <w:rsid w:val="0017206C"/>
    <w:rsid w:val="00173DC6"/>
    <w:rsid w:val="00173E18"/>
    <w:rsid w:val="00174B31"/>
    <w:rsid w:val="0017520D"/>
    <w:rsid w:val="00176221"/>
    <w:rsid w:val="0017633C"/>
    <w:rsid w:val="001775A2"/>
    <w:rsid w:val="0018017C"/>
    <w:rsid w:val="00180A83"/>
    <w:rsid w:val="0018135F"/>
    <w:rsid w:val="00182134"/>
    <w:rsid w:val="001835E8"/>
    <w:rsid w:val="0018433D"/>
    <w:rsid w:val="00184FC0"/>
    <w:rsid w:val="00185EA8"/>
    <w:rsid w:val="00186BAE"/>
    <w:rsid w:val="00187A5E"/>
    <w:rsid w:val="00190FAB"/>
    <w:rsid w:val="001935C9"/>
    <w:rsid w:val="0019371E"/>
    <w:rsid w:val="001944E2"/>
    <w:rsid w:val="001946C8"/>
    <w:rsid w:val="00194F67"/>
    <w:rsid w:val="001961BD"/>
    <w:rsid w:val="001966C5"/>
    <w:rsid w:val="001979D4"/>
    <w:rsid w:val="00197E82"/>
    <w:rsid w:val="001A1388"/>
    <w:rsid w:val="001A26D7"/>
    <w:rsid w:val="001A2D37"/>
    <w:rsid w:val="001A3F55"/>
    <w:rsid w:val="001A482F"/>
    <w:rsid w:val="001A62AA"/>
    <w:rsid w:val="001A66B8"/>
    <w:rsid w:val="001A7743"/>
    <w:rsid w:val="001B0377"/>
    <w:rsid w:val="001B0876"/>
    <w:rsid w:val="001B13F5"/>
    <w:rsid w:val="001B1BA3"/>
    <w:rsid w:val="001B2677"/>
    <w:rsid w:val="001B290C"/>
    <w:rsid w:val="001B3731"/>
    <w:rsid w:val="001B5301"/>
    <w:rsid w:val="001B7904"/>
    <w:rsid w:val="001B7A56"/>
    <w:rsid w:val="001C0297"/>
    <w:rsid w:val="001C077F"/>
    <w:rsid w:val="001C2365"/>
    <w:rsid w:val="001C279A"/>
    <w:rsid w:val="001C2BD9"/>
    <w:rsid w:val="001C46D0"/>
    <w:rsid w:val="001C490E"/>
    <w:rsid w:val="001C49E0"/>
    <w:rsid w:val="001C5834"/>
    <w:rsid w:val="001D15D0"/>
    <w:rsid w:val="001D3453"/>
    <w:rsid w:val="001D3A16"/>
    <w:rsid w:val="001D4948"/>
    <w:rsid w:val="001D5A85"/>
    <w:rsid w:val="001D6752"/>
    <w:rsid w:val="001D6C9D"/>
    <w:rsid w:val="001E0BD5"/>
    <w:rsid w:val="001E508D"/>
    <w:rsid w:val="001E7298"/>
    <w:rsid w:val="001F09AF"/>
    <w:rsid w:val="001F0FD6"/>
    <w:rsid w:val="001F1AFD"/>
    <w:rsid w:val="001F1E2F"/>
    <w:rsid w:val="001F3216"/>
    <w:rsid w:val="001F42FD"/>
    <w:rsid w:val="001F5049"/>
    <w:rsid w:val="001F681B"/>
    <w:rsid w:val="001F7580"/>
    <w:rsid w:val="00200A07"/>
    <w:rsid w:val="00202219"/>
    <w:rsid w:val="00203BB1"/>
    <w:rsid w:val="00204C2E"/>
    <w:rsid w:val="002064A6"/>
    <w:rsid w:val="00207278"/>
    <w:rsid w:val="00207857"/>
    <w:rsid w:val="0021154F"/>
    <w:rsid w:val="00211AFE"/>
    <w:rsid w:val="00211BE1"/>
    <w:rsid w:val="00211D82"/>
    <w:rsid w:val="00212198"/>
    <w:rsid w:val="002137EB"/>
    <w:rsid w:val="00214B05"/>
    <w:rsid w:val="00214D28"/>
    <w:rsid w:val="0021531A"/>
    <w:rsid w:val="00215BAD"/>
    <w:rsid w:val="00217D15"/>
    <w:rsid w:val="00221077"/>
    <w:rsid w:val="002225B7"/>
    <w:rsid w:val="002242D8"/>
    <w:rsid w:val="00224ADC"/>
    <w:rsid w:val="00227BF0"/>
    <w:rsid w:val="00230113"/>
    <w:rsid w:val="00232B64"/>
    <w:rsid w:val="00232D86"/>
    <w:rsid w:val="00233412"/>
    <w:rsid w:val="002334E8"/>
    <w:rsid w:val="00234145"/>
    <w:rsid w:val="00235D6A"/>
    <w:rsid w:val="002368B9"/>
    <w:rsid w:val="00236965"/>
    <w:rsid w:val="00237ECB"/>
    <w:rsid w:val="002402C7"/>
    <w:rsid w:val="00242506"/>
    <w:rsid w:val="00242745"/>
    <w:rsid w:val="002445D7"/>
    <w:rsid w:val="00245728"/>
    <w:rsid w:val="00245924"/>
    <w:rsid w:val="00253EF3"/>
    <w:rsid w:val="0025444C"/>
    <w:rsid w:val="0025496B"/>
    <w:rsid w:val="00254DE1"/>
    <w:rsid w:val="002570E3"/>
    <w:rsid w:val="0025741D"/>
    <w:rsid w:val="0025774D"/>
    <w:rsid w:val="00260776"/>
    <w:rsid w:val="0026158B"/>
    <w:rsid w:val="002616E5"/>
    <w:rsid w:val="00261CA9"/>
    <w:rsid w:val="002623DD"/>
    <w:rsid w:val="00266613"/>
    <w:rsid w:val="00267688"/>
    <w:rsid w:val="0027018A"/>
    <w:rsid w:val="0027055D"/>
    <w:rsid w:val="00271896"/>
    <w:rsid w:val="00271F56"/>
    <w:rsid w:val="00272202"/>
    <w:rsid w:val="00272547"/>
    <w:rsid w:val="002727C5"/>
    <w:rsid w:val="00272987"/>
    <w:rsid w:val="00272FDB"/>
    <w:rsid w:val="002738A3"/>
    <w:rsid w:val="00274A44"/>
    <w:rsid w:val="00276F06"/>
    <w:rsid w:val="00277433"/>
    <w:rsid w:val="00280610"/>
    <w:rsid w:val="00280EAF"/>
    <w:rsid w:val="00281457"/>
    <w:rsid w:val="00283E7C"/>
    <w:rsid w:val="00284CE5"/>
    <w:rsid w:val="0028514F"/>
    <w:rsid w:val="00285C4B"/>
    <w:rsid w:val="00285FE2"/>
    <w:rsid w:val="00286382"/>
    <w:rsid w:val="002874D7"/>
    <w:rsid w:val="00287DD7"/>
    <w:rsid w:val="002906BC"/>
    <w:rsid w:val="00290A5C"/>
    <w:rsid w:val="002911F9"/>
    <w:rsid w:val="00292B56"/>
    <w:rsid w:val="00293689"/>
    <w:rsid w:val="00294FC0"/>
    <w:rsid w:val="00296F2D"/>
    <w:rsid w:val="00297881"/>
    <w:rsid w:val="002A047F"/>
    <w:rsid w:val="002A2B5C"/>
    <w:rsid w:val="002A3335"/>
    <w:rsid w:val="002A4DE4"/>
    <w:rsid w:val="002A5358"/>
    <w:rsid w:val="002A535C"/>
    <w:rsid w:val="002A5B35"/>
    <w:rsid w:val="002A6CF1"/>
    <w:rsid w:val="002A6DC2"/>
    <w:rsid w:val="002A6F4B"/>
    <w:rsid w:val="002A70EE"/>
    <w:rsid w:val="002B1232"/>
    <w:rsid w:val="002B13EE"/>
    <w:rsid w:val="002B1A07"/>
    <w:rsid w:val="002B1DE0"/>
    <w:rsid w:val="002B1F4F"/>
    <w:rsid w:val="002B26FB"/>
    <w:rsid w:val="002B4BF6"/>
    <w:rsid w:val="002B541C"/>
    <w:rsid w:val="002B5BCA"/>
    <w:rsid w:val="002B61E1"/>
    <w:rsid w:val="002C68DB"/>
    <w:rsid w:val="002C7890"/>
    <w:rsid w:val="002C7A92"/>
    <w:rsid w:val="002D37A9"/>
    <w:rsid w:val="002D4317"/>
    <w:rsid w:val="002D4966"/>
    <w:rsid w:val="002D5A17"/>
    <w:rsid w:val="002D5C43"/>
    <w:rsid w:val="002E06B2"/>
    <w:rsid w:val="002E1286"/>
    <w:rsid w:val="002E315D"/>
    <w:rsid w:val="002E3C28"/>
    <w:rsid w:val="002E3F51"/>
    <w:rsid w:val="002E7860"/>
    <w:rsid w:val="002F0849"/>
    <w:rsid w:val="002F201D"/>
    <w:rsid w:val="002F28BB"/>
    <w:rsid w:val="002F30FE"/>
    <w:rsid w:val="002F38F2"/>
    <w:rsid w:val="002F5C81"/>
    <w:rsid w:val="002F69AD"/>
    <w:rsid w:val="00302058"/>
    <w:rsid w:val="003053C4"/>
    <w:rsid w:val="00305A8F"/>
    <w:rsid w:val="003067B9"/>
    <w:rsid w:val="00306B9E"/>
    <w:rsid w:val="0030735F"/>
    <w:rsid w:val="003102DB"/>
    <w:rsid w:val="0031091D"/>
    <w:rsid w:val="003124A2"/>
    <w:rsid w:val="0031384B"/>
    <w:rsid w:val="003138E8"/>
    <w:rsid w:val="00313E25"/>
    <w:rsid w:val="00314B94"/>
    <w:rsid w:val="00315331"/>
    <w:rsid w:val="00315660"/>
    <w:rsid w:val="00315F82"/>
    <w:rsid w:val="003177BC"/>
    <w:rsid w:val="0032002C"/>
    <w:rsid w:val="00320973"/>
    <w:rsid w:val="0032109A"/>
    <w:rsid w:val="00321F50"/>
    <w:rsid w:val="00322409"/>
    <w:rsid w:val="003253A4"/>
    <w:rsid w:val="00327A05"/>
    <w:rsid w:val="00327FE8"/>
    <w:rsid w:val="003308FE"/>
    <w:rsid w:val="00331739"/>
    <w:rsid w:val="00332551"/>
    <w:rsid w:val="0033284C"/>
    <w:rsid w:val="00333DB6"/>
    <w:rsid w:val="00334262"/>
    <w:rsid w:val="0033506D"/>
    <w:rsid w:val="00335AD0"/>
    <w:rsid w:val="0033649F"/>
    <w:rsid w:val="00336696"/>
    <w:rsid w:val="00336C1E"/>
    <w:rsid w:val="003403B6"/>
    <w:rsid w:val="003420A1"/>
    <w:rsid w:val="00342FB2"/>
    <w:rsid w:val="00344987"/>
    <w:rsid w:val="003518AA"/>
    <w:rsid w:val="00353876"/>
    <w:rsid w:val="00356047"/>
    <w:rsid w:val="0035683A"/>
    <w:rsid w:val="003578D8"/>
    <w:rsid w:val="003608BD"/>
    <w:rsid w:val="0036090C"/>
    <w:rsid w:val="00362164"/>
    <w:rsid w:val="00362790"/>
    <w:rsid w:val="00363765"/>
    <w:rsid w:val="00364DA2"/>
    <w:rsid w:val="0036516C"/>
    <w:rsid w:val="00365DDE"/>
    <w:rsid w:val="00366334"/>
    <w:rsid w:val="0036791C"/>
    <w:rsid w:val="003679E9"/>
    <w:rsid w:val="00373D7A"/>
    <w:rsid w:val="003740EC"/>
    <w:rsid w:val="003741A8"/>
    <w:rsid w:val="00374720"/>
    <w:rsid w:val="00374A3B"/>
    <w:rsid w:val="00376E34"/>
    <w:rsid w:val="00377CA7"/>
    <w:rsid w:val="0038180B"/>
    <w:rsid w:val="00382179"/>
    <w:rsid w:val="00383E34"/>
    <w:rsid w:val="00384107"/>
    <w:rsid w:val="00385037"/>
    <w:rsid w:val="003856AD"/>
    <w:rsid w:val="00386268"/>
    <w:rsid w:val="003867A6"/>
    <w:rsid w:val="00386D3A"/>
    <w:rsid w:val="003911E4"/>
    <w:rsid w:val="00391492"/>
    <w:rsid w:val="003929AA"/>
    <w:rsid w:val="003975AB"/>
    <w:rsid w:val="00397F54"/>
    <w:rsid w:val="003A11EA"/>
    <w:rsid w:val="003A1D36"/>
    <w:rsid w:val="003A2ACB"/>
    <w:rsid w:val="003A35F3"/>
    <w:rsid w:val="003A4D24"/>
    <w:rsid w:val="003A69F1"/>
    <w:rsid w:val="003A73DE"/>
    <w:rsid w:val="003B0501"/>
    <w:rsid w:val="003B052B"/>
    <w:rsid w:val="003B1004"/>
    <w:rsid w:val="003B13B3"/>
    <w:rsid w:val="003B2094"/>
    <w:rsid w:val="003B2AEA"/>
    <w:rsid w:val="003B2C37"/>
    <w:rsid w:val="003B3BDF"/>
    <w:rsid w:val="003B3C3F"/>
    <w:rsid w:val="003B3F31"/>
    <w:rsid w:val="003B66B2"/>
    <w:rsid w:val="003B6BFC"/>
    <w:rsid w:val="003B752C"/>
    <w:rsid w:val="003B7974"/>
    <w:rsid w:val="003B7B98"/>
    <w:rsid w:val="003C02E5"/>
    <w:rsid w:val="003C23B8"/>
    <w:rsid w:val="003C390F"/>
    <w:rsid w:val="003C4785"/>
    <w:rsid w:val="003C528D"/>
    <w:rsid w:val="003C6751"/>
    <w:rsid w:val="003C7904"/>
    <w:rsid w:val="003D0B5F"/>
    <w:rsid w:val="003D1073"/>
    <w:rsid w:val="003D21CC"/>
    <w:rsid w:val="003D343D"/>
    <w:rsid w:val="003D3643"/>
    <w:rsid w:val="003D40DE"/>
    <w:rsid w:val="003D41F0"/>
    <w:rsid w:val="003D4C50"/>
    <w:rsid w:val="003D4F5B"/>
    <w:rsid w:val="003D4FBA"/>
    <w:rsid w:val="003D61D6"/>
    <w:rsid w:val="003D789D"/>
    <w:rsid w:val="003D7C4C"/>
    <w:rsid w:val="003E26DE"/>
    <w:rsid w:val="003E3308"/>
    <w:rsid w:val="003E4F33"/>
    <w:rsid w:val="003E56A3"/>
    <w:rsid w:val="003E7508"/>
    <w:rsid w:val="003F0D28"/>
    <w:rsid w:val="003F0FED"/>
    <w:rsid w:val="003F0FF2"/>
    <w:rsid w:val="003F2DA3"/>
    <w:rsid w:val="003F36F6"/>
    <w:rsid w:val="003F4159"/>
    <w:rsid w:val="003F41DD"/>
    <w:rsid w:val="003F77FC"/>
    <w:rsid w:val="003F7826"/>
    <w:rsid w:val="003F7A85"/>
    <w:rsid w:val="004020AF"/>
    <w:rsid w:val="00403DAB"/>
    <w:rsid w:val="004061C9"/>
    <w:rsid w:val="00406C2A"/>
    <w:rsid w:val="004077B3"/>
    <w:rsid w:val="00411071"/>
    <w:rsid w:val="004122FF"/>
    <w:rsid w:val="00413695"/>
    <w:rsid w:val="00416247"/>
    <w:rsid w:val="00417E8E"/>
    <w:rsid w:val="00420319"/>
    <w:rsid w:val="00421D76"/>
    <w:rsid w:val="004225E1"/>
    <w:rsid w:val="00423071"/>
    <w:rsid w:val="004232B6"/>
    <w:rsid w:val="00424372"/>
    <w:rsid w:val="00424575"/>
    <w:rsid w:val="00424C72"/>
    <w:rsid w:val="00425ABD"/>
    <w:rsid w:val="00426081"/>
    <w:rsid w:val="0042628A"/>
    <w:rsid w:val="00427873"/>
    <w:rsid w:val="00430EB8"/>
    <w:rsid w:val="00431AF6"/>
    <w:rsid w:val="00431F8C"/>
    <w:rsid w:val="00435C8D"/>
    <w:rsid w:val="00435E27"/>
    <w:rsid w:val="004373EF"/>
    <w:rsid w:val="00440025"/>
    <w:rsid w:val="004400B2"/>
    <w:rsid w:val="00440924"/>
    <w:rsid w:val="0044105B"/>
    <w:rsid w:val="0044161A"/>
    <w:rsid w:val="00442871"/>
    <w:rsid w:val="00442C05"/>
    <w:rsid w:val="0044317A"/>
    <w:rsid w:val="0044392C"/>
    <w:rsid w:val="00444AC3"/>
    <w:rsid w:val="00445183"/>
    <w:rsid w:val="00445BCE"/>
    <w:rsid w:val="0044658A"/>
    <w:rsid w:val="0044681A"/>
    <w:rsid w:val="00446D7D"/>
    <w:rsid w:val="00447BDE"/>
    <w:rsid w:val="004520A5"/>
    <w:rsid w:val="004540D6"/>
    <w:rsid w:val="00454710"/>
    <w:rsid w:val="00454EA2"/>
    <w:rsid w:val="0045666D"/>
    <w:rsid w:val="0045768C"/>
    <w:rsid w:val="00460DCB"/>
    <w:rsid w:val="0046125E"/>
    <w:rsid w:val="004613E3"/>
    <w:rsid w:val="00461A2F"/>
    <w:rsid w:val="004625F5"/>
    <w:rsid w:val="00463300"/>
    <w:rsid w:val="00463431"/>
    <w:rsid w:val="004636CE"/>
    <w:rsid w:val="00463738"/>
    <w:rsid w:val="0046395F"/>
    <w:rsid w:val="00464349"/>
    <w:rsid w:val="00464B27"/>
    <w:rsid w:val="00464C43"/>
    <w:rsid w:val="00464EB3"/>
    <w:rsid w:val="00465011"/>
    <w:rsid w:val="0046560C"/>
    <w:rsid w:val="004656C4"/>
    <w:rsid w:val="004661AE"/>
    <w:rsid w:val="004665B4"/>
    <w:rsid w:val="004665CB"/>
    <w:rsid w:val="00471DFF"/>
    <w:rsid w:val="004741F2"/>
    <w:rsid w:val="004744CB"/>
    <w:rsid w:val="00475BAB"/>
    <w:rsid w:val="004760C0"/>
    <w:rsid w:val="004775F3"/>
    <w:rsid w:val="00481D90"/>
    <w:rsid w:val="00481F34"/>
    <w:rsid w:val="004825AB"/>
    <w:rsid w:val="00483CC4"/>
    <w:rsid w:val="00485048"/>
    <w:rsid w:val="00485127"/>
    <w:rsid w:val="00487A06"/>
    <w:rsid w:val="00487A15"/>
    <w:rsid w:val="00490DE3"/>
    <w:rsid w:val="0049173A"/>
    <w:rsid w:val="00491BDE"/>
    <w:rsid w:val="00491D96"/>
    <w:rsid w:val="00492AAC"/>
    <w:rsid w:val="0049411A"/>
    <w:rsid w:val="00494762"/>
    <w:rsid w:val="004969FC"/>
    <w:rsid w:val="00497624"/>
    <w:rsid w:val="00497BF8"/>
    <w:rsid w:val="004A1525"/>
    <w:rsid w:val="004A265C"/>
    <w:rsid w:val="004A3760"/>
    <w:rsid w:val="004A6F42"/>
    <w:rsid w:val="004B07B8"/>
    <w:rsid w:val="004B15CA"/>
    <w:rsid w:val="004B1C6E"/>
    <w:rsid w:val="004B2995"/>
    <w:rsid w:val="004B3B79"/>
    <w:rsid w:val="004B4E64"/>
    <w:rsid w:val="004B52BA"/>
    <w:rsid w:val="004B566F"/>
    <w:rsid w:val="004B66FB"/>
    <w:rsid w:val="004B7014"/>
    <w:rsid w:val="004C017C"/>
    <w:rsid w:val="004C05C9"/>
    <w:rsid w:val="004C2BAF"/>
    <w:rsid w:val="004C37A7"/>
    <w:rsid w:val="004C3B7E"/>
    <w:rsid w:val="004C3CF3"/>
    <w:rsid w:val="004C5466"/>
    <w:rsid w:val="004C5B43"/>
    <w:rsid w:val="004C631E"/>
    <w:rsid w:val="004D052F"/>
    <w:rsid w:val="004D0829"/>
    <w:rsid w:val="004D1302"/>
    <w:rsid w:val="004D1FDF"/>
    <w:rsid w:val="004D2881"/>
    <w:rsid w:val="004D4658"/>
    <w:rsid w:val="004D50A9"/>
    <w:rsid w:val="004D6228"/>
    <w:rsid w:val="004D7417"/>
    <w:rsid w:val="004E0386"/>
    <w:rsid w:val="004E0992"/>
    <w:rsid w:val="004E2CF9"/>
    <w:rsid w:val="004E322E"/>
    <w:rsid w:val="004E3302"/>
    <w:rsid w:val="004E3742"/>
    <w:rsid w:val="004E38C1"/>
    <w:rsid w:val="004E53D4"/>
    <w:rsid w:val="004E6AE3"/>
    <w:rsid w:val="004E7E90"/>
    <w:rsid w:val="004F007C"/>
    <w:rsid w:val="004F1118"/>
    <w:rsid w:val="004F2758"/>
    <w:rsid w:val="004F27CA"/>
    <w:rsid w:val="004F31E5"/>
    <w:rsid w:val="004F50FF"/>
    <w:rsid w:val="004F5248"/>
    <w:rsid w:val="004F63B7"/>
    <w:rsid w:val="004F76AE"/>
    <w:rsid w:val="0050096B"/>
    <w:rsid w:val="00501D66"/>
    <w:rsid w:val="005021F0"/>
    <w:rsid w:val="0050354C"/>
    <w:rsid w:val="005043A9"/>
    <w:rsid w:val="00505EB6"/>
    <w:rsid w:val="005064ED"/>
    <w:rsid w:val="00507963"/>
    <w:rsid w:val="00507C09"/>
    <w:rsid w:val="00511326"/>
    <w:rsid w:val="00511BAC"/>
    <w:rsid w:val="005124B1"/>
    <w:rsid w:val="00512C67"/>
    <w:rsid w:val="005131A9"/>
    <w:rsid w:val="005134CE"/>
    <w:rsid w:val="0051444B"/>
    <w:rsid w:val="00514642"/>
    <w:rsid w:val="00514927"/>
    <w:rsid w:val="00514E1C"/>
    <w:rsid w:val="00516616"/>
    <w:rsid w:val="00517276"/>
    <w:rsid w:val="00517EF3"/>
    <w:rsid w:val="005208AC"/>
    <w:rsid w:val="00520CDB"/>
    <w:rsid w:val="00522439"/>
    <w:rsid w:val="00523062"/>
    <w:rsid w:val="005236A1"/>
    <w:rsid w:val="0052377E"/>
    <w:rsid w:val="0052408F"/>
    <w:rsid w:val="005248BF"/>
    <w:rsid w:val="005252BC"/>
    <w:rsid w:val="00525507"/>
    <w:rsid w:val="00526B99"/>
    <w:rsid w:val="005303C7"/>
    <w:rsid w:val="005304E1"/>
    <w:rsid w:val="005337EA"/>
    <w:rsid w:val="005346CD"/>
    <w:rsid w:val="005365B7"/>
    <w:rsid w:val="00536C20"/>
    <w:rsid w:val="00537981"/>
    <w:rsid w:val="00540214"/>
    <w:rsid w:val="005408B5"/>
    <w:rsid w:val="00541126"/>
    <w:rsid w:val="005413EB"/>
    <w:rsid w:val="0054243B"/>
    <w:rsid w:val="0054299E"/>
    <w:rsid w:val="005432D4"/>
    <w:rsid w:val="00543449"/>
    <w:rsid w:val="005437CE"/>
    <w:rsid w:val="00543AF2"/>
    <w:rsid w:val="00543CCE"/>
    <w:rsid w:val="0054433F"/>
    <w:rsid w:val="005451EF"/>
    <w:rsid w:val="00547854"/>
    <w:rsid w:val="00547D1B"/>
    <w:rsid w:val="00550384"/>
    <w:rsid w:val="00550EA7"/>
    <w:rsid w:val="00551DB2"/>
    <w:rsid w:val="005556C8"/>
    <w:rsid w:val="00556339"/>
    <w:rsid w:val="005571AF"/>
    <w:rsid w:val="00557595"/>
    <w:rsid w:val="00557DFC"/>
    <w:rsid w:val="00561B25"/>
    <w:rsid w:val="005641ED"/>
    <w:rsid w:val="00564657"/>
    <w:rsid w:val="0056482D"/>
    <w:rsid w:val="005664D5"/>
    <w:rsid w:val="005667F9"/>
    <w:rsid w:val="00566C3B"/>
    <w:rsid w:val="00567012"/>
    <w:rsid w:val="0057195A"/>
    <w:rsid w:val="00572768"/>
    <w:rsid w:val="005729F3"/>
    <w:rsid w:val="00572DFD"/>
    <w:rsid w:val="0057702E"/>
    <w:rsid w:val="005800B2"/>
    <w:rsid w:val="005806DB"/>
    <w:rsid w:val="00581E2D"/>
    <w:rsid w:val="0058398E"/>
    <w:rsid w:val="00584702"/>
    <w:rsid w:val="0058489E"/>
    <w:rsid w:val="005853C4"/>
    <w:rsid w:val="00585D65"/>
    <w:rsid w:val="00586256"/>
    <w:rsid w:val="00586B63"/>
    <w:rsid w:val="0059064E"/>
    <w:rsid w:val="0059150E"/>
    <w:rsid w:val="00592F96"/>
    <w:rsid w:val="00595612"/>
    <w:rsid w:val="00595D80"/>
    <w:rsid w:val="00596AD2"/>
    <w:rsid w:val="005A00A0"/>
    <w:rsid w:val="005A048D"/>
    <w:rsid w:val="005A1858"/>
    <w:rsid w:val="005A2796"/>
    <w:rsid w:val="005A29C4"/>
    <w:rsid w:val="005A3733"/>
    <w:rsid w:val="005A579B"/>
    <w:rsid w:val="005A5867"/>
    <w:rsid w:val="005A59A2"/>
    <w:rsid w:val="005A5FFD"/>
    <w:rsid w:val="005A6439"/>
    <w:rsid w:val="005A6469"/>
    <w:rsid w:val="005A6954"/>
    <w:rsid w:val="005A77B5"/>
    <w:rsid w:val="005A7D5A"/>
    <w:rsid w:val="005B0C2A"/>
    <w:rsid w:val="005B1D5A"/>
    <w:rsid w:val="005B2B5F"/>
    <w:rsid w:val="005B403A"/>
    <w:rsid w:val="005B57DB"/>
    <w:rsid w:val="005B650D"/>
    <w:rsid w:val="005B66D4"/>
    <w:rsid w:val="005B69E0"/>
    <w:rsid w:val="005B7010"/>
    <w:rsid w:val="005C0E2F"/>
    <w:rsid w:val="005C1130"/>
    <w:rsid w:val="005C1A44"/>
    <w:rsid w:val="005C27C4"/>
    <w:rsid w:val="005C37B1"/>
    <w:rsid w:val="005C3A18"/>
    <w:rsid w:val="005C3C6C"/>
    <w:rsid w:val="005C4AA3"/>
    <w:rsid w:val="005C4D24"/>
    <w:rsid w:val="005C59FE"/>
    <w:rsid w:val="005C6FDA"/>
    <w:rsid w:val="005C6FE4"/>
    <w:rsid w:val="005D14E6"/>
    <w:rsid w:val="005D2EE8"/>
    <w:rsid w:val="005D3413"/>
    <w:rsid w:val="005D3750"/>
    <w:rsid w:val="005D4C2A"/>
    <w:rsid w:val="005D5155"/>
    <w:rsid w:val="005D57E9"/>
    <w:rsid w:val="005E089C"/>
    <w:rsid w:val="005E28DC"/>
    <w:rsid w:val="005E3DEB"/>
    <w:rsid w:val="005E3F53"/>
    <w:rsid w:val="005E4C84"/>
    <w:rsid w:val="005E5E4B"/>
    <w:rsid w:val="005E60CA"/>
    <w:rsid w:val="005E687D"/>
    <w:rsid w:val="005F2E35"/>
    <w:rsid w:val="005F492E"/>
    <w:rsid w:val="005F719B"/>
    <w:rsid w:val="005F75DE"/>
    <w:rsid w:val="00601E87"/>
    <w:rsid w:val="00602161"/>
    <w:rsid w:val="00603B87"/>
    <w:rsid w:val="00603C6A"/>
    <w:rsid w:val="00604F0E"/>
    <w:rsid w:val="00604FBF"/>
    <w:rsid w:val="00605D8D"/>
    <w:rsid w:val="006061AA"/>
    <w:rsid w:val="006065F7"/>
    <w:rsid w:val="00606BB3"/>
    <w:rsid w:val="00606CD6"/>
    <w:rsid w:val="00607DF1"/>
    <w:rsid w:val="00607E20"/>
    <w:rsid w:val="00610435"/>
    <w:rsid w:val="00610A46"/>
    <w:rsid w:val="00610AC7"/>
    <w:rsid w:val="00611796"/>
    <w:rsid w:val="006126AF"/>
    <w:rsid w:val="0061608D"/>
    <w:rsid w:val="00616AA3"/>
    <w:rsid w:val="00616B29"/>
    <w:rsid w:val="0061710B"/>
    <w:rsid w:val="006174EC"/>
    <w:rsid w:val="00620765"/>
    <w:rsid w:val="00623C38"/>
    <w:rsid w:val="00623DCC"/>
    <w:rsid w:val="00624B0D"/>
    <w:rsid w:val="006262A3"/>
    <w:rsid w:val="00627446"/>
    <w:rsid w:val="00627584"/>
    <w:rsid w:val="00630413"/>
    <w:rsid w:val="00630AE2"/>
    <w:rsid w:val="0063151B"/>
    <w:rsid w:val="006316AE"/>
    <w:rsid w:val="0063194E"/>
    <w:rsid w:val="00632BDA"/>
    <w:rsid w:val="0063566B"/>
    <w:rsid w:val="00637411"/>
    <w:rsid w:val="0063784B"/>
    <w:rsid w:val="00642A60"/>
    <w:rsid w:val="00642D72"/>
    <w:rsid w:val="00642EDA"/>
    <w:rsid w:val="00644A04"/>
    <w:rsid w:val="00647C7A"/>
    <w:rsid w:val="00650528"/>
    <w:rsid w:val="00650FF8"/>
    <w:rsid w:val="00651732"/>
    <w:rsid w:val="006520C9"/>
    <w:rsid w:val="0065286E"/>
    <w:rsid w:val="0065434F"/>
    <w:rsid w:val="00654595"/>
    <w:rsid w:val="00654A6F"/>
    <w:rsid w:val="00654CF3"/>
    <w:rsid w:val="0065620B"/>
    <w:rsid w:val="006562A0"/>
    <w:rsid w:val="006562F4"/>
    <w:rsid w:val="006563ED"/>
    <w:rsid w:val="006576B7"/>
    <w:rsid w:val="00660CDE"/>
    <w:rsid w:val="00661442"/>
    <w:rsid w:val="00663033"/>
    <w:rsid w:val="00663AA3"/>
    <w:rsid w:val="00666EFB"/>
    <w:rsid w:val="00667282"/>
    <w:rsid w:val="00670A8F"/>
    <w:rsid w:val="00671BF9"/>
    <w:rsid w:val="00672D57"/>
    <w:rsid w:val="006735C0"/>
    <w:rsid w:val="006741B6"/>
    <w:rsid w:val="00674800"/>
    <w:rsid w:val="00675457"/>
    <w:rsid w:val="00677839"/>
    <w:rsid w:val="006779F0"/>
    <w:rsid w:val="006801DF"/>
    <w:rsid w:val="006806CF"/>
    <w:rsid w:val="00681308"/>
    <w:rsid w:val="0068181A"/>
    <w:rsid w:val="0068189A"/>
    <w:rsid w:val="0068241B"/>
    <w:rsid w:val="0068534B"/>
    <w:rsid w:val="006865E1"/>
    <w:rsid w:val="00687558"/>
    <w:rsid w:val="0069032B"/>
    <w:rsid w:val="00693198"/>
    <w:rsid w:val="00694C9E"/>
    <w:rsid w:val="00695338"/>
    <w:rsid w:val="006956C8"/>
    <w:rsid w:val="006A20F5"/>
    <w:rsid w:val="006A38B9"/>
    <w:rsid w:val="006A50D3"/>
    <w:rsid w:val="006A546C"/>
    <w:rsid w:val="006A5DA7"/>
    <w:rsid w:val="006A685A"/>
    <w:rsid w:val="006A6A40"/>
    <w:rsid w:val="006A6E73"/>
    <w:rsid w:val="006A70E2"/>
    <w:rsid w:val="006B0ACA"/>
    <w:rsid w:val="006B1840"/>
    <w:rsid w:val="006B1D3A"/>
    <w:rsid w:val="006B206B"/>
    <w:rsid w:val="006B4025"/>
    <w:rsid w:val="006B6136"/>
    <w:rsid w:val="006B6BC8"/>
    <w:rsid w:val="006B78AC"/>
    <w:rsid w:val="006C190E"/>
    <w:rsid w:val="006C1D2F"/>
    <w:rsid w:val="006C484E"/>
    <w:rsid w:val="006C5A90"/>
    <w:rsid w:val="006C7049"/>
    <w:rsid w:val="006D0502"/>
    <w:rsid w:val="006D391C"/>
    <w:rsid w:val="006D3C06"/>
    <w:rsid w:val="006D42B3"/>
    <w:rsid w:val="006D63CD"/>
    <w:rsid w:val="006D76AF"/>
    <w:rsid w:val="006D7892"/>
    <w:rsid w:val="006E05A8"/>
    <w:rsid w:val="006E21F2"/>
    <w:rsid w:val="006E2277"/>
    <w:rsid w:val="006E276E"/>
    <w:rsid w:val="006E3DD8"/>
    <w:rsid w:val="006E3DF1"/>
    <w:rsid w:val="006E4EFC"/>
    <w:rsid w:val="006E5633"/>
    <w:rsid w:val="006E6984"/>
    <w:rsid w:val="006E7B55"/>
    <w:rsid w:val="006F27C0"/>
    <w:rsid w:val="006F39F8"/>
    <w:rsid w:val="006F5058"/>
    <w:rsid w:val="006F58D5"/>
    <w:rsid w:val="006F5DA9"/>
    <w:rsid w:val="006F720B"/>
    <w:rsid w:val="006F7E93"/>
    <w:rsid w:val="007002C0"/>
    <w:rsid w:val="007027EF"/>
    <w:rsid w:val="007028DC"/>
    <w:rsid w:val="00704496"/>
    <w:rsid w:val="00704607"/>
    <w:rsid w:val="007053A5"/>
    <w:rsid w:val="007059B0"/>
    <w:rsid w:val="0070629D"/>
    <w:rsid w:val="00706BCF"/>
    <w:rsid w:val="0071117E"/>
    <w:rsid w:val="00711C86"/>
    <w:rsid w:val="00711E7B"/>
    <w:rsid w:val="00715B74"/>
    <w:rsid w:val="00716E57"/>
    <w:rsid w:val="007170D1"/>
    <w:rsid w:val="00717D08"/>
    <w:rsid w:val="00720C60"/>
    <w:rsid w:val="00721E75"/>
    <w:rsid w:val="007220D0"/>
    <w:rsid w:val="007224D9"/>
    <w:rsid w:val="007239CC"/>
    <w:rsid w:val="00724FCC"/>
    <w:rsid w:val="007263D8"/>
    <w:rsid w:val="00726B96"/>
    <w:rsid w:val="00727E23"/>
    <w:rsid w:val="0073107C"/>
    <w:rsid w:val="00732360"/>
    <w:rsid w:val="007327D2"/>
    <w:rsid w:val="00733E78"/>
    <w:rsid w:val="00735561"/>
    <w:rsid w:val="00736D1D"/>
    <w:rsid w:val="00741243"/>
    <w:rsid w:val="0074244C"/>
    <w:rsid w:val="007445D2"/>
    <w:rsid w:val="00744942"/>
    <w:rsid w:val="007449B1"/>
    <w:rsid w:val="007458C2"/>
    <w:rsid w:val="0074603A"/>
    <w:rsid w:val="00746044"/>
    <w:rsid w:val="0074674A"/>
    <w:rsid w:val="00746B58"/>
    <w:rsid w:val="00747919"/>
    <w:rsid w:val="00750124"/>
    <w:rsid w:val="007501FC"/>
    <w:rsid w:val="007510FD"/>
    <w:rsid w:val="0075409C"/>
    <w:rsid w:val="007564D0"/>
    <w:rsid w:val="00756B36"/>
    <w:rsid w:val="007573A1"/>
    <w:rsid w:val="00757939"/>
    <w:rsid w:val="00757A6F"/>
    <w:rsid w:val="00757A9F"/>
    <w:rsid w:val="00760128"/>
    <w:rsid w:val="0076053E"/>
    <w:rsid w:val="0076124F"/>
    <w:rsid w:val="00761E24"/>
    <w:rsid w:val="00762453"/>
    <w:rsid w:val="00763D47"/>
    <w:rsid w:val="00763ED6"/>
    <w:rsid w:val="007640C0"/>
    <w:rsid w:val="00764BAC"/>
    <w:rsid w:val="00764EC3"/>
    <w:rsid w:val="00766819"/>
    <w:rsid w:val="00766B93"/>
    <w:rsid w:val="007673EC"/>
    <w:rsid w:val="00767A5F"/>
    <w:rsid w:val="00770143"/>
    <w:rsid w:val="00771C32"/>
    <w:rsid w:val="00772E66"/>
    <w:rsid w:val="00773D1F"/>
    <w:rsid w:val="00776CF8"/>
    <w:rsid w:val="0078147D"/>
    <w:rsid w:val="0078383B"/>
    <w:rsid w:val="00783AC1"/>
    <w:rsid w:val="0078559F"/>
    <w:rsid w:val="007859E1"/>
    <w:rsid w:val="00785A65"/>
    <w:rsid w:val="0078731E"/>
    <w:rsid w:val="0078732B"/>
    <w:rsid w:val="007901F6"/>
    <w:rsid w:val="007908A1"/>
    <w:rsid w:val="00791716"/>
    <w:rsid w:val="00791B3D"/>
    <w:rsid w:val="00791D86"/>
    <w:rsid w:val="00794825"/>
    <w:rsid w:val="00794948"/>
    <w:rsid w:val="00796D0C"/>
    <w:rsid w:val="00797404"/>
    <w:rsid w:val="007974AD"/>
    <w:rsid w:val="007A2B90"/>
    <w:rsid w:val="007A2E9D"/>
    <w:rsid w:val="007A32AA"/>
    <w:rsid w:val="007A3C16"/>
    <w:rsid w:val="007A468A"/>
    <w:rsid w:val="007A46F6"/>
    <w:rsid w:val="007A6995"/>
    <w:rsid w:val="007A7922"/>
    <w:rsid w:val="007B0BBD"/>
    <w:rsid w:val="007B15ED"/>
    <w:rsid w:val="007B1BB7"/>
    <w:rsid w:val="007B2530"/>
    <w:rsid w:val="007B2546"/>
    <w:rsid w:val="007B394A"/>
    <w:rsid w:val="007B3D78"/>
    <w:rsid w:val="007B5727"/>
    <w:rsid w:val="007B67F5"/>
    <w:rsid w:val="007B68E3"/>
    <w:rsid w:val="007B6F09"/>
    <w:rsid w:val="007B7EDD"/>
    <w:rsid w:val="007C00C2"/>
    <w:rsid w:val="007C034D"/>
    <w:rsid w:val="007C0537"/>
    <w:rsid w:val="007C718B"/>
    <w:rsid w:val="007D0FDA"/>
    <w:rsid w:val="007D2407"/>
    <w:rsid w:val="007D381A"/>
    <w:rsid w:val="007D5C6A"/>
    <w:rsid w:val="007D5F54"/>
    <w:rsid w:val="007D6A98"/>
    <w:rsid w:val="007D6E14"/>
    <w:rsid w:val="007E02B5"/>
    <w:rsid w:val="007E06E5"/>
    <w:rsid w:val="007E0ECA"/>
    <w:rsid w:val="007E1723"/>
    <w:rsid w:val="007E184A"/>
    <w:rsid w:val="007E1958"/>
    <w:rsid w:val="007E4E35"/>
    <w:rsid w:val="007E5025"/>
    <w:rsid w:val="007E5C0F"/>
    <w:rsid w:val="007E6445"/>
    <w:rsid w:val="007E6622"/>
    <w:rsid w:val="007F0A86"/>
    <w:rsid w:val="007F117D"/>
    <w:rsid w:val="007F453C"/>
    <w:rsid w:val="007F4A03"/>
    <w:rsid w:val="007F699F"/>
    <w:rsid w:val="007F7D64"/>
    <w:rsid w:val="008005E1"/>
    <w:rsid w:val="00800E5D"/>
    <w:rsid w:val="0080145A"/>
    <w:rsid w:val="00802E92"/>
    <w:rsid w:val="00806043"/>
    <w:rsid w:val="008072B8"/>
    <w:rsid w:val="00810783"/>
    <w:rsid w:val="00810975"/>
    <w:rsid w:val="00810B9A"/>
    <w:rsid w:val="00811606"/>
    <w:rsid w:val="008124E9"/>
    <w:rsid w:val="00812A86"/>
    <w:rsid w:val="00812BE7"/>
    <w:rsid w:val="008148DD"/>
    <w:rsid w:val="00814977"/>
    <w:rsid w:val="008173D9"/>
    <w:rsid w:val="00820D4D"/>
    <w:rsid w:val="008228B8"/>
    <w:rsid w:val="00823870"/>
    <w:rsid w:val="00823EE6"/>
    <w:rsid w:val="0082502D"/>
    <w:rsid w:val="0082570D"/>
    <w:rsid w:val="008267FC"/>
    <w:rsid w:val="0082696B"/>
    <w:rsid w:val="00826A92"/>
    <w:rsid w:val="0083070F"/>
    <w:rsid w:val="0083225D"/>
    <w:rsid w:val="00832923"/>
    <w:rsid w:val="008343BE"/>
    <w:rsid w:val="008346FB"/>
    <w:rsid w:val="0084081C"/>
    <w:rsid w:val="00840CF3"/>
    <w:rsid w:val="00841932"/>
    <w:rsid w:val="008423D9"/>
    <w:rsid w:val="008428F9"/>
    <w:rsid w:val="00843007"/>
    <w:rsid w:val="008446D1"/>
    <w:rsid w:val="00845730"/>
    <w:rsid w:val="0084615E"/>
    <w:rsid w:val="00846702"/>
    <w:rsid w:val="00852922"/>
    <w:rsid w:val="008529DB"/>
    <w:rsid w:val="00853A90"/>
    <w:rsid w:val="008553BD"/>
    <w:rsid w:val="00855D01"/>
    <w:rsid w:val="00856375"/>
    <w:rsid w:val="00856C0D"/>
    <w:rsid w:val="00860C54"/>
    <w:rsid w:val="008615D5"/>
    <w:rsid w:val="00862454"/>
    <w:rsid w:val="00862D05"/>
    <w:rsid w:val="00863556"/>
    <w:rsid w:val="008637B0"/>
    <w:rsid w:val="008653E1"/>
    <w:rsid w:val="00865C21"/>
    <w:rsid w:val="00867939"/>
    <w:rsid w:val="00870E09"/>
    <w:rsid w:val="0087103F"/>
    <w:rsid w:val="00871181"/>
    <w:rsid w:val="00871EB9"/>
    <w:rsid w:val="008723E2"/>
    <w:rsid w:val="008731D7"/>
    <w:rsid w:val="00873EED"/>
    <w:rsid w:val="00874B75"/>
    <w:rsid w:val="00875043"/>
    <w:rsid w:val="008765D9"/>
    <w:rsid w:val="0087710B"/>
    <w:rsid w:val="008771F2"/>
    <w:rsid w:val="00877F81"/>
    <w:rsid w:val="00880317"/>
    <w:rsid w:val="00881846"/>
    <w:rsid w:val="00882153"/>
    <w:rsid w:val="00883741"/>
    <w:rsid w:val="0088530E"/>
    <w:rsid w:val="008900DB"/>
    <w:rsid w:val="008911A3"/>
    <w:rsid w:val="0089416A"/>
    <w:rsid w:val="008948C1"/>
    <w:rsid w:val="00894DB7"/>
    <w:rsid w:val="008954C8"/>
    <w:rsid w:val="00895716"/>
    <w:rsid w:val="00895877"/>
    <w:rsid w:val="00895CAB"/>
    <w:rsid w:val="00895EF6"/>
    <w:rsid w:val="0089763A"/>
    <w:rsid w:val="00897A09"/>
    <w:rsid w:val="00897E42"/>
    <w:rsid w:val="008A029E"/>
    <w:rsid w:val="008A095D"/>
    <w:rsid w:val="008A21E8"/>
    <w:rsid w:val="008A4955"/>
    <w:rsid w:val="008A4AB1"/>
    <w:rsid w:val="008A783F"/>
    <w:rsid w:val="008A7DC4"/>
    <w:rsid w:val="008B39B1"/>
    <w:rsid w:val="008B4DFD"/>
    <w:rsid w:val="008B7059"/>
    <w:rsid w:val="008C239D"/>
    <w:rsid w:val="008C25D9"/>
    <w:rsid w:val="008C2BD1"/>
    <w:rsid w:val="008C38EC"/>
    <w:rsid w:val="008C5080"/>
    <w:rsid w:val="008C5A9A"/>
    <w:rsid w:val="008C66FE"/>
    <w:rsid w:val="008C69D8"/>
    <w:rsid w:val="008C7162"/>
    <w:rsid w:val="008C76BF"/>
    <w:rsid w:val="008C7C35"/>
    <w:rsid w:val="008D09BE"/>
    <w:rsid w:val="008D19E9"/>
    <w:rsid w:val="008D1EBA"/>
    <w:rsid w:val="008D441A"/>
    <w:rsid w:val="008D470D"/>
    <w:rsid w:val="008D7BE4"/>
    <w:rsid w:val="008E30B5"/>
    <w:rsid w:val="008E4FB8"/>
    <w:rsid w:val="008E7177"/>
    <w:rsid w:val="008F0501"/>
    <w:rsid w:val="008F1266"/>
    <w:rsid w:val="008F1A6B"/>
    <w:rsid w:val="008F1BBB"/>
    <w:rsid w:val="008F25FD"/>
    <w:rsid w:val="008F3233"/>
    <w:rsid w:val="008F4088"/>
    <w:rsid w:val="008F706B"/>
    <w:rsid w:val="008F73E5"/>
    <w:rsid w:val="00900B91"/>
    <w:rsid w:val="009011E8"/>
    <w:rsid w:val="0090257F"/>
    <w:rsid w:val="0090315D"/>
    <w:rsid w:val="009032D0"/>
    <w:rsid w:val="00903867"/>
    <w:rsid w:val="0090514F"/>
    <w:rsid w:val="00906D7F"/>
    <w:rsid w:val="00907672"/>
    <w:rsid w:val="0091111E"/>
    <w:rsid w:val="00911CC4"/>
    <w:rsid w:val="00912739"/>
    <w:rsid w:val="00912C14"/>
    <w:rsid w:val="00913BDA"/>
    <w:rsid w:val="0092171F"/>
    <w:rsid w:val="00921C91"/>
    <w:rsid w:val="00922DBB"/>
    <w:rsid w:val="00923435"/>
    <w:rsid w:val="00923F9E"/>
    <w:rsid w:val="00924EAF"/>
    <w:rsid w:val="00924EED"/>
    <w:rsid w:val="00925479"/>
    <w:rsid w:val="00925E7B"/>
    <w:rsid w:val="00926B78"/>
    <w:rsid w:val="00926FBB"/>
    <w:rsid w:val="0092732F"/>
    <w:rsid w:val="009308BB"/>
    <w:rsid w:val="009325DD"/>
    <w:rsid w:val="009331FC"/>
    <w:rsid w:val="00935E77"/>
    <w:rsid w:val="009363B1"/>
    <w:rsid w:val="00936EC8"/>
    <w:rsid w:val="00936FF4"/>
    <w:rsid w:val="00937B71"/>
    <w:rsid w:val="00940FBB"/>
    <w:rsid w:val="00943120"/>
    <w:rsid w:val="00943129"/>
    <w:rsid w:val="00943A99"/>
    <w:rsid w:val="00944930"/>
    <w:rsid w:val="00944BE1"/>
    <w:rsid w:val="0094510F"/>
    <w:rsid w:val="00945EBF"/>
    <w:rsid w:val="009507B7"/>
    <w:rsid w:val="009507DD"/>
    <w:rsid w:val="009510AE"/>
    <w:rsid w:val="00952213"/>
    <w:rsid w:val="009533F6"/>
    <w:rsid w:val="009535C8"/>
    <w:rsid w:val="009538A0"/>
    <w:rsid w:val="009538E7"/>
    <w:rsid w:val="00954191"/>
    <w:rsid w:val="009552CE"/>
    <w:rsid w:val="00957B0C"/>
    <w:rsid w:val="009601BE"/>
    <w:rsid w:val="00961814"/>
    <w:rsid w:val="009626AB"/>
    <w:rsid w:val="009633AB"/>
    <w:rsid w:val="00964810"/>
    <w:rsid w:val="009652F9"/>
    <w:rsid w:val="00965B67"/>
    <w:rsid w:val="00965EB0"/>
    <w:rsid w:val="00965F99"/>
    <w:rsid w:val="00966233"/>
    <w:rsid w:val="0096647E"/>
    <w:rsid w:val="00966FBF"/>
    <w:rsid w:val="0096703F"/>
    <w:rsid w:val="0097103D"/>
    <w:rsid w:val="009716D5"/>
    <w:rsid w:val="0097188D"/>
    <w:rsid w:val="00971D30"/>
    <w:rsid w:val="00971E77"/>
    <w:rsid w:val="00974975"/>
    <w:rsid w:val="00975286"/>
    <w:rsid w:val="00975974"/>
    <w:rsid w:val="00975E04"/>
    <w:rsid w:val="00976E2B"/>
    <w:rsid w:val="009778F0"/>
    <w:rsid w:val="00981E4D"/>
    <w:rsid w:val="0098206E"/>
    <w:rsid w:val="009836AF"/>
    <w:rsid w:val="009856E7"/>
    <w:rsid w:val="009870AE"/>
    <w:rsid w:val="009915D7"/>
    <w:rsid w:val="00993F3E"/>
    <w:rsid w:val="009944E8"/>
    <w:rsid w:val="00995A5F"/>
    <w:rsid w:val="009A2503"/>
    <w:rsid w:val="009A29A4"/>
    <w:rsid w:val="009A30C8"/>
    <w:rsid w:val="009A3BE7"/>
    <w:rsid w:val="009A4125"/>
    <w:rsid w:val="009A4593"/>
    <w:rsid w:val="009A797B"/>
    <w:rsid w:val="009B0E4B"/>
    <w:rsid w:val="009B14C8"/>
    <w:rsid w:val="009B527E"/>
    <w:rsid w:val="009C024E"/>
    <w:rsid w:val="009C19D9"/>
    <w:rsid w:val="009C311F"/>
    <w:rsid w:val="009C3476"/>
    <w:rsid w:val="009C3722"/>
    <w:rsid w:val="009C3D5E"/>
    <w:rsid w:val="009C4FC9"/>
    <w:rsid w:val="009C5811"/>
    <w:rsid w:val="009C7466"/>
    <w:rsid w:val="009D0844"/>
    <w:rsid w:val="009D0971"/>
    <w:rsid w:val="009D0FCE"/>
    <w:rsid w:val="009D2301"/>
    <w:rsid w:val="009D24F0"/>
    <w:rsid w:val="009D320C"/>
    <w:rsid w:val="009D4136"/>
    <w:rsid w:val="009D5635"/>
    <w:rsid w:val="009D7A4D"/>
    <w:rsid w:val="009E0733"/>
    <w:rsid w:val="009E1BFA"/>
    <w:rsid w:val="009E375E"/>
    <w:rsid w:val="009E53F3"/>
    <w:rsid w:val="009E626A"/>
    <w:rsid w:val="009F0CF3"/>
    <w:rsid w:val="009F1BED"/>
    <w:rsid w:val="009F1C52"/>
    <w:rsid w:val="009F1E8B"/>
    <w:rsid w:val="009F22EC"/>
    <w:rsid w:val="009F251E"/>
    <w:rsid w:val="009F2F52"/>
    <w:rsid w:val="009F35E1"/>
    <w:rsid w:val="009F366C"/>
    <w:rsid w:val="009F43E1"/>
    <w:rsid w:val="009F4D4F"/>
    <w:rsid w:val="009F5CBA"/>
    <w:rsid w:val="009F5F7D"/>
    <w:rsid w:val="009F6516"/>
    <w:rsid w:val="009F6B33"/>
    <w:rsid w:val="009F7CB7"/>
    <w:rsid w:val="00A0081D"/>
    <w:rsid w:val="00A0122D"/>
    <w:rsid w:val="00A016DB"/>
    <w:rsid w:val="00A027A9"/>
    <w:rsid w:val="00A02F5F"/>
    <w:rsid w:val="00A04F1D"/>
    <w:rsid w:val="00A06506"/>
    <w:rsid w:val="00A07A1B"/>
    <w:rsid w:val="00A07D71"/>
    <w:rsid w:val="00A07EFA"/>
    <w:rsid w:val="00A104ED"/>
    <w:rsid w:val="00A10576"/>
    <w:rsid w:val="00A10BE7"/>
    <w:rsid w:val="00A10BF0"/>
    <w:rsid w:val="00A1287D"/>
    <w:rsid w:val="00A139A3"/>
    <w:rsid w:val="00A13F82"/>
    <w:rsid w:val="00A14603"/>
    <w:rsid w:val="00A14E9E"/>
    <w:rsid w:val="00A153A5"/>
    <w:rsid w:val="00A15D38"/>
    <w:rsid w:val="00A16AC4"/>
    <w:rsid w:val="00A208B3"/>
    <w:rsid w:val="00A20B04"/>
    <w:rsid w:val="00A21260"/>
    <w:rsid w:val="00A21BBB"/>
    <w:rsid w:val="00A21F80"/>
    <w:rsid w:val="00A238AD"/>
    <w:rsid w:val="00A24D7A"/>
    <w:rsid w:val="00A2579E"/>
    <w:rsid w:val="00A26950"/>
    <w:rsid w:val="00A27921"/>
    <w:rsid w:val="00A27C38"/>
    <w:rsid w:val="00A27C4E"/>
    <w:rsid w:val="00A31FF4"/>
    <w:rsid w:val="00A32B1A"/>
    <w:rsid w:val="00A33660"/>
    <w:rsid w:val="00A33956"/>
    <w:rsid w:val="00A400DD"/>
    <w:rsid w:val="00A42046"/>
    <w:rsid w:val="00A42EEE"/>
    <w:rsid w:val="00A43F22"/>
    <w:rsid w:val="00A44C7A"/>
    <w:rsid w:val="00A45593"/>
    <w:rsid w:val="00A46785"/>
    <w:rsid w:val="00A47855"/>
    <w:rsid w:val="00A478DC"/>
    <w:rsid w:val="00A50369"/>
    <w:rsid w:val="00A506A8"/>
    <w:rsid w:val="00A53EC8"/>
    <w:rsid w:val="00A55086"/>
    <w:rsid w:val="00A564BD"/>
    <w:rsid w:val="00A568D3"/>
    <w:rsid w:val="00A602BE"/>
    <w:rsid w:val="00A62146"/>
    <w:rsid w:val="00A62623"/>
    <w:rsid w:val="00A62967"/>
    <w:rsid w:val="00A62A16"/>
    <w:rsid w:val="00A633BB"/>
    <w:rsid w:val="00A6356C"/>
    <w:rsid w:val="00A644B4"/>
    <w:rsid w:val="00A644B5"/>
    <w:rsid w:val="00A649A7"/>
    <w:rsid w:val="00A6531B"/>
    <w:rsid w:val="00A657EB"/>
    <w:rsid w:val="00A672B5"/>
    <w:rsid w:val="00A7048D"/>
    <w:rsid w:val="00A7063C"/>
    <w:rsid w:val="00A70A4D"/>
    <w:rsid w:val="00A738F4"/>
    <w:rsid w:val="00A74AD7"/>
    <w:rsid w:val="00A75730"/>
    <w:rsid w:val="00A75C19"/>
    <w:rsid w:val="00A75E06"/>
    <w:rsid w:val="00A763DD"/>
    <w:rsid w:val="00A777AD"/>
    <w:rsid w:val="00A8196A"/>
    <w:rsid w:val="00A81AD4"/>
    <w:rsid w:val="00A81B96"/>
    <w:rsid w:val="00A81C7B"/>
    <w:rsid w:val="00A8281C"/>
    <w:rsid w:val="00A82DB4"/>
    <w:rsid w:val="00A83125"/>
    <w:rsid w:val="00A8336A"/>
    <w:rsid w:val="00A83CE0"/>
    <w:rsid w:val="00A85AD4"/>
    <w:rsid w:val="00A8627E"/>
    <w:rsid w:val="00A86B16"/>
    <w:rsid w:val="00A90332"/>
    <w:rsid w:val="00A90985"/>
    <w:rsid w:val="00A90D6B"/>
    <w:rsid w:val="00A90F9F"/>
    <w:rsid w:val="00A915CD"/>
    <w:rsid w:val="00A93B2D"/>
    <w:rsid w:val="00A96ED8"/>
    <w:rsid w:val="00AA07EE"/>
    <w:rsid w:val="00AA09A2"/>
    <w:rsid w:val="00AA10D3"/>
    <w:rsid w:val="00AA118E"/>
    <w:rsid w:val="00AA15E4"/>
    <w:rsid w:val="00AA1EAC"/>
    <w:rsid w:val="00AA1FFF"/>
    <w:rsid w:val="00AA216E"/>
    <w:rsid w:val="00AA521E"/>
    <w:rsid w:val="00AA6162"/>
    <w:rsid w:val="00AA69EA"/>
    <w:rsid w:val="00AB00C6"/>
    <w:rsid w:val="00AB19CC"/>
    <w:rsid w:val="00AB267A"/>
    <w:rsid w:val="00AB3B03"/>
    <w:rsid w:val="00AB54E6"/>
    <w:rsid w:val="00AB7856"/>
    <w:rsid w:val="00AB7FDD"/>
    <w:rsid w:val="00AC0DC5"/>
    <w:rsid w:val="00AC11BC"/>
    <w:rsid w:val="00AC13E3"/>
    <w:rsid w:val="00AC27B3"/>
    <w:rsid w:val="00AC2EDF"/>
    <w:rsid w:val="00AC3A26"/>
    <w:rsid w:val="00AC4CA0"/>
    <w:rsid w:val="00AC60C2"/>
    <w:rsid w:val="00AC6AA6"/>
    <w:rsid w:val="00AD0C90"/>
    <w:rsid w:val="00AD3BA8"/>
    <w:rsid w:val="00AD4D61"/>
    <w:rsid w:val="00AD536F"/>
    <w:rsid w:val="00AD558B"/>
    <w:rsid w:val="00AD5BFB"/>
    <w:rsid w:val="00AD5E0E"/>
    <w:rsid w:val="00AD6381"/>
    <w:rsid w:val="00AD679D"/>
    <w:rsid w:val="00AD7003"/>
    <w:rsid w:val="00AD73CB"/>
    <w:rsid w:val="00AD75D0"/>
    <w:rsid w:val="00AE0A19"/>
    <w:rsid w:val="00AE1643"/>
    <w:rsid w:val="00AE2CA0"/>
    <w:rsid w:val="00AE2D6C"/>
    <w:rsid w:val="00AE42DF"/>
    <w:rsid w:val="00AE6611"/>
    <w:rsid w:val="00AE6BE1"/>
    <w:rsid w:val="00AE6D5A"/>
    <w:rsid w:val="00AE7A6F"/>
    <w:rsid w:val="00AF0F79"/>
    <w:rsid w:val="00AF28A5"/>
    <w:rsid w:val="00AF5E94"/>
    <w:rsid w:val="00AF68FB"/>
    <w:rsid w:val="00AF6F34"/>
    <w:rsid w:val="00AF7E04"/>
    <w:rsid w:val="00B002FC"/>
    <w:rsid w:val="00B01C00"/>
    <w:rsid w:val="00B02D48"/>
    <w:rsid w:val="00B03333"/>
    <w:rsid w:val="00B05175"/>
    <w:rsid w:val="00B0726B"/>
    <w:rsid w:val="00B07919"/>
    <w:rsid w:val="00B07E58"/>
    <w:rsid w:val="00B10A12"/>
    <w:rsid w:val="00B11D2A"/>
    <w:rsid w:val="00B13765"/>
    <w:rsid w:val="00B137A6"/>
    <w:rsid w:val="00B175E4"/>
    <w:rsid w:val="00B20D4D"/>
    <w:rsid w:val="00B2354F"/>
    <w:rsid w:val="00B237A8"/>
    <w:rsid w:val="00B241E1"/>
    <w:rsid w:val="00B24850"/>
    <w:rsid w:val="00B25206"/>
    <w:rsid w:val="00B30358"/>
    <w:rsid w:val="00B31691"/>
    <w:rsid w:val="00B31E66"/>
    <w:rsid w:val="00B32998"/>
    <w:rsid w:val="00B33197"/>
    <w:rsid w:val="00B3344A"/>
    <w:rsid w:val="00B3353F"/>
    <w:rsid w:val="00B335C2"/>
    <w:rsid w:val="00B33EE4"/>
    <w:rsid w:val="00B348BB"/>
    <w:rsid w:val="00B35E8A"/>
    <w:rsid w:val="00B3691E"/>
    <w:rsid w:val="00B43193"/>
    <w:rsid w:val="00B43533"/>
    <w:rsid w:val="00B43E04"/>
    <w:rsid w:val="00B443DC"/>
    <w:rsid w:val="00B44B5C"/>
    <w:rsid w:val="00B45E6B"/>
    <w:rsid w:val="00B461A3"/>
    <w:rsid w:val="00B506B9"/>
    <w:rsid w:val="00B52602"/>
    <w:rsid w:val="00B53521"/>
    <w:rsid w:val="00B53678"/>
    <w:rsid w:val="00B5493A"/>
    <w:rsid w:val="00B55AB1"/>
    <w:rsid w:val="00B5661A"/>
    <w:rsid w:val="00B56946"/>
    <w:rsid w:val="00B57641"/>
    <w:rsid w:val="00B64FDC"/>
    <w:rsid w:val="00B65F32"/>
    <w:rsid w:val="00B6705B"/>
    <w:rsid w:val="00B670AA"/>
    <w:rsid w:val="00B67A4F"/>
    <w:rsid w:val="00B70362"/>
    <w:rsid w:val="00B731F1"/>
    <w:rsid w:val="00B73475"/>
    <w:rsid w:val="00B73B54"/>
    <w:rsid w:val="00B74C23"/>
    <w:rsid w:val="00B773D4"/>
    <w:rsid w:val="00B77A43"/>
    <w:rsid w:val="00B80113"/>
    <w:rsid w:val="00B80885"/>
    <w:rsid w:val="00B80D26"/>
    <w:rsid w:val="00B81607"/>
    <w:rsid w:val="00B818A9"/>
    <w:rsid w:val="00B8374B"/>
    <w:rsid w:val="00B83F92"/>
    <w:rsid w:val="00B84C2A"/>
    <w:rsid w:val="00B84E38"/>
    <w:rsid w:val="00B85191"/>
    <w:rsid w:val="00B85549"/>
    <w:rsid w:val="00B858DA"/>
    <w:rsid w:val="00B87502"/>
    <w:rsid w:val="00B879C1"/>
    <w:rsid w:val="00B91222"/>
    <w:rsid w:val="00B92C1F"/>
    <w:rsid w:val="00B933E7"/>
    <w:rsid w:val="00B9447F"/>
    <w:rsid w:val="00B97BDA"/>
    <w:rsid w:val="00B97C60"/>
    <w:rsid w:val="00BA1F08"/>
    <w:rsid w:val="00BA334E"/>
    <w:rsid w:val="00BA44E0"/>
    <w:rsid w:val="00BA4FBB"/>
    <w:rsid w:val="00BA7C00"/>
    <w:rsid w:val="00BB13B5"/>
    <w:rsid w:val="00BB36DC"/>
    <w:rsid w:val="00BB3BBE"/>
    <w:rsid w:val="00BB464A"/>
    <w:rsid w:val="00BC0ADF"/>
    <w:rsid w:val="00BC1B9A"/>
    <w:rsid w:val="00BC2386"/>
    <w:rsid w:val="00BC2AA3"/>
    <w:rsid w:val="00BC2E18"/>
    <w:rsid w:val="00BC3104"/>
    <w:rsid w:val="00BC4C97"/>
    <w:rsid w:val="00BC646F"/>
    <w:rsid w:val="00BC6C49"/>
    <w:rsid w:val="00BD019E"/>
    <w:rsid w:val="00BD2055"/>
    <w:rsid w:val="00BD21A1"/>
    <w:rsid w:val="00BD43E2"/>
    <w:rsid w:val="00BD441D"/>
    <w:rsid w:val="00BD609D"/>
    <w:rsid w:val="00BD6BBF"/>
    <w:rsid w:val="00BD723A"/>
    <w:rsid w:val="00BD7841"/>
    <w:rsid w:val="00BE3556"/>
    <w:rsid w:val="00BE4A7F"/>
    <w:rsid w:val="00BE590E"/>
    <w:rsid w:val="00BF2F71"/>
    <w:rsid w:val="00BF3216"/>
    <w:rsid w:val="00BF50D9"/>
    <w:rsid w:val="00BF51DB"/>
    <w:rsid w:val="00BF5364"/>
    <w:rsid w:val="00BF56FE"/>
    <w:rsid w:val="00BF6CAA"/>
    <w:rsid w:val="00BF6D67"/>
    <w:rsid w:val="00C00025"/>
    <w:rsid w:val="00C01912"/>
    <w:rsid w:val="00C02DB6"/>
    <w:rsid w:val="00C03D31"/>
    <w:rsid w:val="00C03F19"/>
    <w:rsid w:val="00C04040"/>
    <w:rsid w:val="00C044FE"/>
    <w:rsid w:val="00C054A6"/>
    <w:rsid w:val="00C0561F"/>
    <w:rsid w:val="00C05890"/>
    <w:rsid w:val="00C05C6E"/>
    <w:rsid w:val="00C05F33"/>
    <w:rsid w:val="00C061C2"/>
    <w:rsid w:val="00C14C55"/>
    <w:rsid w:val="00C154B6"/>
    <w:rsid w:val="00C1632D"/>
    <w:rsid w:val="00C165C8"/>
    <w:rsid w:val="00C2098B"/>
    <w:rsid w:val="00C211FD"/>
    <w:rsid w:val="00C21272"/>
    <w:rsid w:val="00C217A7"/>
    <w:rsid w:val="00C224A9"/>
    <w:rsid w:val="00C24662"/>
    <w:rsid w:val="00C25A26"/>
    <w:rsid w:val="00C2773D"/>
    <w:rsid w:val="00C33CF0"/>
    <w:rsid w:val="00C347E1"/>
    <w:rsid w:val="00C36B00"/>
    <w:rsid w:val="00C37192"/>
    <w:rsid w:val="00C40AA4"/>
    <w:rsid w:val="00C40C8F"/>
    <w:rsid w:val="00C40DA5"/>
    <w:rsid w:val="00C41FD9"/>
    <w:rsid w:val="00C4256E"/>
    <w:rsid w:val="00C4308F"/>
    <w:rsid w:val="00C43413"/>
    <w:rsid w:val="00C434B3"/>
    <w:rsid w:val="00C441D5"/>
    <w:rsid w:val="00C443BA"/>
    <w:rsid w:val="00C45933"/>
    <w:rsid w:val="00C47B00"/>
    <w:rsid w:val="00C50144"/>
    <w:rsid w:val="00C548F2"/>
    <w:rsid w:val="00C574D9"/>
    <w:rsid w:val="00C603EE"/>
    <w:rsid w:val="00C60A82"/>
    <w:rsid w:val="00C60CE5"/>
    <w:rsid w:val="00C62169"/>
    <w:rsid w:val="00C62BE0"/>
    <w:rsid w:val="00C641E4"/>
    <w:rsid w:val="00C66CE7"/>
    <w:rsid w:val="00C7124D"/>
    <w:rsid w:val="00C71557"/>
    <w:rsid w:val="00C72BF3"/>
    <w:rsid w:val="00C73769"/>
    <w:rsid w:val="00C743DE"/>
    <w:rsid w:val="00C74C90"/>
    <w:rsid w:val="00C74F03"/>
    <w:rsid w:val="00C75F3B"/>
    <w:rsid w:val="00C76046"/>
    <w:rsid w:val="00C76FEB"/>
    <w:rsid w:val="00C7797D"/>
    <w:rsid w:val="00C77C37"/>
    <w:rsid w:val="00C80098"/>
    <w:rsid w:val="00C8271E"/>
    <w:rsid w:val="00C827CC"/>
    <w:rsid w:val="00C8320A"/>
    <w:rsid w:val="00C866A7"/>
    <w:rsid w:val="00C873BE"/>
    <w:rsid w:val="00C877B2"/>
    <w:rsid w:val="00C923FD"/>
    <w:rsid w:val="00C937D6"/>
    <w:rsid w:val="00C9492B"/>
    <w:rsid w:val="00C94E30"/>
    <w:rsid w:val="00C97583"/>
    <w:rsid w:val="00C97BAD"/>
    <w:rsid w:val="00CA0DAB"/>
    <w:rsid w:val="00CA12DE"/>
    <w:rsid w:val="00CA2934"/>
    <w:rsid w:val="00CA63FD"/>
    <w:rsid w:val="00CA6698"/>
    <w:rsid w:val="00CB00F1"/>
    <w:rsid w:val="00CB02DB"/>
    <w:rsid w:val="00CB2788"/>
    <w:rsid w:val="00CB2E1F"/>
    <w:rsid w:val="00CB3386"/>
    <w:rsid w:val="00CB4FCC"/>
    <w:rsid w:val="00CB59BD"/>
    <w:rsid w:val="00CC094F"/>
    <w:rsid w:val="00CC0E65"/>
    <w:rsid w:val="00CC16BA"/>
    <w:rsid w:val="00CC1BC2"/>
    <w:rsid w:val="00CC2654"/>
    <w:rsid w:val="00CC2DA1"/>
    <w:rsid w:val="00CC37B8"/>
    <w:rsid w:val="00CC39ED"/>
    <w:rsid w:val="00CC3BE7"/>
    <w:rsid w:val="00CC3C01"/>
    <w:rsid w:val="00CC4423"/>
    <w:rsid w:val="00CC5947"/>
    <w:rsid w:val="00CC6632"/>
    <w:rsid w:val="00CD0121"/>
    <w:rsid w:val="00CD0EB8"/>
    <w:rsid w:val="00CD1219"/>
    <w:rsid w:val="00CD6541"/>
    <w:rsid w:val="00CD661E"/>
    <w:rsid w:val="00CE049E"/>
    <w:rsid w:val="00CE1AD0"/>
    <w:rsid w:val="00CE1B7A"/>
    <w:rsid w:val="00CE26C2"/>
    <w:rsid w:val="00CE28BB"/>
    <w:rsid w:val="00CE4F47"/>
    <w:rsid w:val="00CE7076"/>
    <w:rsid w:val="00CE7316"/>
    <w:rsid w:val="00CE7890"/>
    <w:rsid w:val="00CF10A2"/>
    <w:rsid w:val="00CF1510"/>
    <w:rsid w:val="00CF18A6"/>
    <w:rsid w:val="00CF1E63"/>
    <w:rsid w:val="00CF362F"/>
    <w:rsid w:val="00CF390F"/>
    <w:rsid w:val="00CF5257"/>
    <w:rsid w:val="00CF5A3C"/>
    <w:rsid w:val="00CF5B15"/>
    <w:rsid w:val="00CF67B4"/>
    <w:rsid w:val="00CF6BE3"/>
    <w:rsid w:val="00D023A1"/>
    <w:rsid w:val="00D0269F"/>
    <w:rsid w:val="00D03479"/>
    <w:rsid w:val="00D04755"/>
    <w:rsid w:val="00D07932"/>
    <w:rsid w:val="00D07BDE"/>
    <w:rsid w:val="00D07E08"/>
    <w:rsid w:val="00D103B0"/>
    <w:rsid w:val="00D10D4C"/>
    <w:rsid w:val="00D1156C"/>
    <w:rsid w:val="00D11C5C"/>
    <w:rsid w:val="00D1267D"/>
    <w:rsid w:val="00D132F4"/>
    <w:rsid w:val="00D13CF1"/>
    <w:rsid w:val="00D14AE1"/>
    <w:rsid w:val="00D15290"/>
    <w:rsid w:val="00D15A13"/>
    <w:rsid w:val="00D16288"/>
    <w:rsid w:val="00D16C8D"/>
    <w:rsid w:val="00D16FC5"/>
    <w:rsid w:val="00D1717A"/>
    <w:rsid w:val="00D1755E"/>
    <w:rsid w:val="00D1782D"/>
    <w:rsid w:val="00D17A24"/>
    <w:rsid w:val="00D2019B"/>
    <w:rsid w:val="00D21251"/>
    <w:rsid w:val="00D22291"/>
    <w:rsid w:val="00D22E73"/>
    <w:rsid w:val="00D23DAE"/>
    <w:rsid w:val="00D2493C"/>
    <w:rsid w:val="00D24BEB"/>
    <w:rsid w:val="00D2556D"/>
    <w:rsid w:val="00D25F9A"/>
    <w:rsid w:val="00D26505"/>
    <w:rsid w:val="00D27E11"/>
    <w:rsid w:val="00D30BF4"/>
    <w:rsid w:val="00D33444"/>
    <w:rsid w:val="00D33712"/>
    <w:rsid w:val="00D35A3B"/>
    <w:rsid w:val="00D35C2D"/>
    <w:rsid w:val="00D36529"/>
    <w:rsid w:val="00D37EA7"/>
    <w:rsid w:val="00D447E2"/>
    <w:rsid w:val="00D44C1D"/>
    <w:rsid w:val="00D44D7C"/>
    <w:rsid w:val="00D452E5"/>
    <w:rsid w:val="00D4627C"/>
    <w:rsid w:val="00D462A4"/>
    <w:rsid w:val="00D46A39"/>
    <w:rsid w:val="00D4715E"/>
    <w:rsid w:val="00D505AA"/>
    <w:rsid w:val="00D519BC"/>
    <w:rsid w:val="00D52F94"/>
    <w:rsid w:val="00D5407B"/>
    <w:rsid w:val="00D54FDB"/>
    <w:rsid w:val="00D557B9"/>
    <w:rsid w:val="00D557D9"/>
    <w:rsid w:val="00D55F66"/>
    <w:rsid w:val="00D56CFF"/>
    <w:rsid w:val="00D62653"/>
    <w:rsid w:val="00D6299C"/>
    <w:rsid w:val="00D63FD7"/>
    <w:rsid w:val="00D660FD"/>
    <w:rsid w:val="00D663D4"/>
    <w:rsid w:val="00D66800"/>
    <w:rsid w:val="00D669C8"/>
    <w:rsid w:val="00D66F68"/>
    <w:rsid w:val="00D713A0"/>
    <w:rsid w:val="00D73680"/>
    <w:rsid w:val="00D73D28"/>
    <w:rsid w:val="00D73EF7"/>
    <w:rsid w:val="00D7473F"/>
    <w:rsid w:val="00D7516B"/>
    <w:rsid w:val="00D7745D"/>
    <w:rsid w:val="00D777B9"/>
    <w:rsid w:val="00D77FA1"/>
    <w:rsid w:val="00D80215"/>
    <w:rsid w:val="00D82F3A"/>
    <w:rsid w:val="00D83FA6"/>
    <w:rsid w:val="00D845E9"/>
    <w:rsid w:val="00D84687"/>
    <w:rsid w:val="00D854FC"/>
    <w:rsid w:val="00D85B48"/>
    <w:rsid w:val="00D85E66"/>
    <w:rsid w:val="00D8700E"/>
    <w:rsid w:val="00D877AE"/>
    <w:rsid w:val="00D92BD5"/>
    <w:rsid w:val="00D92E79"/>
    <w:rsid w:val="00D938A7"/>
    <w:rsid w:val="00D94F90"/>
    <w:rsid w:val="00D9622E"/>
    <w:rsid w:val="00D96A43"/>
    <w:rsid w:val="00D96E0F"/>
    <w:rsid w:val="00D975E3"/>
    <w:rsid w:val="00DA039B"/>
    <w:rsid w:val="00DA37EC"/>
    <w:rsid w:val="00DA539D"/>
    <w:rsid w:val="00DA588A"/>
    <w:rsid w:val="00DA6E5B"/>
    <w:rsid w:val="00DB0474"/>
    <w:rsid w:val="00DB0CBA"/>
    <w:rsid w:val="00DB1517"/>
    <w:rsid w:val="00DB3D59"/>
    <w:rsid w:val="00DB4149"/>
    <w:rsid w:val="00DB42E9"/>
    <w:rsid w:val="00DB778E"/>
    <w:rsid w:val="00DC101E"/>
    <w:rsid w:val="00DC1A2F"/>
    <w:rsid w:val="00DC313A"/>
    <w:rsid w:val="00DC4FF9"/>
    <w:rsid w:val="00DD01C2"/>
    <w:rsid w:val="00DD0FA5"/>
    <w:rsid w:val="00DD11A3"/>
    <w:rsid w:val="00DD289F"/>
    <w:rsid w:val="00DD30AD"/>
    <w:rsid w:val="00DD60DB"/>
    <w:rsid w:val="00DD6129"/>
    <w:rsid w:val="00DD63F8"/>
    <w:rsid w:val="00DD65FC"/>
    <w:rsid w:val="00DE0E34"/>
    <w:rsid w:val="00DE1A65"/>
    <w:rsid w:val="00DE3512"/>
    <w:rsid w:val="00DE62DC"/>
    <w:rsid w:val="00DE63C6"/>
    <w:rsid w:val="00DE64EC"/>
    <w:rsid w:val="00DE6651"/>
    <w:rsid w:val="00DE7566"/>
    <w:rsid w:val="00DE7D36"/>
    <w:rsid w:val="00DF10B6"/>
    <w:rsid w:val="00DF18AC"/>
    <w:rsid w:val="00DF1FEE"/>
    <w:rsid w:val="00DF22E6"/>
    <w:rsid w:val="00DF2691"/>
    <w:rsid w:val="00DF2CE4"/>
    <w:rsid w:val="00DF5E07"/>
    <w:rsid w:val="00DF6E2D"/>
    <w:rsid w:val="00E018C3"/>
    <w:rsid w:val="00E04B41"/>
    <w:rsid w:val="00E07041"/>
    <w:rsid w:val="00E0774E"/>
    <w:rsid w:val="00E07D42"/>
    <w:rsid w:val="00E1192B"/>
    <w:rsid w:val="00E128E0"/>
    <w:rsid w:val="00E13824"/>
    <w:rsid w:val="00E16383"/>
    <w:rsid w:val="00E16D4F"/>
    <w:rsid w:val="00E1765C"/>
    <w:rsid w:val="00E17C4F"/>
    <w:rsid w:val="00E17CF1"/>
    <w:rsid w:val="00E200B2"/>
    <w:rsid w:val="00E20938"/>
    <w:rsid w:val="00E22774"/>
    <w:rsid w:val="00E232DF"/>
    <w:rsid w:val="00E24264"/>
    <w:rsid w:val="00E26912"/>
    <w:rsid w:val="00E2693E"/>
    <w:rsid w:val="00E30134"/>
    <w:rsid w:val="00E31206"/>
    <w:rsid w:val="00E31DAC"/>
    <w:rsid w:val="00E32A90"/>
    <w:rsid w:val="00E3317D"/>
    <w:rsid w:val="00E3388A"/>
    <w:rsid w:val="00E3394D"/>
    <w:rsid w:val="00E3471A"/>
    <w:rsid w:val="00E41087"/>
    <w:rsid w:val="00E4113D"/>
    <w:rsid w:val="00E42B84"/>
    <w:rsid w:val="00E43F39"/>
    <w:rsid w:val="00E46040"/>
    <w:rsid w:val="00E46057"/>
    <w:rsid w:val="00E468B0"/>
    <w:rsid w:val="00E46A1C"/>
    <w:rsid w:val="00E5066B"/>
    <w:rsid w:val="00E50C8F"/>
    <w:rsid w:val="00E51C33"/>
    <w:rsid w:val="00E52327"/>
    <w:rsid w:val="00E541A6"/>
    <w:rsid w:val="00E54983"/>
    <w:rsid w:val="00E5734B"/>
    <w:rsid w:val="00E607D1"/>
    <w:rsid w:val="00E609CE"/>
    <w:rsid w:val="00E60DBF"/>
    <w:rsid w:val="00E61C9B"/>
    <w:rsid w:val="00E61CEC"/>
    <w:rsid w:val="00E639A8"/>
    <w:rsid w:val="00E65537"/>
    <w:rsid w:val="00E664BB"/>
    <w:rsid w:val="00E66790"/>
    <w:rsid w:val="00E6760C"/>
    <w:rsid w:val="00E708E3"/>
    <w:rsid w:val="00E7098A"/>
    <w:rsid w:val="00E71554"/>
    <w:rsid w:val="00E71D3A"/>
    <w:rsid w:val="00E76C65"/>
    <w:rsid w:val="00E77B24"/>
    <w:rsid w:val="00E80FEC"/>
    <w:rsid w:val="00E84343"/>
    <w:rsid w:val="00E84A80"/>
    <w:rsid w:val="00E84BC5"/>
    <w:rsid w:val="00E859E2"/>
    <w:rsid w:val="00E86E40"/>
    <w:rsid w:val="00E87073"/>
    <w:rsid w:val="00E9071F"/>
    <w:rsid w:val="00E90C9E"/>
    <w:rsid w:val="00E90DDC"/>
    <w:rsid w:val="00E915A1"/>
    <w:rsid w:val="00E9190F"/>
    <w:rsid w:val="00E92109"/>
    <w:rsid w:val="00E93196"/>
    <w:rsid w:val="00E93EDB"/>
    <w:rsid w:val="00E95264"/>
    <w:rsid w:val="00E9534C"/>
    <w:rsid w:val="00E963C0"/>
    <w:rsid w:val="00EA0ECC"/>
    <w:rsid w:val="00EA18AF"/>
    <w:rsid w:val="00EA23A9"/>
    <w:rsid w:val="00EA3E85"/>
    <w:rsid w:val="00EA49F4"/>
    <w:rsid w:val="00EA5E86"/>
    <w:rsid w:val="00EA66A1"/>
    <w:rsid w:val="00EA69C2"/>
    <w:rsid w:val="00EB0394"/>
    <w:rsid w:val="00EB0434"/>
    <w:rsid w:val="00EB06C6"/>
    <w:rsid w:val="00EB3D4A"/>
    <w:rsid w:val="00EB4CBF"/>
    <w:rsid w:val="00EB5641"/>
    <w:rsid w:val="00EB7196"/>
    <w:rsid w:val="00EB7478"/>
    <w:rsid w:val="00EB7AF3"/>
    <w:rsid w:val="00EB7B93"/>
    <w:rsid w:val="00EB7E8C"/>
    <w:rsid w:val="00EC7083"/>
    <w:rsid w:val="00EC7532"/>
    <w:rsid w:val="00ED0C1D"/>
    <w:rsid w:val="00ED1F88"/>
    <w:rsid w:val="00ED2C03"/>
    <w:rsid w:val="00ED3612"/>
    <w:rsid w:val="00ED456C"/>
    <w:rsid w:val="00ED61CB"/>
    <w:rsid w:val="00ED7265"/>
    <w:rsid w:val="00EE02EB"/>
    <w:rsid w:val="00EE063F"/>
    <w:rsid w:val="00EE0C3E"/>
    <w:rsid w:val="00EE0E47"/>
    <w:rsid w:val="00EE3453"/>
    <w:rsid w:val="00EE4386"/>
    <w:rsid w:val="00EE4BF0"/>
    <w:rsid w:val="00EE77DA"/>
    <w:rsid w:val="00EF279F"/>
    <w:rsid w:val="00EF591D"/>
    <w:rsid w:val="00EF5AB9"/>
    <w:rsid w:val="00EF7413"/>
    <w:rsid w:val="00EF7C97"/>
    <w:rsid w:val="00F003DA"/>
    <w:rsid w:val="00F007C9"/>
    <w:rsid w:val="00F015E1"/>
    <w:rsid w:val="00F01D9B"/>
    <w:rsid w:val="00F022ED"/>
    <w:rsid w:val="00F03598"/>
    <w:rsid w:val="00F03A83"/>
    <w:rsid w:val="00F0409B"/>
    <w:rsid w:val="00F07963"/>
    <w:rsid w:val="00F07C66"/>
    <w:rsid w:val="00F07FE9"/>
    <w:rsid w:val="00F1006B"/>
    <w:rsid w:val="00F11579"/>
    <w:rsid w:val="00F11860"/>
    <w:rsid w:val="00F13578"/>
    <w:rsid w:val="00F13743"/>
    <w:rsid w:val="00F152E9"/>
    <w:rsid w:val="00F156EC"/>
    <w:rsid w:val="00F177F6"/>
    <w:rsid w:val="00F208BF"/>
    <w:rsid w:val="00F21886"/>
    <w:rsid w:val="00F21FE0"/>
    <w:rsid w:val="00F24597"/>
    <w:rsid w:val="00F24989"/>
    <w:rsid w:val="00F25A12"/>
    <w:rsid w:val="00F25D08"/>
    <w:rsid w:val="00F264B3"/>
    <w:rsid w:val="00F26751"/>
    <w:rsid w:val="00F2793B"/>
    <w:rsid w:val="00F27CEC"/>
    <w:rsid w:val="00F27D9F"/>
    <w:rsid w:val="00F3185E"/>
    <w:rsid w:val="00F31B61"/>
    <w:rsid w:val="00F34F23"/>
    <w:rsid w:val="00F35073"/>
    <w:rsid w:val="00F35DD4"/>
    <w:rsid w:val="00F376FF"/>
    <w:rsid w:val="00F4041E"/>
    <w:rsid w:val="00F40D4F"/>
    <w:rsid w:val="00F410B7"/>
    <w:rsid w:val="00F410D3"/>
    <w:rsid w:val="00F42317"/>
    <w:rsid w:val="00F44570"/>
    <w:rsid w:val="00F455A0"/>
    <w:rsid w:val="00F45C14"/>
    <w:rsid w:val="00F469BB"/>
    <w:rsid w:val="00F46A54"/>
    <w:rsid w:val="00F46F91"/>
    <w:rsid w:val="00F500C2"/>
    <w:rsid w:val="00F504B2"/>
    <w:rsid w:val="00F505D0"/>
    <w:rsid w:val="00F52059"/>
    <w:rsid w:val="00F52742"/>
    <w:rsid w:val="00F540B5"/>
    <w:rsid w:val="00F54FC4"/>
    <w:rsid w:val="00F5648A"/>
    <w:rsid w:val="00F56D16"/>
    <w:rsid w:val="00F60A00"/>
    <w:rsid w:val="00F61D0D"/>
    <w:rsid w:val="00F64B17"/>
    <w:rsid w:val="00F64F8C"/>
    <w:rsid w:val="00F65CC6"/>
    <w:rsid w:val="00F65F3F"/>
    <w:rsid w:val="00F67675"/>
    <w:rsid w:val="00F70245"/>
    <w:rsid w:val="00F72532"/>
    <w:rsid w:val="00F74520"/>
    <w:rsid w:val="00F7504D"/>
    <w:rsid w:val="00F7587E"/>
    <w:rsid w:val="00F7591A"/>
    <w:rsid w:val="00F772A3"/>
    <w:rsid w:val="00F813B0"/>
    <w:rsid w:val="00F81A93"/>
    <w:rsid w:val="00F853CC"/>
    <w:rsid w:val="00F85B44"/>
    <w:rsid w:val="00F90012"/>
    <w:rsid w:val="00F900A7"/>
    <w:rsid w:val="00F91276"/>
    <w:rsid w:val="00F91C95"/>
    <w:rsid w:val="00F91F88"/>
    <w:rsid w:val="00F92158"/>
    <w:rsid w:val="00F92166"/>
    <w:rsid w:val="00F9227A"/>
    <w:rsid w:val="00F92F01"/>
    <w:rsid w:val="00F935BB"/>
    <w:rsid w:val="00F94849"/>
    <w:rsid w:val="00F9538D"/>
    <w:rsid w:val="00F95DFD"/>
    <w:rsid w:val="00F96C42"/>
    <w:rsid w:val="00F9731F"/>
    <w:rsid w:val="00F976CB"/>
    <w:rsid w:val="00F97E45"/>
    <w:rsid w:val="00FA08C7"/>
    <w:rsid w:val="00FA304A"/>
    <w:rsid w:val="00FA5DCA"/>
    <w:rsid w:val="00FB1A37"/>
    <w:rsid w:val="00FB20DA"/>
    <w:rsid w:val="00FB3545"/>
    <w:rsid w:val="00FB7356"/>
    <w:rsid w:val="00FB772F"/>
    <w:rsid w:val="00FB7E70"/>
    <w:rsid w:val="00FC3D4D"/>
    <w:rsid w:val="00FC3D53"/>
    <w:rsid w:val="00FC434E"/>
    <w:rsid w:val="00FC4652"/>
    <w:rsid w:val="00FC5AF6"/>
    <w:rsid w:val="00FC5B0A"/>
    <w:rsid w:val="00FC6C91"/>
    <w:rsid w:val="00FC7D97"/>
    <w:rsid w:val="00FD0AFD"/>
    <w:rsid w:val="00FD0C88"/>
    <w:rsid w:val="00FD1382"/>
    <w:rsid w:val="00FD16BF"/>
    <w:rsid w:val="00FD2506"/>
    <w:rsid w:val="00FD3862"/>
    <w:rsid w:val="00FD3E6A"/>
    <w:rsid w:val="00FD6FEC"/>
    <w:rsid w:val="00FE0246"/>
    <w:rsid w:val="00FE1541"/>
    <w:rsid w:val="00FE1653"/>
    <w:rsid w:val="00FE1D71"/>
    <w:rsid w:val="00FE2622"/>
    <w:rsid w:val="00FE33CA"/>
    <w:rsid w:val="00FE4D04"/>
    <w:rsid w:val="00FE6C0A"/>
    <w:rsid w:val="00FE6CE7"/>
    <w:rsid w:val="00FF1C0E"/>
    <w:rsid w:val="00FF20BD"/>
    <w:rsid w:val="00FF2CA6"/>
    <w:rsid w:val="00FF4007"/>
    <w:rsid w:val="00FF69BC"/>
  </w:rsids>
  <m:mathPr>
    <m:mathFont m:val="Cambria Math"/>
    <m:brkBin m:val="before"/>
    <m:brkBinSub m:val="--"/>
    <m:smallFrac/>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E39B2"/>
  <w15:docId w15:val="{ECB0CDB6-E3F6-4C8E-9005-6D263773E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545"/>
    <w:pPr>
      <w:spacing w:before="60" w:after="60" w:line="240" w:lineRule="auto"/>
    </w:pPr>
    <w:rPr>
      <w:rFonts w:ascii="Arial" w:hAnsi="Arial" w:cs="Arial"/>
      <w:color w:val="595959" w:themeColor="text1" w:themeTint="A6"/>
      <w:sz w:val="16"/>
      <w:szCs w:val="16"/>
      <w:lang w:val="en-GB"/>
    </w:rPr>
  </w:style>
  <w:style w:type="paragraph" w:styleId="Heading1">
    <w:name w:val="heading 1"/>
    <w:next w:val="BodyText"/>
    <w:link w:val="Heading1Char"/>
    <w:uiPriority w:val="9"/>
    <w:qFormat/>
    <w:rsid w:val="00272202"/>
    <w:pPr>
      <w:keepLines/>
      <w:pageBreakBefore/>
      <w:numPr>
        <w:numId w:val="4"/>
      </w:numPr>
      <w:spacing w:after="480"/>
      <w:ind w:left="0" w:right="2733" w:firstLine="0"/>
      <w:outlineLvl w:val="0"/>
    </w:pPr>
    <w:rPr>
      <w:rFonts w:asciiTheme="majorHAnsi" w:eastAsiaTheme="majorEastAsia" w:hAnsiTheme="majorHAnsi" w:cstheme="majorHAnsi"/>
      <w:b/>
      <w:bCs/>
      <w:color w:val="141B51" w:themeColor="text2"/>
      <w:spacing w:val="5"/>
      <w:kern w:val="28"/>
      <w:sz w:val="56"/>
      <w:szCs w:val="28"/>
      <w:lang w:val="en-GB"/>
    </w:rPr>
  </w:style>
  <w:style w:type="paragraph" w:styleId="Heading2">
    <w:name w:val="heading 2"/>
    <w:next w:val="BodyText"/>
    <w:link w:val="Heading2Char"/>
    <w:uiPriority w:val="9"/>
    <w:unhideWhenUsed/>
    <w:qFormat/>
    <w:rsid w:val="004656C4"/>
    <w:pPr>
      <w:keepNext/>
      <w:keepLines/>
      <w:numPr>
        <w:ilvl w:val="1"/>
        <w:numId w:val="4"/>
      </w:numPr>
      <w:spacing w:before="120" w:after="240"/>
      <w:outlineLvl w:val="1"/>
    </w:pPr>
    <w:rPr>
      <w:rFonts w:asciiTheme="majorHAnsi" w:eastAsiaTheme="majorEastAsia" w:hAnsiTheme="majorHAnsi" w:cs="Arial"/>
      <w:bCs/>
      <w:color w:val="141B51" w:themeColor="text2"/>
      <w:sz w:val="36"/>
      <w:szCs w:val="24"/>
      <w:lang w:val="en-GB"/>
    </w:rPr>
  </w:style>
  <w:style w:type="paragraph" w:styleId="Heading3">
    <w:name w:val="heading 3"/>
    <w:next w:val="BodyText"/>
    <w:link w:val="Heading3Char"/>
    <w:uiPriority w:val="9"/>
    <w:unhideWhenUsed/>
    <w:qFormat/>
    <w:rsid w:val="00336C1E"/>
    <w:pPr>
      <w:keepNext/>
      <w:keepLines/>
      <w:numPr>
        <w:ilvl w:val="2"/>
        <w:numId w:val="4"/>
      </w:numPr>
      <w:spacing w:before="170" w:after="80"/>
      <w:outlineLvl w:val="2"/>
    </w:pPr>
    <w:rPr>
      <w:rFonts w:asciiTheme="majorHAnsi" w:eastAsiaTheme="majorEastAsia" w:hAnsiTheme="majorHAnsi" w:cstheme="majorHAnsi"/>
      <w:bCs/>
      <w:caps/>
      <w:color w:val="141B51" w:themeColor="text2"/>
      <w:spacing w:val="22"/>
      <w:lang w:val="en-GB"/>
    </w:rPr>
  </w:style>
  <w:style w:type="paragraph" w:styleId="Heading4">
    <w:name w:val="heading 4"/>
    <w:next w:val="BodyText"/>
    <w:link w:val="Heading4Char"/>
    <w:uiPriority w:val="9"/>
    <w:unhideWhenUsed/>
    <w:qFormat/>
    <w:rsid w:val="004656C4"/>
    <w:pPr>
      <w:keepNext/>
      <w:keepLines/>
      <w:numPr>
        <w:ilvl w:val="3"/>
        <w:numId w:val="4"/>
      </w:numPr>
      <w:spacing w:before="240" w:after="80"/>
      <w:outlineLvl w:val="3"/>
    </w:pPr>
    <w:rPr>
      <w:rFonts w:ascii="Arial Bold" w:eastAsiaTheme="majorEastAsia" w:hAnsi="Arial Bold" w:cstheme="majorBidi"/>
      <w:b/>
      <w:bCs/>
      <w:iCs/>
      <w:color w:val="141B51" w:themeColor="text2"/>
      <w:sz w:val="20"/>
      <w:lang w:val="en-GB"/>
    </w:rPr>
  </w:style>
  <w:style w:type="paragraph" w:styleId="Heading5">
    <w:name w:val="heading 5"/>
    <w:basedOn w:val="Normal"/>
    <w:next w:val="BodyText"/>
    <w:link w:val="Heading5Char"/>
    <w:uiPriority w:val="9"/>
    <w:unhideWhenUsed/>
    <w:qFormat/>
    <w:rsid w:val="00336C1E"/>
    <w:pPr>
      <w:keepNext/>
      <w:keepLines/>
      <w:numPr>
        <w:ilvl w:val="4"/>
        <w:numId w:val="4"/>
      </w:numPr>
      <w:spacing w:before="240" w:after="80" w:line="360" w:lineRule="auto"/>
      <w:outlineLvl w:val="4"/>
    </w:pPr>
    <w:rPr>
      <w:rFonts w:asciiTheme="majorHAnsi" w:eastAsiaTheme="majorEastAsia" w:hAnsiTheme="majorHAnsi" w:cstheme="majorBidi"/>
      <w:color w:val="141B51" w:themeColor="text2"/>
      <w:sz w:val="20"/>
    </w:rPr>
  </w:style>
  <w:style w:type="paragraph" w:styleId="Heading6">
    <w:name w:val="heading 6"/>
    <w:basedOn w:val="Normal"/>
    <w:next w:val="BodyText"/>
    <w:link w:val="Heading6Char"/>
    <w:uiPriority w:val="9"/>
    <w:qFormat/>
    <w:rsid w:val="0090257F"/>
    <w:pPr>
      <w:keepNext/>
      <w:keepLines/>
      <w:spacing w:before="240" w:after="80" w:line="360" w:lineRule="auto"/>
      <w:outlineLvl w:val="5"/>
    </w:pPr>
    <w:rPr>
      <w:rFonts w:asciiTheme="majorHAnsi" w:eastAsiaTheme="majorEastAsia" w:hAnsiTheme="majorHAnsi" w:cstheme="majorBidi"/>
      <w:iCs/>
      <w:caps/>
      <w:color w:val="141B51" w:themeColor="text2"/>
      <w:spacing w:val="20"/>
      <w:sz w:val="20"/>
      <w:szCs w:val="22"/>
    </w:rPr>
  </w:style>
  <w:style w:type="paragraph" w:styleId="Heading7">
    <w:name w:val="heading 7"/>
    <w:basedOn w:val="Normal"/>
    <w:next w:val="BodyText"/>
    <w:link w:val="Heading7Char"/>
    <w:uiPriority w:val="9"/>
    <w:qFormat/>
    <w:rsid w:val="005303C7"/>
    <w:pPr>
      <w:keepNext/>
      <w:keepLines/>
      <w:spacing w:before="240" w:after="80" w:line="360" w:lineRule="auto"/>
      <w:outlineLvl w:val="6"/>
    </w:pPr>
    <w:rPr>
      <w:rFonts w:asciiTheme="majorHAnsi" w:eastAsiaTheme="majorEastAsia" w:hAnsiTheme="majorHAnsi" w:cstheme="majorBidi"/>
      <w:iCs/>
      <w:color w:val="141B51" w:themeColor="text2"/>
      <w:sz w:val="20"/>
      <w:szCs w:val="22"/>
    </w:rPr>
  </w:style>
  <w:style w:type="paragraph" w:styleId="Heading8">
    <w:name w:val="heading 8"/>
    <w:basedOn w:val="Normal"/>
    <w:next w:val="BodyText"/>
    <w:link w:val="Heading8Char"/>
    <w:uiPriority w:val="9"/>
    <w:qFormat/>
    <w:rsid w:val="008553BD"/>
    <w:pPr>
      <w:keepNext/>
      <w:keepLines/>
      <w:spacing w:before="80" w:after="40"/>
      <w:outlineLvl w:val="7"/>
    </w:pPr>
    <w:rPr>
      <w:rFonts w:asciiTheme="majorHAnsi" w:eastAsiaTheme="majorEastAsia" w:hAnsiTheme="majorHAnsi" w:cstheme="majorBidi"/>
      <w:color w:val="808080"/>
      <w14:textFill>
        <w14:solidFill>
          <w14:srgbClr w14:val="808080">
            <w14:lumMod w14:val="65000"/>
            <w14:lumOff w14:val="35000"/>
          </w14:srgbClr>
        </w14:solidFill>
      </w14:textFill>
    </w:rPr>
  </w:style>
  <w:style w:type="paragraph" w:styleId="Heading9">
    <w:name w:val="heading 9"/>
    <w:basedOn w:val="Normal"/>
    <w:next w:val="Normal"/>
    <w:link w:val="Heading9Char"/>
    <w:uiPriority w:val="9"/>
    <w:semiHidden/>
    <w:qFormat/>
    <w:rsid w:val="008A095D"/>
    <w:pPr>
      <w:keepNext/>
      <w:keepLines/>
      <w:spacing w:before="200"/>
      <w:outlineLvl w:val="8"/>
    </w:pPr>
    <w:rPr>
      <w:rFonts w:asciiTheme="majorHAnsi" w:eastAsiaTheme="majorEastAsia" w:hAnsiTheme="majorHAnsi" w:cstheme="majorBidi"/>
      <w:iCs/>
      <w:color w:val="3041C3" w:themeColor="text2" w:themeTint="A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202"/>
    <w:rPr>
      <w:rFonts w:asciiTheme="majorHAnsi" w:eastAsiaTheme="majorEastAsia" w:hAnsiTheme="majorHAnsi" w:cstheme="majorHAnsi"/>
      <w:b/>
      <w:bCs/>
      <w:color w:val="141B51" w:themeColor="text2"/>
      <w:spacing w:val="5"/>
      <w:kern w:val="28"/>
      <w:sz w:val="56"/>
      <w:szCs w:val="28"/>
      <w:lang w:val="en-GB"/>
    </w:rPr>
  </w:style>
  <w:style w:type="character" w:customStyle="1" w:styleId="Heading2Char">
    <w:name w:val="Heading 2 Char"/>
    <w:basedOn w:val="DefaultParagraphFont"/>
    <w:link w:val="Heading2"/>
    <w:uiPriority w:val="9"/>
    <w:rsid w:val="004656C4"/>
    <w:rPr>
      <w:rFonts w:asciiTheme="majorHAnsi" w:eastAsiaTheme="majorEastAsia" w:hAnsiTheme="majorHAnsi" w:cs="Arial"/>
      <w:bCs/>
      <w:color w:val="141B51" w:themeColor="text2"/>
      <w:sz w:val="36"/>
      <w:szCs w:val="24"/>
      <w:lang w:val="en-GB"/>
    </w:rPr>
  </w:style>
  <w:style w:type="character" w:customStyle="1" w:styleId="Heading3Char">
    <w:name w:val="Heading 3 Char"/>
    <w:basedOn w:val="DefaultParagraphFont"/>
    <w:link w:val="Heading3"/>
    <w:uiPriority w:val="9"/>
    <w:rsid w:val="00336C1E"/>
    <w:rPr>
      <w:rFonts w:asciiTheme="majorHAnsi" w:eastAsiaTheme="majorEastAsia" w:hAnsiTheme="majorHAnsi" w:cstheme="majorHAnsi"/>
      <w:bCs/>
      <w:caps/>
      <w:color w:val="141B51" w:themeColor="text2"/>
      <w:spacing w:val="22"/>
      <w:lang w:val="en-GB"/>
    </w:rPr>
  </w:style>
  <w:style w:type="character" w:customStyle="1" w:styleId="Heading4Char">
    <w:name w:val="Heading 4 Char"/>
    <w:basedOn w:val="DefaultParagraphFont"/>
    <w:link w:val="Heading4"/>
    <w:uiPriority w:val="9"/>
    <w:rsid w:val="004656C4"/>
    <w:rPr>
      <w:rFonts w:ascii="Arial Bold" w:eastAsiaTheme="majorEastAsia" w:hAnsi="Arial Bold" w:cstheme="majorBidi"/>
      <w:b/>
      <w:bCs/>
      <w:iCs/>
      <w:color w:val="141B51" w:themeColor="text2"/>
      <w:sz w:val="20"/>
      <w:lang w:val="en-GB"/>
    </w:rPr>
  </w:style>
  <w:style w:type="character" w:customStyle="1" w:styleId="Heading5Char">
    <w:name w:val="Heading 5 Char"/>
    <w:basedOn w:val="DefaultParagraphFont"/>
    <w:link w:val="Heading5"/>
    <w:uiPriority w:val="9"/>
    <w:rsid w:val="00336C1E"/>
    <w:rPr>
      <w:rFonts w:asciiTheme="majorHAnsi" w:eastAsiaTheme="majorEastAsia" w:hAnsiTheme="majorHAnsi" w:cstheme="majorBidi"/>
      <w:color w:val="141B51" w:themeColor="text2"/>
      <w:sz w:val="20"/>
      <w:szCs w:val="16"/>
      <w:lang w:val="en-GB"/>
    </w:rPr>
  </w:style>
  <w:style w:type="character" w:customStyle="1" w:styleId="Heading6Char">
    <w:name w:val="Heading 6 Char"/>
    <w:basedOn w:val="DefaultParagraphFont"/>
    <w:link w:val="Heading6"/>
    <w:uiPriority w:val="9"/>
    <w:rsid w:val="0090257F"/>
    <w:rPr>
      <w:rFonts w:asciiTheme="majorHAnsi" w:eastAsiaTheme="majorEastAsia" w:hAnsiTheme="majorHAnsi" w:cstheme="majorBidi"/>
      <w:iCs/>
      <w:caps/>
      <w:color w:val="141B51" w:themeColor="text2"/>
      <w:spacing w:val="20"/>
      <w:sz w:val="20"/>
      <w:lang w:val="en-GB"/>
    </w:rPr>
  </w:style>
  <w:style w:type="character" w:customStyle="1" w:styleId="Heading7Char">
    <w:name w:val="Heading 7 Char"/>
    <w:basedOn w:val="DefaultParagraphFont"/>
    <w:link w:val="Heading7"/>
    <w:uiPriority w:val="9"/>
    <w:rsid w:val="005303C7"/>
    <w:rPr>
      <w:rFonts w:asciiTheme="majorHAnsi" w:eastAsiaTheme="majorEastAsia" w:hAnsiTheme="majorHAnsi" w:cstheme="majorBidi"/>
      <w:iCs/>
      <w:color w:val="141B51" w:themeColor="text2"/>
      <w:sz w:val="20"/>
      <w:lang w:val="en-GB"/>
    </w:rPr>
  </w:style>
  <w:style w:type="character" w:customStyle="1" w:styleId="Heading8Char">
    <w:name w:val="Heading 8 Char"/>
    <w:basedOn w:val="DefaultParagraphFont"/>
    <w:link w:val="Heading8"/>
    <w:uiPriority w:val="9"/>
    <w:rsid w:val="008553BD"/>
    <w:rPr>
      <w:rFonts w:asciiTheme="majorHAnsi" w:eastAsiaTheme="majorEastAsia" w:hAnsiTheme="majorHAnsi" w:cstheme="majorBidi"/>
      <w:color w:val="808080"/>
      <w:sz w:val="18"/>
      <w:szCs w:val="20"/>
      <w:lang w:val="en-GB"/>
    </w:rPr>
  </w:style>
  <w:style w:type="character" w:customStyle="1" w:styleId="Heading9Char">
    <w:name w:val="Heading 9 Char"/>
    <w:basedOn w:val="DefaultParagraphFont"/>
    <w:link w:val="Heading9"/>
    <w:uiPriority w:val="9"/>
    <w:semiHidden/>
    <w:rsid w:val="008A095D"/>
    <w:rPr>
      <w:rFonts w:asciiTheme="majorHAnsi" w:eastAsiaTheme="majorEastAsia" w:hAnsiTheme="majorHAnsi" w:cstheme="majorBidi"/>
      <w:iCs/>
      <w:color w:val="141B51" w:themeColor="text2"/>
      <w:sz w:val="20"/>
      <w:szCs w:val="20"/>
    </w:rPr>
  </w:style>
  <w:style w:type="paragraph" w:styleId="ListParagraph">
    <w:name w:val="List Paragraph"/>
    <w:basedOn w:val="Normal"/>
    <w:uiPriority w:val="34"/>
    <w:qFormat/>
    <w:rsid w:val="008A095D"/>
    <w:pPr>
      <w:ind w:left="720"/>
      <w:contextualSpacing/>
    </w:pPr>
  </w:style>
  <w:style w:type="paragraph" w:styleId="Caption">
    <w:name w:val="caption"/>
    <w:aliases w:val="Figure,TABLE,Item,CDM B/Caption,Def_Title,Table Caption,Char,Figures,Caption-Table &amp; Figure Title,Titles-1,Titles,Table Caption Char Char,CaptionTable,Centered,Figure Headings,Caption Char1,Centered Char Char,Char Char Char,Caption Char Char"/>
    <w:basedOn w:val="Normal"/>
    <w:next w:val="BodyText"/>
    <w:link w:val="CaptionChar"/>
    <w:uiPriority w:val="35"/>
    <w:qFormat/>
    <w:rsid w:val="0090257F"/>
    <w:pPr>
      <w:spacing w:before="120" w:after="120"/>
    </w:pPr>
    <w:rPr>
      <w:rFonts w:ascii="Arial Bold" w:hAnsi="Arial Bold"/>
      <w:bCs/>
      <w:caps/>
      <w:color w:val="141B51" w:themeColor="text2"/>
      <w:spacing w:val="20"/>
      <w:szCs w:val="18"/>
    </w:rPr>
  </w:style>
  <w:style w:type="paragraph" w:styleId="Title">
    <w:name w:val="Title"/>
    <w:basedOn w:val="Normal"/>
    <w:next w:val="Normal"/>
    <w:link w:val="TitleChar"/>
    <w:uiPriority w:val="10"/>
    <w:semiHidden/>
    <w:qFormat/>
    <w:rsid w:val="008A095D"/>
    <w:pPr>
      <w:spacing w:after="300"/>
      <w:contextualSpacing/>
    </w:pPr>
    <w:rPr>
      <w:rFonts w:eastAsiaTheme="majorEastAsia" w:cstheme="majorBidi"/>
      <w:color w:val="90D3FF" w:themeColor="accent1" w:themeTint="A6"/>
      <w:spacing w:val="5"/>
      <w:kern w:val="28"/>
      <w:sz w:val="70"/>
      <w:szCs w:val="52"/>
      <w:lang w:val="en-US"/>
    </w:rPr>
  </w:style>
  <w:style w:type="character" w:customStyle="1" w:styleId="TitleChar">
    <w:name w:val="Title Char"/>
    <w:basedOn w:val="DefaultParagraphFont"/>
    <w:link w:val="Title"/>
    <w:uiPriority w:val="10"/>
    <w:semiHidden/>
    <w:rsid w:val="008A095D"/>
    <w:rPr>
      <w:rFonts w:ascii="Arial" w:eastAsiaTheme="majorEastAsia" w:hAnsi="Arial" w:cstheme="majorBidi"/>
      <w:color w:val="55BCFF" w:themeColor="accent1"/>
      <w:spacing w:val="5"/>
      <w:kern w:val="28"/>
      <w:sz w:val="70"/>
      <w:szCs w:val="52"/>
    </w:rPr>
  </w:style>
  <w:style w:type="paragraph" w:styleId="NoSpacing">
    <w:name w:val="No Spacing"/>
    <w:basedOn w:val="Normal"/>
    <w:link w:val="NoSpacingChar"/>
    <w:uiPriority w:val="1"/>
    <w:rsid w:val="008A095D"/>
    <w:rPr>
      <w:lang w:val="en-US"/>
    </w:rPr>
  </w:style>
  <w:style w:type="paragraph" w:styleId="Quote">
    <w:name w:val="Quote"/>
    <w:basedOn w:val="Normal"/>
    <w:next w:val="Normal"/>
    <w:link w:val="QuoteChar"/>
    <w:uiPriority w:val="29"/>
    <w:semiHidden/>
    <w:qFormat/>
    <w:rsid w:val="008A095D"/>
    <w:rPr>
      <w:i/>
      <w:iCs/>
      <w:lang w:val="en-US"/>
    </w:rPr>
  </w:style>
  <w:style w:type="character" w:customStyle="1" w:styleId="QuoteChar">
    <w:name w:val="Quote Char"/>
    <w:basedOn w:val="DefaultParagraphFont"/>
    <w:link w:val="Quote"/>
    <w:uiPriority w:val="29"/>
    <w:semiHidden/>
    <w:rsid w:val="008A095D"/>
    <w:rPr>
      <w:rFonts w:ascii="Arial" w:hAnsi="Arial" w:cs="Arial"/>
      <w:i/>
      <w:iCs/>
      <w:color w:val="000000" w:themeColor="text1"/>
      <w:sz w:val="20"/>
      <w:szCs w:val="20"/>
    </w:rPr>
  </w:style>
  <w:style w:type="paragraph" w:styleId="IntenseQuote">
    <w:name w:val="Intense Quote"/>
    <w:basedOn w:val="Normal"/>
    <w:next w:val="Normal"/>
    <w:link w:val="IntenseQuoteChar"/>
    <w:uiPriority w:val="30"/>
    <w:semiHidden/>
    <w:qFormat/>
    <w:rsid w:val="008A095D"/>
    <w:pPr>
      <w:pBdr>
        <w:bottom w:val="single" w:sz="4" w:space="4" w:color="55BCFF" w:themeColor="accent1"/>
      </w:pBdr>
      <w:spacing w:before="200" w:after="280"/>
      <w:ind w:left="936" w:right="936"/>
    </w:pPr>
    <w:rPr>
      <w:b/>
      <w:bCs/>
      <w:i/>
      <w:iCs/>
      <w:color w:val="90D3FF" w:themeColor="accent1" w:themeTint="A6"/>
      <w:lang w:val="en-US"/>
    </w:rPr>
  </w:style>
  <w:style w:type="character" w:customStyle="1" w:styleId="IntenseQuoteChar">
    <w:name w:val="Intense Quote Char"/>
    <w:basedOn w:val="DefaultParagraphFont"/>
    <w:link w:val="IntenseQuote"/>
    <w:uiPriority w:val="30"/>
    <w:semiHidden/>
    <w:rsid w:val="008A095D"/>
    <w:rPr>
      <w:rFonts w:ascii="Arial" w:hAnsi="Arial" w:cs="Arial"/>
      <w:b/>
      <w:bCs/>
      <w:i/>
      <w:iCs/>
      <w:color w:val="55BCFF" w:themeColor="accent1"/>
      <w:sz w:val="20"/>
      <w:szCs w:val="20"/>
    </w:rPr>
  </w:style>
  <w:style w:type="character" w:styleId="SubtleEmphasis">
    <w:name w:val="Subtle Emphasis"/>
    <w:uiPriority w:val="19"/>
    <w:semiHidden/>
    <w:qFormat/>
    <w:rsid w:val="008A095D"/>
    <w:rPr>
      <w:i/>
      <w:iCs/>
      <w:color w:val="808080" w:themeColor="text1" w:themeTint="7F"/>
    </w:rPr>
  </w:style>
  <w:style w:type="paragraph" w:styleId="BalloonText">
    <w:name w:val="Balloon Text"/>
    <w:basedOn w:val="Normal"/>
    <w:link w:val="BalloonTextChar"/>
    <w:uiPriority w:val="99"/>
    <w:semiHidden/>
    <w:unhideWhenUsed/>
    <w:rsid w:val="00550384"/>
    <w:rPr>
      <w:rFonts w:ascii="Tahoma" w:hAnsi="Tahoma" w:cs="Tahoma"/>
    </w:rPr>
  </w:style>
  <w:style w:type="paragraph" w:styleId="TOCHeading">
    <w:name w:val="TOC Heading"/>
    <w:basedOn w:val="Heading1"/>
    <w:next w:val="Normal"/>
    <w:uiPriority w:val="39"/>
    <w:semiHidden/>
    <w:qFormat/>
    <w:rsid w:val="008A095D"/>
    <w:pPr>
      <w:framePr w:wrap="notBeside" w:hAnchor="text"/>
      <w:numPr>
        <w:numId w:val="0"/>
      </w:numPr>
      <w:spacing w:after="0"/>
      <w:outlineLvl w:val="9"/>
    </w:pPr>
    <w:rPr>
      <w:rFonts w:cstheme="majorBidi"/>
      <w:color w:val="0099FE" w:themeColor="accent1" w:themeShade="BF"/>
    </w:rPr>
  </w:style>
  <w:style w:type="character" w:customStyle="1" w:styleId="NoSpacingChar">
    <w:name w:val="No Spacing Char"/>
    <w:basedOn w:val="DefaultParagraphFont"/>
    <w:link w:val="NoSpacing"/>
    <w:uiPriority w:val="1"/>
    <w:rsid w:val="008A095D"/>
    <w:rPr>
      <w:rFonts w:ascii="Arial" w:hAnsi="Arial" w:cs="Arial"/>
      <w:sz w:val="20"/>
      <w:szCs w:val="20"/>
    </w:rPr>
  </w:style>
  <w:style w:type="character" w:customStyle="1" w:styleId="BalloonTextChar">
    <w:name w:val="Balloon Text Char"/>
    <w:basedOn w:val="DefaultParagraphFont"/>
    <w:link w:val="BalloonText"/>
    <w:uiPriority w:val="99"/>
    <w:semiHidden/>
    <w:rsid w:val="00550384"/>
    <w:rPr>
      <w:rFonts w:ascii="Tahoma" w:hAnsi="Tahoma" w:cs="Tahoma"/>
      <w:sz w:val="16"/>
      <w:szCs w:val="16"/>
    </w:rPr>
  </w:style>
  <w:style w:type="table" w:styleId="TableGrid">
    <w:name w:val="Table Grid"/>
    <w:basedOn w:val="TableNormal"/>
    <w:uiPriority w:val="39"/>
    <w:rsid w:val="00D447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7573A1"/>
    <w:rPr>
      <w:rFonts w:cs="Times New Roman"/>
      <w:color w:val="808080"/>
    </w:rPr>
  </w:style>
  <w:style w:type="paragraph" w:styleId="Header">
    <w:name w:val="header"/>
    <w:basedOn w:val="Normal"/>
    <w:link w:val="HeaderChar"/>
    <w:uiPriority w:val="99"/>
    <w:rsid w:val="005A1858"/>
    <w:pPr>
      <w:tabs>
        <w:tab w:val="center" w:pos="4680"/>
        <w:tab w:val="right" w:pos="9360"/>
      </w:tabs>
    </w:pPr>
  </w:style>
  <w:style w:type="character" w:customStyle="1" w:styleId="HeaderChar">
    <w:name w:val="Header Char"/>
    <w:basedOn w:val="DefaultParagraphFont"/>
    <w:link w:val="Header"/>
    <w:uiPriority w:val="99"/>
    <w:rsid w:val="00BA4FBB"/>
    <w:rPr>
      <w:rFonts w:ascii="Arial" w:hAnsi="Arial" w:cs="Arial"/>
      <w:sz w:val="20"/>
      <w:szCs w:val="20"/>
      <w:lang w:val="en-AU"/>
    </w:rPr>
  </w:style>
  <w:style w:type="paragraph" w:styleId="Footer">
    <w:name w:val="footer"/>
    <w:basedOn w:val="Normal"/>
    <w:link w:val="FooterChar"/>
    <w:uiPriority w:val="99"/>
    <w:rsid w:val="00810783"/>
    <w:pPr>
      <w:tabs>
        <w:tab w:val="center" w:pos="4680"/>
        <w:tab w:val="right" w:pos="9360"/>
      </w:tabs>
    </w:pPr>
    <w:rPr>
      <w:sz w:val="12"/>
    </w:rPr>
  </w:style>
  <w:style w:type="character" w:customStyle="1" w:styleId="FooterChar">
    <w:name w:val="Footer Char"/>
    <w:basedOn w:val="DefaultParagraphFont"/>
    <w:link w:val="Footer"/>
    <w:uiPriority w:val="99"/>
    <w:rsid w:val="00810783"/>
    <w:rPr>
      <w:rFonts w:ascii="Arial" w:hAnsi="Arial" w:cs="Arial"/>
      <w:sz w:val="12"/>
      <w:szCs w:val="20"/>
      <w:lang w:val="en-AU"/>
    </w:rPr>
  </w:style>
  <w:style w:type="paragraph" w:styleId="TOC1">
    <w:name w:val="toc 1"/>
    <w:basedOn w:val="Normal"/>
    <w:next w:val="Normal"/>
    <w:autoRedefine/>
    <w:uiPriority w:val="39"/>
    <w:rsid w:val="005A3733"/>
    <w:pPr>
      <w:tabs>
        <w:tab w:val="left" w:pos="426"/>
        <w:tab w:val="right" w:pos="9061"/>
      </w:tabs>
      <w:spacing w:after="100"/>
    </w:pPr>
    <w:rPr>
      <w:b/>
      <w:noProof/>
    </w:rPr>
  </w:style>
  <w:style w:type="paragraph" w:styleId="TOC2">
    <w:name w:val="toc 2"/>
    <w:basedOn w:val="Normal"/>
    <w:next w:val="Normal"/>
    <w:autoRedefine/>
    <w:uiPriority w:val="39"/>
    <w:qFormat/>
    <w:rsid w:val="005A3733"/>
    <w:pPr>
      <w:tabs>
        <w:tab w:val="left" w:pos="993"/>
        <w:tab w:val="right" w:pos="9072"/>
      </w:tabs>
      <w:spacing w:after="100"/>
      <w:ind w:left="992" w:hanging="567"/>
    </w:pPr>
    <w:rPr>
      <w:noProof/>
    </w:rPr>
  </w:style>
  <w:style w:type="character" w:styleId="Hyperlink">
    <w:name w:val="Hyperlink"/>
    <w:basedOn w:val="DefaultParagraphFont"/>
    <w:uiPriority w:val="99"/>
    <w:unhideWhenUsed/>
    <w:rsid w:val="00C827CC"/>
    <w:rPr>
      <w:color w:val="auto"/>
      <w:u w:val="single"/>
    </w:rPr>
  </w:style>
  <w:style w:type="paragraph" w:styleId="DocumentMap">
    <w:name w:val="Document Map"/>
    <w:basedOn w:val="Normal"/>
    <w:link w:val="DocumentMapChar"/>
    <w:uiPriority w:val="99"/>
    <w:semiHidden/>
    <w:unhideWhenUsed/>
    <w:rsid w:val="00800E5D"/>
    <w:rPr>
      <w:rFonts w:ascii="Tahoma" w:hAnsi="Tahoma" w:cs="Tahoma"/>
    </w:rPr>
  </w:style>
  <w:style w:type="character" w:customStyle="1" w:styleId="DocumentMapChar">
    <w:name w:val="Document Map Char"/>
    <w:basedOn w:val="DefaultParagraphFont"/>
    <w:link w:val="DocumentMap"/>
    <w:uiPriority w:val="99"/>
    <w:semiHidden/>
    <w:rsid w:val="00800E5D"/>
    <w:rPr>
      <w:rFonts w:ascii="Tahoma" w:hAnsi="Tahoma" w:cs="Tahoma"/>
      <w:sz w:val="16"/>
      <w:szCs w:val="16"/>
    </w:rPr>
  </w:style>
  <w:style w:type="paragraph" w:customStyle="1" w:styleId="Section">
    <w:name w:val="Section"/>
    <w:basedOn w:val="Title"/>
    <w:link w:val="SectionChar"/>
    <w:qFormat/>
    <w:rsid w:val="00272202"/>
    <w:rPr>
      <w:b/>
      <w:color w:val="141B51" w:themeColor="text2"/>
      <w:sz w:val="56"/>
      <w:szCs w:val="56"/>
      <w:lang w:val="en-GB"/>
    </w:rPr>
  </w:style>
  <w:style w:type="character" w:customStyle="1" w:styleId="SectionChar">
    <w:name w:val="Section Char"/>
    <w:basedOn w:val="TitleChar"/>
    <w:link w:val="Section"/>
    <w:rsid w:val="00272202"/>
    <w:rPr>
      <w:rFonts w:ascii="Arial" w:eastAsiaTheme="majorEastAsia" w:hAnsi="Arial" w:cstheme="majorBidi"/>
      <w:b/>
      <w:color w:val="141B51" w:themeColor="text2"/>
      <w:spacing w:val="5"/>
      <w:kern w:val="28"/>
      <w:sz w:val="56"/>
      <w:szCs w:val="56"/>
      <w:lang w:val="en-GB"/>
    </w:rPr>
  </w:style>
  <w:style w:type="paragraph" w:customStyle="1" w:styleId="DividerTitle">
    <w:name w:val="Divider Title"/>
    <w:basedOn w:val="Normal"/>
    <w:link w:val="DividerTitleChar"/>
    <w:semiHidden/>
    <w:qFormat/>
    <w:rsid w:val="008A095D"/>
    <w:pPr>
      <w:keepNext/>
      <w:keepLines/>
      <w:spacing w:before="170" w:after="113"/>
      <w:ind w:left="567" w:hanging="567"/>
    </w:pPr>
    <w:rPr>
      <w:rFonts w:asciiTheme="majorHAnsi" w:eastAsiaTheme="majorEastAsia" w:hAnsiTheme="majorHAnsi" w:cstheme="majorHAnsi"/>
      <w:bCs/>
      <w:color w:val="FFFFFF" w:themeColor="background1" w:themeTint="A6"/>
      <w:spacing w:val="5"/>
      <w:kern w:val="28"/>
      <w:sz w:val="70"/>
      <w:szCs w:val="70"/>
      <w:lang w:val="en-US"/>
    </w:rPr>
  </w:style>
  <w:style w:type="character" w:customStyle="1" w:styleId="DividerTitleChar">
    <w:name w:val="Divider Title Char"/>
    <w:basedOn w:val="DefaultParagraphFont"/>
    <w:link w:val="DividerTitle"/>
    <w:semiHidden/>
    <w:rsid w:val="008A095D"/>
    <w:rPr>
      <w:rFonts w:asciiTheme="majorHAnsi" w:eastAsiaTheme="majorEastAsia" w:hAnsiTheme="majorHAnsi" w:cstheme="majorHAnsi"/>
      <w:bCs/>
      <w:color w:val="FFFFFF" w:themeColor="background1"/>
      <w:spacing w:val="5"/>
      <w:kern w:val="28"/>
      <w:sz w:val="70"/>
      <w:szCs w:val="70"/>
    </w:rPr>
  </w:style>
  <w:style w:type="paragraph" w:customStyle="1" w:styleId="FooterText">
    <w:name w:val="Footer Text"/>
    <w:basedOn w:val="TOC1"/>
    <w:link w:val="FooterTextChar"/>
    <w:qFormat/>
    <w:rsid w:val="0090257F"/>
    <w:pPr>
      <w:tabs>
        <w:tab w:val="left" w:pos="400"/>
      </w:tabs>
      <w:spacing w:after="20"/>
      <w:ind w:right="28"/>
      <w:jc w:val="center"/>
    </w:pPr>
    <w:rPr>
      <w:color w:val="000000"/>
      <w:spacing w:val="-2"/>
      <w:kern w:val="2"/>
      <w:position w:val="-2"/>
      <w:sz w:val="12"/>
      <w14:textFill>
        <w14:solidFill>
          <w14:srgbClr w14:val="000000">
            <w14:lumMod w14:val="65000"/>
            <w14:lumOff w14:val="35000"/>
          </w14:srgbClr>
        </w14:solidFill>
      </w14:textFill>
    </w:rPr>
  </w:style>
  <w:style w:type="character" w:customStyle="1" w:styleId="FooterTextChar">
    <w:name w:val="Footer Text Char"/>
    <w:basedOn w:val="DefaultParagraphFont"/>
    <w:link w:val="FooterText"/>
    <w:rsid w:val="0090257F"/>
    <w:rPr>
      <w:rFonts w:ascii="Arial" w:hAnsi="Arial" w:cs="Arial"/>
      <w:b/>
      <w:noProof/>
      <w:color w:val="000000"/>
      <w:spacing w:val="-2"/>
      <w:kern w:val="2"/>
      <w:position w:val="-2"/>
      <w:sz w:val="12"/>
      <w:szCs w:val="16"/>
      <w:lang w:val="en-GB"/>
      <w14:textFill>
        <w14:solidFill>
          <w14:srgbClr w14:val="000000">
            <w14:lumMod w14:val="65000"/>
            <w14:lumOff w14:val="35000"/>
          </w14:srgbClr>
        </w14:solidFill>
      </w14:textFill>
    </w:rPr>
  </w:style>
  <w:style w:type="paragraph" w:customStyle="1" w:styleId="InfoBoxNormal">
    <w:name w:val="InfoBox Normal"/>
    <w:basedOn w:val="Normal"/>
    <w:semiHidden/>
    <w:qFormat/>
    <w:rsid w:val="004E6AE3"/>
    <w:pPr>
      <w:spacing w:line="260" w:lineRule="exact"/>
    </w:pPr>
  </w:style>
  <w:style w:type="paragraph" w:customStyle="1" w:styleId="InfoBoxHeading2">
    <w:name w:val="InfoBox Heading 2"/>
    <w:basedOn w:val="InfoBoxNormal"/>
    <w:semiHidden/>
    <w:qFormat/>
    <w:rsid w:val="008A095D"/>
    <w:pPr>
      <w:spacing w:before="30" w:after="30"/>
    </w:pPr>
    <w:rPr>
      <w:b/>
    </w:rPr>
  </w:style>
  <w:style w:type="paragraph" w:customStyle="1" w:styleId="InfoBoxHeading1">
    <w:name w:val="InfoBox Heading 1"/>
    <w:basedOn w:val="InfoBoxHeading2"/>
    <w:semiHidden/>
    <w:qFormat/>
    <w:rsid w:val="008A095D"/>
    <w:pPr>
      <w:spacing w:before="200" w:after="120" w:line="240" w:lineRule="auto"/>
    </w:pPr>
    <w:rPr>
      <w:color w:val="FF2F2F" w:themeColor="accent2" w:themeTint="A6"/>
      <w:sz w:val="28"/>
    </w:rPr>
  </w:style>
  <w:style w:type="paragraph" w:customStyle="1" w:styleId="AppendixHeading">
    <w:name w:val="Appendix Heading"/>
    <w:basedOn w:val="Title"/>
    <w:link w:val="AppendixHeadingChar"/>
    <w:qFormat/>
    <w:rsid w:val="00A2579E"/>
    <w:pPr>
      <w:spacing w:before="0" w:after="0"/>
      <w:contextualSpacing w:val="0"/>
      <w:jc w:val="right"/>
    </w:pPr>
    <w:rPr>
      <w:bCs/>
      <w:color w:val="FFFFFF" w:themeColor="background1"/>
      <w:sz w:val="60"/>
      <w:szCs w:val="60"/>
      <w:lang w:val="en-AU"/>
    </w:rPr>
  </w:style>
  <w:style w:type="character" w:customStyle="1" w:styleId="AppendixHeadingChar">
    <w:name w:val="Appendix Heading Char"/>
    <w:basedOn w:val="DefaultParagraphFont"/>
    <w:link w:val="AppendixHeading"/>
    <w:rsid w:val="00A2579E"/>
    <w:rPr>
      <w:rFonts w:ascii="Arial" w:eastAsiaTheme="majorEastAsia" w:hAnsi="Arial" w:cstheme="majorBidi"/>
      <w:bCs/>
      <w:color w:val="FFFFFF" w:themeColor="background1"/>
      <w:spacing w:val="5"/>
      <w:kern w:val="28"/>
      <w:sz w:val="60"/>
      <w:szCs w:val="60"/>
      <w:lang w:val="en-AU"/>
    </w:rPr>
  </w:style>
  <w:style w:type="paragraph" w:customStyle="1" w:styleId="InfoBoxIntroText">
    <w:name w:val="InfoBox Intro Text"/>
    <w:basedOn w:val="Normal"/>
    <w:link w:val="InfoBoxIntroTextChar"/>
    <w:semiHidden/>
    <w:qFormat/>
    <w:rsid w:val="008A095D"/>
    <w:pPr>
      <w:spacing w:after="113" w:line="280" w:lineRule="exact"/>
    </w:pPr>
    <w:rPr>
      <w:rFonts w:eastAsia="Times New Roman"/>
      <w:color w:val="FF2F2F" w:themeColor="accent2" w:themeTint="A6"/>
      <w:sz w:val="24"/>
      <w:szCs w:val="24"/>
      <w:lang w:val="en-US"/>
    </w:rPr>
  </w:style>
  <w:style w:type="character" w:customStyle="1" w:styleId="InfoBoxIntroTextChar">
    <w:name w:val="InfoBox Intro Text Char"/>
    <w:basedOn w:val="DefaultParagraphFont"/>
    <w:link w:val="InfoBoxIntroText"/>
    <w:semiHidden/>
    <w:rsid w:val="008A095D"/>
    <w:rPr>
      <w:rFonts w:ascii="Arial" w:eastAsia="Times New Roman" w:hAnsi="Arial" w:cs="Arial"/>
      <w:color w:val="C00000" w:themeColor="accent2"/>
      <w:sz w:val="24"/>
      <w:szCs w:val="24"/>
    </w:rPr>
  </w:style>
  <w:style w:type="paragraph" w:customStyle="1" w:styleId="InfoBoxTitle">
    <w:name w:val="InfoBox Title"/>
    <w:basedOn w:val="Normal"/>
    <w:link w:val="InfoBoxTitleChar"/>
    <w:semiHidden/>
    <w:qFormat/>
    <w:rsid w:val="008A095D"/>
    <w:pPr>
      <w:spacing w:after="160"/>
    </w:pPr>
    <w:rPr>
      <w:rFonts w:eastAsia="Times New Roman" w:cstheme="minorBidi"/>
      <w:b/>
      <w:color w:val="353D30"/>
      <w:sz w:val="40"/>
      <w:szCs w:val="40"/>
      <w14:textFill>
        <w14:solidFill>
          <w14:srgbClr w14:val="353D30">
            <w14:lumMod w14:val="65000"/>
            <w14:lumOff w14:val="35000"/>
          </w14:srgbClr>
        </w14:solidFill>
      </w14:textFill>
    </w:rPr>
  </w:style>
  <w:style w:type="character" w:customStyle="1" w:styleId="InfoBoxTitleChar">
    <w:name w:val="InfoBox Title Char"/>
    <w:basedOn w:val="DefaultParagraphFont"/>
    <w:link w:val="InfoBoxTitle"/>
    <w:semiHidden/>
    <w:rsid w:val="008A095D"/>
    <w:rPr>
      <w:rFonts w:ascii="Arial" w:eastAsia="Times New Roman" w:hAnsi="Arial"/>
      <w:b/>
      <w:color w:val="353D30"/>
      <w:sz w:val="40"/>
      <w:szCs w:val="40"/>
      <w:lang w:val="en-AU"/>
    </w:rPr>
  </w:style>
  <w:style w:type="paragraph" w:customStyle="1" w:styleId="InfoBoxSubtitle">
    <w:name w:val="InfoBox Subtitle"/>
    <w:basedOn w:val="Normal"/>
    <w:link w:val="InfoBoxSubtitleChar"/>
    <w:semiHidden/>
    <w:qFormat/>
    <w:rsid w:val="008A095D"/>
    <w:pPr>
      <w:spacing w:after="160"/>
    </w:pPr>
    <w:rPr>
      <w:rFonts w:eastAsia="Times New Roman" w:cstheme="minorBidi"/>
      <w:color w:val="353D30"/>
      <w:sz w:val="40"/>
      <w:szCs w:val="40"/>
      <w14:textFill>
        <w14:solidFill>
          <w14:srgbClr w14:val="353D30">
            <w14:lumMod w14:val="65000"/>
            <w14:lumOff w14:val="35000"/>
          </w14:srgbClr>
        </w14:solidFill>
      </w14:textFill>
    </w:rPr>
  </w:style>
  <w:style w:type="character" w:customStyle="1" w:styleId="InfoBoxSubtitleChar">
    <w:name w:val="InfoBox Subtitle Char"/>
    <w:basedOn w:val="DefaultParagraphFont"/>
    <w:link w:val="InfoBoxSubtitle"/>
    <w:semiHidden/>
    <w:rsid w:val="008A095D"/>
    <w:rPr>
      <w:rFonts w:ascii="Arial" w:eastAsia="Times New Roman" w:hAnsi="Arial"/>
      <w:color w:val="353D30"/>
      <w:sz w:val="40"/>
      <w:szCs w:val="40"/>
      <w:lang w:val="en-AU"/>
    </w:rPr>
  </w:style>
  <w:style w:type="paragraph" w:styleId="TOC3">
    <w:name w:val="toc 3"/>
    <w:basedOn w:val="Normal"/>
    <w:next w:val="Normal"/>
    <w:autoRedefine/>
    <w:uiPriority w:val="39"/>
    <w:rsid w:val="00A81AD4"/>
    <w:pPr>
      <w:tabs>
        <w:tab w:val="left" w:pos="1701"/>
        <w:tab w:val="right" w:pos="9061"/>
      </w:tabs>
      <w:spacing w:after="100"/>
      <w:ind w:left="1701" w:hanging="709"/>
    </w:pPr>
    <w:rPr>
      <w:noProof/>
    </w:rPr>
  </w:style>
  <w:style w:type="numbering" w:customStyle="1" w:styleId="AureconHeadings">
    <w:name w:val="Aurecon Headings"/>
    <w:uiPriority w:val="99"/>
    <w:rsid w:val="0003136F"/>
    <w:pPr>
      <w:numPr>
        <w:numId w:val="4"/>
      </w:numPr>
    </w:pPr>
  </w:style>
  <w:style w:type="paragraph" w:styleId="TOC4">
    <w:name w:val="toc 4"/>
    <w:basedOn w:val="Normal"/>
    <w:next w:val="Normal"/>
    <w:autoRedefine/>
    <w:uiPriority w:val="39"/>
    <w:rsid w:val="004D1302"/>
    <w:pPr>
      <w:tabs>
        <w:tab w:val="left" w:pos="2552"/>
        <w:tab w:val="right" w:pos="9061"/>
      </w:tabs>
      <w:ind w:left="2552" w:hanging="851"/>
    </w:pPr>
    <w:rPr>
      <w:noProof/>
    </w:rPr>
  </w:style>
  <w:style w:type="paragraph" w:styleId="TableofFigures">
    <w:name w:val="table of figures"/>
    <w:basedOn w:val="Normal"/>
    <w:next w:val="Normal"/>
    <w:uiPriority w:val="99"/>
    <w:rsid w:val="002A5358"/>
    <w:pPr>
      <w:tabs>
        <w:tab w:val="right" w:pos="9072"/>
      </w:tabs>
      <w:ind w:left="400" w:hanging="400"/>
    </w:pPr>
    <w:rPr>
      <w:rFonts w:asciiTheme="minorHAnsi" w:hAnsiTheme="minorHAnsi" w:cstheme="minorHAnsi"/>
      <w:bCs/>
    </w:rPr>
  </w:style>
  <w:style w:type="paragraph" w:customStyle="1" w:styleId="TOFHeading">
    <w:name w:val="TOF Heading"/>
    <w:next w:val="TableofFigures"/>
    <w:semiHidden/>
    <w:rsid w:val="008D470D"/>
    <w:rPr>
      <w:rFonts w:ascii="Arial" w:eastAsiaTheme="majorEastAsia" w:hAnsi="Arial" w:cstheme="majorBidi"/>
      <w:color w:val="55BCFF" w:themeColor="accent1"/>
      <w:spacing w:val="5"/>
      <w:kern w:val="28"/>
      <w:sz w:val="36"/>
      <w:szCs w:val="36"/>
    </w:rPr>
  </w:style>
  <w:style w:type="paragraph" w:customStyle="1" w:styleId="AppendixHeading1">
    <w:name w:val="Appendix Heading 1"/>
    <w:next w:val="Normal"/>
    <w:link w:val="AppendixHeading1Char"/>
    <w:qFormat/>
    <w:rsid w:val="00E17C4F"/>
    <w:rPr>
      <w:rFonts w:ascii="Arial" w:hAnsi="Arial"/>
      <w:b/>
      <w:color w:val="141B51" w:themeColor="text2"/>
      <w:sz w:val="28"/>
      <w:lang w:val="en-AU"/>
    </w:rPr>
  </w:style>
  <w:style w:type="table" w:styleId="MediumGrid1-Accent5">
    <w:name w:val="Medium Grid 1 Accent 5"/>
    <w:basedOn w:val="TableNormal"/>
    <w:uiPriority w:val="67"/>
    <w:rsid w:val="00D447E2"/>
    <w:pPr>
      <w:spacing w:after="0" w:line="240" w:lineRule="auto"/>
    </w:pPr>
    <w:tblPr>
      <w:tblStyleRowBandSize w:val="1"/>
      <w:tblStyleColBandSize w:val="1"/>
      <w:tblBorders>
        <w:top w:val="single" w:sz="8" w:space="0" w:color="0042C7" w:themeColor="accent5" w:themeTint="BF"/>
        <w:left w:val="single" w:sz="8" w:space="0" w:color="0042C7" w:themeColor="accent5" w:themeTint="BF"/>
        <w:bottom w:val="single" w:sz="8" w:space="0" w:color="0042C7" w:themeColor="accent5" w:themeTint="BF"/>
        <w:right w:val="single" w:sz="8" w:space="0" w:color="0042C7" w:themeColor="accent5" w:themeTint="BF"/>
        <w:insideH w:val="single" w:sz="8" w:space="0" w:color="0042C7" w:themeColor="accent5" w:themeTint="BF"/>
        <w:insideV w:val="single" w:sz="8" w:space="0" w:color="0042C7" w:themeColor="accent5" w:themeTint="BF"/>
      </w:tblBorders>
    </w:tblPr>
    <w:tcPr>
      <w:shd w:val="clear" w:color="auto" w:fill="98BAFF" w:themeFill="accent5" w:themeFillTint="3F"/>
    </w:tcPr>
    <w:tblStylePr w:type="firstRow">
      <w:rPr>
        <w:b/>
        <w:bCs/>
      </w:rPr>
      <w:tblPr/>
      <w:tcPr>
        <w:shd w:val="clear" w:color="auto" w:fill="55BCFF" w:themeFill="accent1"/>
      </w:tcPr>
    </w:tblStylePr>
    <w:tblStylePr w:type="lastRow">
      <w:rPr>
        <w:b/>
        <w:bCs/>
      </w:rPr>
      <w:tblPr/>
      <w:tcPr>
        <w:tcBorders>
          <w:top w:val="single" w:sz="18" w:space="0" w:color="0042C7" w:themeColor="accent5" w:themeTint="BF"/>
        </w:tcBorders>
      </w:tcPr>
    </w:tblStylePr>
    <w:tblStylePr w:type="firstCol">
      <w:rPr>
        <w:b/>
        <w:bCs/>
      </w:rPr>
    </w:tblStylePr>
    <w:tblStylePr w:type="lastCol">
      <w:rPr>
        <w:b/>
        <w:bCs/>
      </w:rPr>
    </w:tblStylePr>
    <w:tblStylePr w:type="band1Vert">
      <w:tblPr/>
      <w:tcPr>
        <w:shd w:val="clear" w:color="auto" w:fill="3075FF" w:themeFill="accent5" w:themeFillTint="7F"/>
      </w:tcPr>
    </w:tblStylePr>
    <w:tblStylePr w:type="band1Horz">
      <w:tblPr/>
      <w:tcPr>
        <w:shd w:val="clear" w:color="auto" w:fill="3075FF" w:themeFill="accent5" w:themeFillTint="7F"/>
      </w:tcPr>
    </w:tblStylePr>
  </w:style>
  <w:style w:type="table" w:styleId="ColorfulGrid-Accent5">
    <w:name w:val="Colorful Grid Accent 5"/>
    <w:basedOn w:val="TableNormal"/>
    <w:uiPriority w:val="73"/>
    <w:rsid w:val="00D447E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CC7FF" w:themeFill="accent5" w:themeFillTint="33"/>
    </w:tcPr>
    <w:tblStylePr w:type="firstRow">
      <w:rPr>
        <w:b/>
        <w:bCs/>
      </w:rPr>
      <w:tblPr/>
      <w:tcPr>
        <w:shd w:val="clear" w:color="auto" w:fill="5990FF" w:themeFill="accent5" w:themeFillTint="66"/>
      </w:tcPr>
    </w:tblStylePr>
    <w:tblStylePr w:type="lastRow">
      <w:rPr>
        <w:b/>
        <w:bCs/>
        <w:color w:val="000000" w:themeColor="text1"/>
      </w:rPr>
      <w:tblPr/>
      <w:tcPr>
        <w:shd w:val="clear" w:color="auto" w:fill="5990FF" w:themeFill="accent5" w:themeFillTint="66"/>
      </w:tcPr>
    </w:tblStylePr>
    <w:tblStylePr w:type="firstCol">
      <w:rPr>
        <w:color w:val="FFFFFF" w:themeColor="background1"/>
      </w:rPr>
      <w:tblPr/>
      <w:tcPr>
        <w:shd w:val="clear" w:color="auto" w:fill="001747" w:themeFill="accent5" w:themeFillShade="BF"/>
      </w:tcPr>
    </w:tblStylePr>
    <w:tblStylePr w:type="lastCol">
      <w:rPr>
        <w:color w:val="FFFFFF" w:themeColor="background1"/>
      </w:rPr>
      <w:tblPr/>
      <w:tcPr>
        <w:shd w:val="clear" w:color="auto" w:fill="001747" w:themeFill="accent5" w:themeFillShade="BF"/>
      </w:tcPr>
    </w:tblStylePr>
    <w:tblStylePr w:type="band1Vert">
      <w:tblPr/>
      <w:tcPr>
        <w:shd w:val="clear" w:color="auto" w:fill="3075FF" w:themeFill="accent5" w:themeFillTint="7F"/>
      </w:tcPr>
    </w:tblStylePr>
    <w:tblStylePr w:type="band1Horz">
      <w:tblPr/>
      <w:tcPr>
        <w:shd w:val="clear" w:color="auto" w:fill="3075FF" w:themeFill="accent5" w:themeFillTint="7F"/>
      </w:tcPr>
    </w:tblStylePr>
  </w:style>
  <w:style w:type="table" w:styleId="LightShading-Accent4">
    <w:name w:val="Light Shading Accent 4"/>
    <w:basedOn w:val="TableNormal"/>
    <w:uiPriority w:val="60"/>
    <w:rsid w:val="00D447E2"/>
    <w:pPr>
      <w:spacing w:after="0" w:line="240" w:lineRule="auto"/>
    </w:pPr>
    <w:rPr>
      <w:color w:val="B0B5B0" w:themeColor="accent4" w:themeShade="BF"/>
    </w:rPr>
    <w:tblPr>
      <w:tblStyleRowBandSize w:val="1"/>
      <w:tblStyleColBandSize w:val="1"/>
      <w:tblBorders>
        <w:top w:val="single" w:sz="8" w:space="0" w:color="EFF0EF" w:themeColor="accent4"/>
        <w:bottom w:val="single" w:sz="8" w:space="0" w:color="EFF0EF" w:themeColor="accent4"/>
      </w:tblBorders>
    </w:tblPr>
    <w:tblStylePr w:type="firstRow">
      <w:pPr>
        <w:spacing w:before="0" w:after="0" w:line="240" w:lineRule="auto"/>
      </w:pPr>
      <w:rPr>
        <w:b/>
        <w:bCs/>
      </w:rPr>
      <w:tblPr/>
      <w:tcPr>
        <w:tcBorders>
          <w:top w:val="single" w:sz="8" w:space="0" w:color="EFF0EF" w:themeColor="accent4"/>
          <w:left w:val="nil"/>
          <w:bottom w:val="single" w:sz="8" w:space="0" w:color="EFF0EF" w:themeColor="accent4"/>
          <w:right w:val="nil"/>
          <w:insideH w:val="nil"/>
          <w:insideV w:val="nil"/>
        </w:tcBorders>
      </w:tcPr>
    </w:tblStylePr>
    <w:tblStylePr w:type="lastRow">
      <w:pPr>
        <w:spacing w:before="0" w:after="0" w:line="240" w:lineRule="auto"/>
      </w:pPr>
      <w:rPr>
        <w:b/>
        <w:bCs/>
      </w:rPr>
      <w:tblPr/>
      <w:tcPr>
        <w:tcBorders>
          <w:top w:val="single" w:sz="8" w:space="0" w:color="EFF0EF" w:themeColor="accent4"/>
          <w:left w:val="nil"/>
          <w:bottom w:val="single" w:sz="8" w:space="0" w:color="EFF0E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B" w:themeFill="accent4" w:themeFillTint="3F"/>
      </w:tcPr>
    </w:tblStylePr>
    <w:tblStylePr w:type="band1Horz">
      <w:tblPr/>
      <w:tcPr>
        <w:tcBorders>
          <w:left w:val="nil"/>
          <w:right w:val="nil"/>
          <w:insideH w:val="nil"/>
          <w:insideV w:val="nil"/>
        </w:tcBorders>
        <w:shd w:val="clear" w:color="auto" w:fill="FBFBFB" w:themeFill="accent4" w:themeFillTint="3F"/>
      </w:tcPr>
    </w:tblStylePr>
  </w:style>
  <w:style w:type="paragraph" w:customStyle="1" w:styleId="AppendixChapterHeading">
    <w:name w:val="Appendix Chapter Heading"/>
    <w:basedOn w:val="Title"/>
    <w:link w:val="AppendixChapterHeadingChar"/>
    <w:semiHidden/>
    <w:rsid w:val="00762453"/>
    <w:rPr>
      <w:bCs/>
    </w:rPr>
  </w:style>
  <w:style w:type="character" w:customStyle="1" w:styleId="AppendixChapterHeadingChar">
    <w:name w:val="Appendix Chapter Heading Char"/>
    <w:basedOn w:val="DefaultParagraphFont"/>
    <w:link w:val="AppendixChapterHeading"/>
    <w:semiHidden/>
    <w:rsid w:val="00AC27B3"/>
    <w:rPr>
      <w:rFonts w:ascii="Arial" w:eastAsiaTheme="majorEastAsia" w:hAnsi="Arial" w:cstheme="majorBidi"/>
      <w:b w:val="0"/>
      <w:bCs w:val="0"/>
      <w:color w:val="55BCFF" w:themeColor="accent1"/>
      <w:spacing w:val="5"/>
      <w:kern w:val="28"/>
      <w:sz w:val="70"/>
      <w:szCs w:val="52"/>
      <w:lang w:val="en-AU"/>
    </w:rPr>
  </w:style>
  <w:style w:type="paragraph" w:customStyle="1" w:styleId="Subject">
    <w:name w:val="Subject"/>
    <w:basedOn w:val="Normal"/>
    <w:link w:val="SubjectChar"/>
    <w:semiHidden/>
    <w:rsid w:val="00AE2D6C"/>
    <w:rPr>
      <w:b/>
      <w:caps/>
      <w:color w:val="90D3FF" w:themeColor="accent1" w:themeTint="A6"/>
    </w:rPr>
  </w:style>
  <w:style w:type="character" w:customStyle="1" w:styleId="SubjectChar">
    <w:name w:val="Subject Char"/>
    <w:basedOn w:val="DefaultParagraphFont"/>
    <w:link w:val="Subject"/>
    <w:semiHidden/>
    <w:rsid w:val="00B31691"/>
    <w:rPr>
      <w:rFonts w:ascii="Arial" w:hAnsi="Arial" w:cs="Arial"/>
      <w:b/>
      <w:caps/>
      <w:color w:val="55BCFF" w:themeColor="accent1"/>
      <w:sz w:val="20"/>
      <w:szCs w:val="20"/>
    </w:rPr>
  </w:style>
  <w:style w:type="paragraph" w:styleId="Subtitle">
    <w:name w:val="Subtitle"/>
    <w:basedOn w:val="Normal"/>
    <w:next w:val="Normal"/>
    <w:link w:val="SubtitleChar"/>
    <w:uiPriority w:val="11"/>
    <w:semiHidden/>
    <w:qFormat/>
    <w:rsid w:val="008A095D"/>
    <w:pPr>
      <w:numPr>
        <w:ilvl w:val="1"/>
      </w:numPr>
    </w:pPr>
    <w:rPr>
      <w:rFonts w:asciiTheme="majorHAnsi" w:eastAsiaTheme="majorEastAsia" w:hAnsiTheme="majorHAnsi" w:cstheme="majorBidi"/>
      <w:i/>
      <w:iCs/>
      <w:color w:val="90D3FF" w:themeColor="accent1" w:themeTint="A6"/>
      <w:spacing w:val="15"/>
      <w:sz w:val="24"/>
      <w:szCs w:val="24"/>
      <w:lang w:val="en-US"/>
    </w:rPr>
  </w:style>
  <w:style w:type="character" w:customStyle="1" w:styleId="SubtitleChar">
    <w:name w:val="Subtitle Char"/>
    <w:basedOn w:val="DefaultParagraphFont"/>
    <w:link w:val="Subtitle"/>
    <w:uiPriority w:val="11"/>
    <w:semiHidden/>
    <w:rsid w:val="008A095D"/>
    <w:rPr>
      <w:rFonts w:asciiTheme="majorHAnsi" w:eastAsiaTheme="majorEastAsia" w:hAnsiTheme="majorHAnsi" w:cstheme="majorBidi"/>
      <w:i/>
      <w:iCs/>
      <w:color w:val="55BCFF" w:themeColor="accent1"/>
      <w:spacing w:val="15"/>
      <w:sz w:val="24"/>
      <w:szCs w:val="24"/>
    </w:rPr>
  </w:style>
  <w:style w:type="character" w:styleId="Emphasis">
    <w:name w:val="Emphasis"/>
    <w:uiPriority w:val="20"/>
    <w:semiHidden/>
    <w:qFormat/>
    <w:rsid w:val="008A095D"/>
    <w:rPr>
      <w:i/>
      <w:iCs/>
    </w:rPr>
  </w:style>
  <w:style w:type="character" w:styleId="IntenseEmphasis">
    <w:name w:val="Intense Emphasis"/>
    <w:uiPriority w:val="21"/>
    <w:semiHidden/>
    <w:qFormat/>
    <w:rsid w:val="008A095D"/>
    <w:rPr>
      <w:b/>
      <w:bCs/>
      <w:i/>
      <w:iCs/>
      <w:color w:val="55BCFF" w:themeColor="accent1"/>
    </w:rPr>
  </w:style>
  <w:style w:type="character" w:styleId="SubtleReference">
    <w:name w:val="Subtle Reference"/>
    <w:uiPriority w:val="31"/>
    <w:semiHidden/>
    <w:qFormat/>
    <w:rsid w:val="008A095D"/>
    <w:rPr>
      <w:smallCaps/>
      <w:color w:val="C00000" w:themeColor="accent2"/>
      <w:u w:val="single"/>
    </w:rPr>
  </w:style>
  <w:style w:type="character" w:styleId="IntenseReference">
    <w:name w:val="Intense Reference"/>
    <w:uiPriority w:val="32"/>
    <w:semiHidden/>
    <w:qFormat/>
    <w:rsid w:val="008A095D"/>
    <w:rPr>
      <w:b/>
      <w:bCs/>
      <w:smallCaps/>
      <w:color w:val="C00000" w:themeColor="accent2"/>
      <w:spacing w:val="5"/>
      <w:u w:val="single"/>
    </w:rPr>
  </w:style>
  <w:style w:type="paragraph" w:styleId="ListNumber">
    <w:name w:val="List Number"/>
    <w:basedOn w:val="Normal"/>
    <w:uiPriority w:val="99"/>
    <w:semiHidden/>
    <w:rsid w:val="00AC27B3"/>
    <w:pPr>
      <w:keepLines/>
      <w:pageBreakBefore/>
      <w:framePr w:w="9072" w:h="3306" w:wrap="notBeside" w:vAnchor="text" w:hAnchor="margin" w:y="1"/>
      <w:numPr>
        <w:numId w:val="2"/>
      </w:numPr>
      <w:spacing w:after="113"/>
      <w:contextualSpacing/>
    </w:pPr>
    <w:rPr>
      <w:rFonts w:asciiTheme="majorHAnsi" w:eastAsiaTheme="majorEastAsia" w:hAnsiTheme="majorHAnsi" w:cstheme="majorHAnsi"/>
      <w:b/>
      <w:bCs/>
      <w:color w:val="90D3FF" w:themeColor="accent1" w:themeTint="A6"/>
      <w:spacing w:val="5"/>
      <w:kern w:val="28"/>
      <w:sz w:val="70"/>
      <w:szCs w:val="70"/>
      <w:lang w:val="en-US"/>
    </w:rPr>
  </w:style>
  <w:style w:type="paragraph" w:styleId="ListNumber2">
    <w:name w:val="List Number 2"/>
    <w:basedOn w:val="Heading1"/>
    <w:uiPriority w:val="99"/>
    <w:semiHidden/>
    <w:rsid w:val="006D0502"/>
    <w:pPr>
      <w:framePr w:wrap="notBeside" w:hAnchor="text"/>
      <w:numPr>
        <w:numId w:val="3"/>
      </w:numPr>
      <w:contextualSpacing/>
    </w:pPr>
  </w:style>
  <w:style w:type="paragraph" w:customStyle="1" w:styleId="Bullet1">
    <w:name w:val="Bullet 1"/>
    <w:aliases w:val="Bullet,b1,bullet1,bullet 1,MA Bullet 1,Alt.,Bullet for no #'s,b Char2,Body Char2,b Char Char Char Char Char Char Char Char1,b Char Char Char2,b Char Char Char Char Char Char1,Body Char1 Char11"/>
    <w:link w:val="Bullet1Char"/>
    <w:uiPriority w:val="11"/>
    <w:qFormat/>
    <w:rsid w:val="004656C4"/>
    <w:pPr>
      <w:numPr>
        <w:numId w:val="10"/>
      </w:numPr>
      <w:spacing w:before="240" w:line="240" w:lineRule="auto"/>
    </w:pPr>
    <w:rPr>
      <w:rFonts w:ascii="Arial" w:hAnsi="Arial" w:cs="Arial"/>
      <w:color w:val="595959" w:themeColor="text1" w:themeTint="A6"/>
      <w:sz w:val="20"/>
      <w:szCs w:val="16"/>
      <w:lang w:val="en-GB"/>
    </w:rPr>
  </w:style>
  <w:style w:type="paragraph" w:customStyle="1" w:styleId="Bullet2">
    <w:name w:val="Bullet 2"/>
    <w:basedOn w:val="Normal"/>
    <w:qFormat/>
    <w:rsid w:val="00084CCB"/>
    <w:pPr>
      <w:numPr>
        <w:ilvl w:val="1"/>
        <w:numId w:val="8"/>
      </w:numPr>
      <w:spacing w:before="120" w:after="0"/>
      <w:ind w:left="568" w:hanging="284"/>
    </w:pPr>
    <w:rPr>
      <w:sz w:val="20"/>
    </w:rPr>
  </w:style>
  <w:style w:type="paragraph" w:customStyle="1" w:styleId="Bullet3">
    <w:name w:val="Bullet 3"/>
    <w:basedOn w:val="Normal"/>
    <w:qFormat/>
    <w:rsid w:val="00084CCB"/>
    <w:pPr>
      <w:numPr>
        <w:ilvl w:val="2"/>
        <w:numId w:val="9"/>
      </w:numPr>
      <w:spacing w:before="120" w:after="0"/>
      <w:ind w:left="851" w:hanging="284"/>
    </w:pPr>
    <w:rPr>
      <w:sz w:val="20"/>
    </w:rPr>
  </w:style>
  <w:style w:type="paragraph" w:styleId="TOC9">
    <w:name w:val="toc 9"/>
    <w:basedOn w:val="Normal"/>
    <w:next w:val="Normal"/>
    <w:autoRedefine/>
    <w:uiPriority w:val="39"/>
    <w:semiHidden/>
    <w:rsid w:val="00D447E2"/>
    <w:rPr>
      <w:b/>
      <w:color w:val="90D3FF" w:themeColor="accent1" w:themeTint="A6"/>
    </w:rPr>
  </w:style>
  <w:style w:type="table" w:styleId="LightShading-Accent1">
    <w:name w:val="Light Shading Accent 1"/>
    <w:basedOn w:val="TableNormal"/>
    <w:uiPriority w:val="60"/>
    <w:rsid w:val="00D447E2"/>
    <w:pPr>
      <w:spacing w:after="0" w:line="240" w:lineRule="auto"/>
    </w:pPr>
    <w:rPr>
      <w:color w:val="0099FE" w:themeColor="accent1" w:themeShade="BF"/>
    </w:rPr>
    <w:tblPr>
      <w:tblStyleRowBandSize w:val="1"/>
      <w:tblStyleColBandSize w:val="1"/>
      <w:tblBorders>
        <w:top w:val="single" w:sz="8" w:space="0" w:color="55BCFF" w:themeColor="accent1"/>
        <w:bottom w:val="single" w:sz="8" w:space="0" w:color="55BCFF" w:themeColor="accent1"/>
      </w:tblBorders>
    </w:tblPr>
    <w:tblStylePr w:type="firstRow">
      <w:pPr>
        <w:spacing w:before="0" w:after="0" w:line="240" w:lineRule="auto"/>
      </w:pPr>
      <w:rPr>
        <w:b/>
        <w:bCs/>
      </w:rPr>
      <w:tblPr/>
      <w:tcPr>
        <w:tcBorders>
          <w:top w:val="single" w:sz="8" w:space="0" w:color="55BCFF" w:themeColor="accent1"/>
          <w:left w:val="nil"/>
          <w:bottom w:val="single" w:sz="8" w:space="0" w:color="55BCFF" w:themeColor="accent1"/>
          <w:right w:val="nil"/>
          <w:insideH w:val="nil"/>
          <w:insideV w:val="nil"/>
        </w:tcBorders>
      </w:tcPr>
    </w:tblStylePr>
    <w:tblStylePr w:type="lastRow">
      <w:pPr>
        <w:spacing w:before="0" w:after="0" w:line="240" w:lineRule="auto"/>
      </w:pPr>
      <w:rPr>
        <w:b/>
        <w:bCs/>
      </w:rPr>
      <w:tblPr/>
      <w:tcPr>
        <w:tcBorders>
          <w:top w:val="single" w:sz="8" w:space="0" w:color="55BCFF" w:themeColor="accent1"/>
          <w:left w:val="nil"/>
          <w:bottom w:val="single" w:sz="8" w:space="0" w:color="55BCFF" w:themeColor="accent1"/>
          <w:right w:val="nil"/>
          <w:insideH w:val="nil"/>
          <w:insideV w:val="nil"/>
        </w:tcBorders>
      </w:tcPr>
    </w:tblStylePr>
    <w:tblStylePr w:type="firstCol">
      <w:rPr>
        <w:b/>
        <w:bCs/>
      </w:rPr>
    </w:tblStylePr>
    <w:tblStylePr w:type="lastCol">
      <w:rPr>
        <w:b/>
        <w:bCs/>
      </w:rPr>
    </w:tblStylePr>
    <w:tblStylePr w:type="band1Vert">
      <w:tblPr/>
      <w:tcPr>
        <w:shd w:val="clear" w:color="auto" w:fill="002060" w:themeFill="accent5"/>
      </w:tcPr>
    </w:tblStylePr>
    <w:tblStylePr w:type="band1Horz">
      <w:tblPr/>
      <w:tcPr>
        <w:shd w:val="clear" w:color="auto" w:fill="002060" w:themeFill="accent5"/>
      </w:tcPr>
    </w:tblStylePr>
  </w:style>
  <w:style w:type="table" w:styleId="LightList-Accent1">
    <w:name w:val="Light List Accent 1"/>
    <w:basedOn w:val="TableNormal"/>
    <w:uiPriority w:val="61"/>
    <w:rsid w:val="00D447E2"/>
    <w:pPr>
      <w:spacing w:after="0" w:line="240" w:lineRule="auto"/>
    </w:pPr>
    <w:tblPr>
      <w:tblStyleRowBandSize w:val="1"/>
      <w:tblStyleColBandSize w:val="1"/>
      <w:tblBorders>
        <w:top w:val="single" w:sz="8" w:space="0" w:color="55BCFF" w:themeColor="accent1"/>
        <w:left w:val="single" w:sz="8" w:space="0" w:color="55BCFF" w:themeColor="accent1"/>
        <w:bottom w:val="single" w:sz="8" w:space="0" w:color="55BCFF" w:themeColor="accent1"/>
        <w:right w:val="single" w:sz="8" w:space="0" w:color="55BCFF" w:themeColor="accent1"/>
      </w:tblBorders>
    </w:tblPr>
    <w:tblStylePr w:type="firstRow">
      <w:pPr>
        <w:spacing w:before="0" w:after="0" w:line="240" w:lineRule="auto"/>
      </w:pPr>
      <w:rPr>
        <w:b/>
        <w:bCs/>
        <w:color w:val="FFFFFF" w:themeColor="background1"/>
      </w:rPr>
      <w:tblPr/>
      <w:tcPr>
        <w:shd w:val="clear" w:color="auto" w:fill="55BCFF" w:themeFill="accent1"/>
      </w:tcPr>
    </w:tblStylePr>
    <w:tblStylePr w:type="lastRow">
      <w:pPr>
        <w:spacing w:before="0" w:after="0" w:line="240" w:lineRule="auto"/>
      </w:pPr>
      <w:rPr>
        <w:b/>
        <w:bCs/>
      </w:rPr>
      <w:tblPr/>
      <w:tcPr>
        <w:tcBorders>
          <w:top w:val="double" w:sz="6" w:space="0" w:color="55BCFF" w:themeColor="accent1"/>
          <w:left w:val="single" w:sz="8" w:space="0" w:color="55BCFF" w:themeColor="accent1"/>
          <w:bottom w:val="single" w:sz="8" w:space="0" w:color="55BCFF" w:themeColor="accent1"/>
          <w:right w:val="single" w:sz="8" w:space="0" w:color="55BCFF" w:themeColor="accent1"/>
        </w:tcBorders>
      </w:tcPr>
    </w:tblStylePr>
    <w:tblStylePr w:type="firstCol">
      <w:rPr>
        <w:b/>
        <w:bCs/>
      </w:rPr>
    </w:tblStylePr>
    <w:tblStylePr w:type="lastCol">
      <w:rPr>
        <w:b/>
        <w:bCs/>
      </w:rPr>
    </w:tblStylePr>
    <w:tblStylePr w:type="band1Vert">
      <w:tblPr/>
      <w:tcPr>
        <w:tcBorders>
          <w:top w:val="single" w:sz="8" w:space="0" w:color="55BCFF" w:themeColor="accent1"/>
          <w:left w:val="single" w:sz="8" w:space="0" w:color="55BCFF" w:themeColor="accent1"/>
          <w:bottom w:val="single" w:sz="8" w:space="0" w:color="55BCFF" w:themeColor="accent1"/>
          <w:right w:val="single" w:sz="8" w:space="0" w:color="55BCFF" w:themeColor="accent1"/>
        </w:tcBorders>
      </w:tcPr>
    </w:tblStylePr>
    <w:tblStylePr w:type="band1Horz">
      <w:tblPr/>
      <w:tcPr>
        <w:tcBorders>
          <w:top w:val="single" w:sz="8" w:space="0" w:color="55BCFF" w:themeColor="accent1"/>
          <w:left w:val="single" w:sz="8" w:space="0" w:color="55BCFF" w:themeColor="accent1"/>
          <w:bottom w:val="single" w:sz="8" w:space="0" w:color="55BCFF" w:themeColor="accent1"/>
          <w:right w:val="single" w:sz="8" w:space="0" w:color="55BCFF" w:themeColor="accent1"/>
        </w:tcBorders>
      </w:tcPr>
    </w:tblStylePr>
  </w:style>
  <w:style w:type="table" w:styleId="LightGrid-Accent1">
    <w:name w:val="Light Grid Accent 1"/>
    <w:basedOn w:val="TableNormal"/>
    <w:uiPriority w:val="62"/>
    <w:rsid w:val="00D447E2"/>
    <w:pPr>
      <w:spacing w:after="0" w:line="240" w:lineRule="auto"/>
    </w:pPr>
    <w:tblPr>
      <w:tblStyleRowBandSize w:val="1"/>
      <w:tblStyleColBandSize w:val="1"/>
      <w:tblBorders>
        <w:top w:val="single" w:sz="8" w:space="0" w:color="55BCFF" w:themeColor="accent1"/>
        <w:left w:val="single" w:sz="8" w:space="0" w:color="55BCFF" w:themeColor="accent1"/>
        <w:bottom w:val="single" w:sz="8" w:space="0" w:color="55BCFF" w:themeColor="accent1"/>
        <w:right w:val="single" w:sz="8" w:space="0" w:color="55BCFF" w:themeColor="accent1"/>
        <w:insideH w:val="single" w:sz="8" w:space="0" w:color="55BCFF" w:themeColor="accent1"/>
        <w:insideV w:val="single" w:sz="8" w:space="0" w:color="55BCF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BCFF" w:themeColor="accent1"/>
          <w:left w:val="single" w:sz="8" w:space="0" w:color="55BCFF" w:themeColor="accent1"/>
          <w:bottom w:val="single" w:sz="18" w:space="0" w:color="55BCFF" w:themeColor="accent1"/>
          <w:right w:val="single" w:sz="8" w:space="0" w:color="55BCFF" w:themeColor="accent1"/>
          <w:insideH w:val="nil"/>
          <w:insideV w:val="single" w:sz="8" w:space="0" w:color="55BCF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BCFF" w:themeColor="accent1"/>
          <w:left w:val="single" w:sz="8" w:space="0" w:color="55BCFF" w:themeColor="accent1"/>
          <w:bottom w:val="single" w:sz="8" w:space="0" w:color="55BCFF" w:themeColor="accent1"/>
          <w:right w:val="single" w:sz="8" w:space="0" w:color="55BCFF" w:themeColor="accent1"/>
          <w:insideH w:val="nil"/>
          <w:insideV w:val="single" w:sz="8" w:space="0" w:color="55BCF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BCFF" w:themeColor="accent1"/>
          <w:left w:val="single" w:sz="8" w:space="0" w:color="55BCFF" w:themeColor="accent1"/>
          <w:bottom w:val="single" w:sz="8" w:space="0" w:color="55BCFF" w:themeColor="accent1"/>
          <w:right w:val="single" w:sz="8" w:space="0" w:color="55BCFF" w:themeColor="accent1"/>
        </w:tcBorders>
      </w:tcPr>
    </w:tblStylePr>
    <w:tblStylePr w:type="band1Vert">
      <w:tblPr/>
      <w:tcPr>
        <w:shd w:val="clear" w:color="auto" w:fill="002060" w:themeFill="accent5"/>
      </w:tcPr>
    </w:tblStylePr>
    <w:tblStylePr w:type="band1Horz">
      <w:tblPr/>
      <w:tcPr>
        <w:shd w:val="clear" w:color="auto" w:fill="002060" w:themeFill="accent5"/>
      </w:tcPr>
    </w:tblStylePr>
    <w:tblStylePr w:type="band2Horz">
      <w:tblPr/>
      <w:tcPr>
        <w:tcBorders>
          <w:top w:val="single" w:sz="8" w:space="0" w:color="55BCFF" w:themeColor="accent1"/>
          <w:left w:val="single" w:sz="8" w:space="0" w:color="55BCFF" w:themeColor="accent1"/>
          <w:bottom w:val="single" w:sz="8" w:space="0" w:color="55BCFF" w:themeColor="accent1"/>
          <w:right w:val="single" w:sz="8" w:space="0" w:color="55BCFF" w:themeColor="accent1"/>
          <w:insideV w:val="single" w:sz="8" w:space="0" w:color="55BCFF" w:themeColor="accent1"/>
        </w:tcBorders>
      </w:tcPr>
    </w:tblStylePr>
  </w:style>
  <w:style w:type="table" w:styleId="MediumShading1-Accent1">
    <w:name w:val="Medium Shading 1 Accent 1"/>
    <w:basedOn w:val="TableNormal"/>
    <w:uiPriority w:val="63"/>
    <w:rsid w:val="00D447E2"/>
    <w:pPr>
      <w:spacing w:after="0" w:line="240" w:lineRule="auto"/>
    </w:pPr>
    <w:tblPr>
      <w:tblStyleRowBandSize w:val="1"/>
      <w:tblStyleColBandSize w:val="1"/>
      <w:tblBorders>
        <w:top w:val="single" w:sz="8" w:space="0" w:color="7FCCFF" w:themeColor="accent1" w:themeTint="BF"/>
        <w:left w:val="single" w:sz="8" w:space="0" w:color="7FCCFF" w:themeColor="accent1" w:themeTint="BF"/>
        <w:bottom w:val="single" w:sz="8" w:space="0" w:color="7FCCFF" w:themeColor="accent1" w:themeTint="BF"/>
        <w:right w:val="single" w:sz="8" w:space="0" w:color="7FCCFF" w:themeColor="accent1" w:themeTint="BF"/>
        <w:insideH w:val="single" w:sz="8" w:space="0" w:color="7FCCFF" w:themeColor="accent1" w:themeTint="BF"/>
      </w:tblBorders>
    </w:tblPr>
    <w:tblStylePr w:type="firstRow">
      <w:pPr>
        <w:spacing w:before="0" w:after="0" w:line="240" w:lineRule="auto"/>
      </w:pPr>
      <w:rPr>
        <w:b/>
        <w:bCs/>
        <w:color w:va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0000" w:themeFill="text1"/>
      </w:tcPr>
    </w:tblStylePr>
    <w:tblStylePr w:type="lastRow">
      <w:pPr>
        <w:spacing w:before="0" w:after="0" w:line="240" w:lineRule="auto"/>
      </w:pPr>
      <w:rPr>
        <w:b/>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tcPr>
    </w:tblStylePr>
    <w:tblStylePr w:type="firstCol">
      <w:rPr>
        <w:b/>
        <w:bCs/>
      </w:rPr>
    </w:tblStylePr>
    <w:tblStylePr w:type="lastCol">
      <w:rPr>
        <w:b/>
        <w:bCs/>
      </w:rPr>
    </w:tblStylePr>
    <w:tblStylePr w:type="band1Vert">
      <w:tblPr/>
      <w:tcPr>
        <w:tcBorders>
          <w:top w:val="nil"/>
          <w:bottom w:val="single" w:sz="4" w:space="0" w:color="000000" w:themeColor="text1"/>
        </w:tcBorders>
      </w:tcPr>
    </w:tblStylePr>
    <w:tblStylePr w:type="band1Horz">
      <w:tblPr/>
      <w:tcPr>
        <w:tcBorders>
          <w:top w:val="single" w:sz="4" w:space="0" w:color="000000" w:themeColor="text1"/>
          <w:bottom w:val="single" w:sz="4" w:space="0" w:color="000000" w:themeColor="text1"/>
        </w:tcBorders>
        <w:shd w:val="clear" w:color="auto" w:fill="002060" w:themeFill="accent5"/>
      </w:tcPr>
    </w:tblStylePr>
    <w:tblStylePr w:type="band2Horz">
      <w:tblPr/>
      <w:tcPr>
        <w:tcBorders>
          <w:top w:val="nil"/>
          <w:bottom w:val="nil"/>
          <w:insideH w:val="nil"/>
          <w:insideV w:val="nil"/>
        </w:tcBorders>
      </w:tcPr>
    </w:tblStylePr>
  </w:style>
  <w:style w:type="table" w:styleId="MediumShading2-Accent1">
    <w:name w:val="Medium Shading 2 Accent 1"/>
    <w:basedOn w:val="TableNormal"/>
    <w:uiPriority w:val="64"/>
    <w:rsid w:val="00D447E2"/>
    <w:pPr>
      <w:spacing w:after="0" w:line="240" w:lineRule="auto"/>
    </w:pPr>
    <w:tblPr>
      <w:tblStyleRowBandSize w:val="1"/>
      <w:tblStyleColBandSize w:val="1"/>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55BCFF" w:themeFill="accent1"/>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55BCFF" w:themeFill="accent1"/>
      </w:tcPr>
    </w:tblStylePr>
    <w:tblStylePr w:type="lastCol">
      <w:rPr>
        <w:b/>
        <w:bCs/>
        <w:color w:val="FFFFFF" w:themeColor="background1"/>
      </w:rPr>
      <w:tblPr/>
      <w:tcPr>
        <w:tcBorders>
          <w:left w:val="nil"/>
          <w:right w:val="nil"/>
          <w:insideH w:val="nil"/>
          <w:insideV w:val="nil"/>
        </w:tcBorders>
        <w:shd w:val="clear" w:color="auto" w:fill="55BC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nil"/>
          <w:left w:val="nil"/>
          <w:bottom w:val="nil"/>
          <w:right w:val="nil"/>
          <w:insideH w:val="nil"/>
          <w:insideV w:val="nil"/>
          <w:tl2br w:val="nil"/>
          <w:tr2bl w:val="nil"/>
        </w:tcBorders>
      </w:tcPr>
    </w:tblStylePr>
    <w:tblStylePr w:type="nwCell">
      <w:rPr>
        <w:color w:val="FFFFFF" w:themeColor="background1"/>
      </w:rPr>
      <w:tblPr/>
      <w:tcPr>
        <w:tcBorders>
          <w:top w:val="nil"/>
          <w:left w:val="nil"/>
          <w:bottom w:val="nil"/>
          <w:right w:val="nil"/>
          <w:insideH w:val="nil"/>
          <w:insideV w:val="nil"/>
          <w:tl2br w:val="nil"/>
          <w:tr2bl w:val="nil"/>
        </w:tcBorders>
      </w:tcPr>
    </w:tblStylePr>
  </w:style>
  <w:style w:type="table" w:styleId="MediumList1-Accent1">
    <w:name w:val="Medium List 1 Accent 1"/>
    <w:basedOn w:val="TableNormal"/>
    <w:uiPriority w:val="65"/>
    <w:rsid w:val="00D447E2"/>
    <w:pPr>
      <w:spacing w:after="0" w:line="240" w:lineRule="auto"/>
    </w:pPr>
    <w:rPr>
      <w:color w:val="000000" w:themeColor="text1"/>
    </w:rPr>
    <w:tblPr>
      <w:tblStyleRowBandSize w:val="1"/>
      <w:tblStyleColBandSize w:val="1"/>
      <w:tblBorders>
        <w:top w:val="single" w:sz="8" w:space="0" w:color="55BCFF" w:themeColor="accent1"/>
        <w:bottom w:val="single" w:sz="8" w:space="0" w:color="55BCFF" w:themeColor="accent1"/>
      </w:tblBorders>
    </w:tblPr>
    <w:tblStylePr w:type="firstRow">
      <w:rPr>
        <w:rFonts w:asciiTheme="majorHAnsi" w:eastAsiaTheme="majorEastAsia" w:hAnsiTheme="majorHAnsi" w:cstheme="majorBidi"/>
      </w:rPr>
      <w:tblPr/>
      <w:tcPr>
        <w:tcBorders>
          <w:top w:val="nil"/>
          <w:bottom w:val="single" w:sz="8" w:space="0" w:color="55BCFF" w:themeColor="accent1"/>
        </w:tcBorders>
      </w:tcPr>
    </w:tblStylePr>
    <w:tblStylePr w:type="lastRow">
      <w:rPr>
        <w:b/>
        <w:bCs/>
        <w:color w:val="141B51" w:themeColor="text2"/>
      </w:rPr>
      <w:tblPr/>
      <w:tcPr>
        <w:tcBorders>
          <w:top w:val="single" w:sz="8" w:space="0" w:color="55BCFF" w:themeColor="accent1"/>
          <w:bottom w:val="single" w:sz="8" w:space="0" w:color="55BCFF" w:themeColor="accent1"/>
        </w:tcBorders>
      </w:tcPr>
    </w:tblStylePr>
    <w:tblStylePr w:type="firstCol">
      <w:rPr>
        <w:b/>
        <w:bCs/>
      </w:rPr>
    </w:tblStylePr>
    <w:tblStylePr w:type="lastCol">
      <w:rPr>
        <w:b/>
        <w:bCs/>
      </w:rPr>
      <w:tblPr/>
      <w:tcPr>
        <w:tcBorders>
          <w:top w:val="single" w:sz="8" w:space="0" w:color="55BCFF" w:themeColor="accent1"/>
          <w:bottom w:val="single" w:sz="8" w:space="0" w:color="55BCFF" w:themeColor="accent1"/>
        </w:tcBorders>
      </w:tcPr>
    </w:tblStylePr>
    <w:tblStylePr w:type="band1Vert">
      <w:tblPr/>
      <w:tcPr>
        <w:shd w:val="clear" w:color="auto" w:fill="0659FF" w:themeFill="accent5" w:themeFillTint="99"/>
      </w:tcPr>
    </w:tblStylePr>
    <w:tblStylePr w:type="band1Horz">
      <w:tblPr/>
      <w:tcPr>
        <w:shd w:val="clear" w:color="auto" w:fill="0659FF" w:themeFill="accent5" w:themeFillTint="99"/>
      </w:tcPr>
    </w:tblStylePr>
  </w:style>
  <w:style w:type="table" w:styleId="MediumList2-Accent1">
    <w:name w:val="Medium List 2 Accent 1"/>
    <w:basedOn w:val="TableNormal"/>
    <w:uiPriority w:val="66"/>
    <w:rsid w:val="00D447E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BCFF" w:themeColor="accent1"/>
        <w:left w:val="single" w:sz="8" w:space="0" w:color="55BCFF" w:themeColor="accent1"/>
        <w:bottom w:val="single" w:sz="8" w:space="0" w:color="55BCFF" w:themeColor="accent1"/>
        <w:right w:val="single" w:sz="8" w:space="0" w:color="55BCFF" w:themeColor="accent1"/>
      </w:tblBorders>
    </w:tblPr>
    <w:tblStylePr w:type="firstRow">
      <w:rPr>
        <w:sz w:val="24"/>
        <w:szCs w:val="24"/>
      </w:rPr>
      <w:tblPr/>
      <w:tcPr>
        <w:tcBorders>
          <w:top w:val="nil"/>
          <w:left w:val="nil"/>
          <w:bottom w:val="single" w:sz="18" w:space="0" w:color="55BCFF" w:themeColor="accent1"/>
          <w:right w:val="nil"/>
          <w:insideH w:val="nil"/>
          <w:insideV w:val="nil"/>
        </w:tcBorders>
        <w:shd w:val="clear" w:color="auto" w:fill="FFFFFF" w:themeFill="background1"/>
      </w:tcPr>
    </w:tblStylePr>
    <w:tblStylePr w:type="lastRow">
      <w:tblPr/>
      <w:tcPr>
        <w:tcBorders>
          <w:top w:val="single" w:sz="8" w:space="0" w:color="55BCF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BCFF" w:themeColor="accent1"/>
          <w:insideH w:val="nil"/>
          <w:insideV w:val="nil"/>
        </w:tcBorders>
        <w:shd w:val="clear" w:color="auto" w:fill="FFFFFF" w:themeFill="background1"/>
      </w:tcPr>
    </w:tblStylePr>
    <w:tblStylePr w:type="lastCol">
      <w:tblPr/>
      <w:tcPr>
        <w:tcBorders>
          <w:top w:val="nil"/>
          <w:left w:val="single" w:sz="8" w:space="0" w:color="55BCFF" w:themeColor="accent1"/>
          <w:bottom w:val="nil"/>
          <w:right w:val="nil"/>
          <w:insideH w:val="nil"/>
          <w:insideV w:val="nil"/>
        </w:tcBorders>
        <w:shd w:val="clear" w:color="auto" w:fill="FFFFFF" w:themeFill="background1"/>
      </w:tcPr>
    </w:tblStylePr>
    <w:tblStylePr w:type="band1Vert">
      <w:tblPr/>
      <w:tcPr>
        <w:shd w:val="clear" w:color="auto" w:fill="002060" w:themeFill="accent5"/>
      </w:tcPr>
    </w:tblStylePr>
    <w:tblStylePr w:type="band1Horz">
      <w:tblPr/>
      <w:tcPr>
        <w:shd w:val="clear" w:color="auto" w:fill="002060" w:themeFill="accent5"/>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D447E2"/>
    <w:pPr>
      <w:spacing w:after="0" w:line="240" w:lineRule="auto"/>
    </w:pPr>
    <w:tblPr>
      <w:tblStyleRowBandSize w:val="1"/>
      <w:tblStyleColBandSize w:val="1"/>
      <w:tblBorders>
        <w:top w:val="single" w:sz="2" w:space="0" w:color="55BCFF" w:themeColor="accent1"/>
        <w:left w:val="single" w:sz="2" w:space="0" w:color="55BCFF" w:themeColor="accent1"/>
        <w:bottom w:val="single" w:sz="2" w:space="0" w:color="55BCFF" w:themeColor="accent1"/>
        <w:right w:val="single" w:sz="2" w:space="0" w:color="55BCFF" w:themeColor="accent1"/>
        <w:insideH w:val="single" w:sz="2" w:space="0" w:color="55BCFF" w:themeColor="accent1"/>
        <w:insideV w:val="single" w:sz="2" w:space="0" w:color="55BCFF" w:themeColor="accent1"/>
      </w:tblBorders>
    </w:tblPr>
    <w:tcPr>
      <w:shd w:val="clear" w:color="auto" w:fill="002060" w:themeFill="accent5"/>
    </w:tcPr>
    <w:tblStylePr w:type="firstRow">
      <w:rPr>
        <w:b/>
        <w:bCs/>
      </w:rPr>
    </w:tblStylePr>
    <w:tblStylePr w:type="lastRow">
      <w:rPr>
        <w:b/>
        <w:bCs/>
      </w:rPr>
      <w:tblPr/>
      <w:tcPr>
        <w:tcBorders>
          <w:top w:val="single" w:sz="18" w:space="0" w:color="7FCCFF" w:themeColor="accent1" w:themeTint="BF"/>
        </w:tcBorders>
      </w:tcPr>
    </w:tblStylePr>
    <w:tblStylePr w:type="firstCol">
      <w:rPr>
        <w:b/>
        <w:bCs/>
      </w:rPr>
    </w:tblStylePr>
    <w:tblStylePr w:type="lastCol">
      <w:rPr>
        <w:b/>
        <w:bCs/>
      </w:rPr>
    </w:tblStylePr>
    <w:tblStylePr w:type="band1Vert">
      <w:tblPr/>
      <w:tcPr>
        <w:shd w:val="clear" w:color="auto" w:fill="002060" w:themeFill="accent5"/>
      </w:tcPr>
    </w:tblStylePr>
    <w:tblStylePr w:type="band1Horz">
      <w:tblPr/>
      <w:tcPr>
        <w:shd w:val="clear" w:color="auto" w:fill="5990FF" w:themeFill="accent5" w:themeFillTint="66"/>
      </w:tcPr>
    </w:tblStylePr>
  </w:style>
  <w:style w:type="table" w:styleId="MediumGrid2-Accent1">
    <w:name w:val="Medium Grid 2 Accent 1"/>
    <w:basedOn w:val="TableNormal"/>
    <w:uiPriority w:val="68"/>
    <w:rsid w:val="00D447E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BCFF" w:themeColor="accent1"/>
        <w:left w:val="single" w:sz="8" w:space="0" w:color="55BCFF" w:themeColor="accent1"/>
        <w:bottom w:val="single" w:sz="8" w:space="0" w:color="55BCFF" w:themeColor="accent1"/>
        <w:right w:val="single" w:sz="8" w:space="0" w:color="55BCFF" w:themeColor="accent1"/>
        <w:insideH w:val="single" w:sz="8" w:space="0" w:color="55BCFF" w:themeColor="accent1"/>
        <w:insideV w:val="single" w:sz="8" w:space="0" w:color="55BCFF" w:themeColor="accent1"/>
      </w:tblBorders>
    </w:tblPr>
    <w:tcPr>
      <w:shd w:val="clear" w:color="auto" w:fill="FFFFFF" w:themeFill="background1"/>
      <w:vAlign w:val="center"/>
    </w:tcPr>
    <w:tblStylePr w:type="firstRow">
      <w:rPr>
        <w:b/>
        <w:bCs/>
        <w:color w:val="000000" w:themeColor="text1"/>
      </w:rPr>
      <w:tblPr/>
      <w:tcPr>
        <w:shd w:val="clear" w:color="auto" w:fill="5990FF" w:themeFill="accent5" w:themeFillTint="66"/>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shd w:val="clear" w:color="auto" w:fill="5990FF" w:themeFill="accent5" w:themeFillTint="66"/>
      </w:tcPr>
    </w:tblStylePr>
    <w:tblStylePr w:type="band1Vert">
      <w:tblPr/>
      <w:tcPr>
        <w:shd w:val="clear" w:color="auto" w:fill="002060" w:themeFill="accent5"/>
      </w:tcPr>
    </w:tblStylePr>
    <w:tblStylePr w:type="band1Horz">
      <w:tblPr/>
      <w:tcPr>
        <w:shd w:val="clear" w:color="auto" w:fill="002060" w:themeFill="accent5"/>
      </w:tcPr>
    </w:tblStylePr>
    <w:tblStylePr w:type="nwCell">
      <w:tblPr/>
      <w:tcPr>
        <w:shd w:val="clear" w:color="auto" w:fill="FFFFFF" w:themeFill="background1"/>
      </w:tcPr>
    </w:tblStylePr>
  </w:style>
  <w:style w:type="table" w:styleId="MediumGrid3-Accent1">
    <w:name w:val="Medium Grid 3 Accent 1"/>
    <w:basedOn w:val="TableNormal"/>
    <w:uiPriority w:val="69"/>
    <w:rsid w:val="00D447E2"/>
    <w:pPr>
      <w:spacing w:before="40" w:after="4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EFF" w:themeFill="accent1" w:themeFillTint="3F"/>
      <w:vAlign w:val="center"/>
    </w:tcPr>
    <w:tblStylePr w:type="firstRow">
      <w:pPr>
        <w:jc w:val="left"/>
      </w:pPr>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BCFF" w:themeFill="accent1"/>
        <w:vAlign w:val="center"/>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BCF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BCF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BCFF" w:themeFill="accent1"/>
      </w:tcPr>
    </w:tblStylePr>
    <w:tblStylePr w:type="band1Vert">
      <w:tblPr/>
      <w:tcPr>
        <w:shd w:val="clear" w:color="auto" w:fill="A2D64E"/>
      </w:tcPr>
    </w:tblStylePr>
    <w:tblStylePr w:type="band2Vert">
      <w:tblPr/>
      <w:tcPr>
        <w:shd w:val="clear" w:color="auto" w:fill="002060" w:themeFill="accent5"/>
      </w:tcPr>
    </w:tblStylePr>
    <w:tblStylePr w:type="band1Horz">
      <w:tblPr/>
      <w:tcPr>
        <w:shd w:val="clear" w:color="auto" w:fill="002060" w:themeFill="accent5"/>
      </w:tcPr>
    </w:tblStylePr>
  </w:style>
  <w:style w:type="table" w:styleId="ColorfulGrid-Accent1">
    <w:name w:val="Colorful Grid Accent 1"/>
    <w:basedOn w:val="TableNormal"/>
    <w:uiPriority w:val="73"/>
    <w:rsid w:val="00D447E2"/>
    <w:pPr>
      <w:spacing w:after="0" w:line="240" w:lineRule="auto"/>
    </w:pPr>
    <w:rPr>
      <w:color w:val="000000" w:themeColor="text1"/>
    </w:rPr>
    <w:tblPr>
      <w:tblStyleRowBandSize w:val="1"/>
      <w:tblStyleColBandSize w:val="1"/>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clear" w:color="auto" w:fill="FFFFFF" w:themeFill="background1"/>
      <w:vAlign w:val="center"/>
    </w:tc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color w:val="000000" w:themeColor="text1"/>
      </w:rPr>
      <w:tblPr/>
      <w:tcPr>
        <w:shd w:val="clear" w:color="auto" w:fill="BBE4FF" w:themeFill="accent1" w:themeFillTint="66"/>
      </w:tcPr>
    </w:tblStylePr>
    <w:tblStylePr w:type="firstCol">
      <w:rPr>
        <w:color w:val="55BCFF" w:themeColor="accent1"/>
      </w:rPr>
      <w:tblPr/>
      <w:tcPr>
        <w:shd w:val="clear" w:color="auto" w:fill="55BCFF" w:themeFill="accent1"/>
      </w:tcPr>
    </w:tblStylePr>
    <w:tblStylePr w:type="lastCol">
      <w:rPr>
        <w:color w:val="FFFFFF" w:themeColor="background1"/>
      </w:rPr>
      <w:tblPr/>
      <w:tcPr>
        <w:shd w:val="clear" w:color="auto" w:fill="55BCFF" w:themeFill="accent1"/>
      </w:tcPr>
    </w:tblStylePr>
    <w:tblStylePr w:type="band1Vert">
      <w:tblPr/>
      <w:tcPr>
        <w:shd w:val="clear" w:color="auto" w:fill="002060" w:themeFill="accent5"/>
      </w:tcPr>
    </w:tblStylePr>
    <w:tblStylePr w:type="band2Vert">
      <w:tblPr/>
      <w:tcPr>
        <w:shd w:val="clear" w:color="auto" w:fill="002060" w:themeFill="accent5"/>
      </w:tcPr>
    </w:tblStylePr>
    <w:tblStylePr w:type="band1Horz">
      <w:tblPr/>
      <w:tcPr>
        <w:shd w:val="clear" w:color="auto" w:fill="002060" w:themeFill="accent5"/>
      </w:tcPr>
    </w:tblStylePr>
    <w:tblStylePr w:type="band2Horz">
      <w:tblPr/>
      <w:tcPr>
        <w:shd w:val="clear" w:color="auto" w:fill="002060" w:themeFill="accent5"/>
      </w:tcPr>
    </w:tblStylePr>
  </w:style>
  <w:style w:type="table" w:styleId="ColorfulList-Accent1">
    <w:name w:val="Colorful List Accent 1"/>
    <w:basedOn w:val="TableNormal"/>
    <w:uiPriority w:val="72"/>
    <w:rsid w:val="00D447E2"/>
    <w:pPr>
      <w:spacing w:after="0" w:line="240" w:lineRule="auto"/>
    </w:pPr>
    <w:rPr>
      <w:color w:val="000000" w:themeColor="text1"/>
    </w:rPr>
    <w:tblPr>
      <w:tblStyleRowBandSize w:val="1"/>
      <w:tblStyleColBandSize w:val="1"/>
    </w:tblPr>
    <w:tcPr>
      <w:shd w:val="clear" w:color="auto" w:fill="EEF8FF" w:themeFill="accent1" w:themeFillTint="19"/>
      <w:vAlign w:val="center"/>
    </w:tcPr>
    <w:tblStylePr w:type="firstRow">
      <w:rPr>
        <w:b/>
        <w:bCs/>
        <w:color w:val="FFFFFF" w:themeColor="background1"/>
      </w:rPr>
      <w:tblPr/>
      <w:tcPr>
        <w:shd w:val="clear" w:color="auto" w:fill="55BCFF" w:themeFill="accent1"/>
      </w:tcPr>
    </w:tblStylePr>
    <w:tblStylePr w:type="lastRow">
      <w:rPr>
        <w:b/>
        <w:bCs/>
        <w:color w:val="99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EFF" w:themeFill="accent1" w:themeFillTint="3F"/>
      </w:tcPr>
    </w:tblStylePr>
    <w:tblStylePr w:type="band1Horz">
      <w:tblPr/>
      <w:tcPr>
        <w:shd w:val="clear" w:color="auto" w:fill="002060" w:themeFill="accent5"/>
      </w:tcPr>
    </w:tblStylePr>
    <w:tblStylePr w:type="band2Horz">
      <w:tblPr/>
      <w:tcPr>
        <w:shd w:val="clear" w:color="auto" w:fill="ACC7FF" w:themeFill="accent5" w:themeFillTint="33"/>
      </w:tcPr>
    </w:tblStylePr>
  </w:style>
  <w:style w:type="table" w:styleId="ColorfulShading-Accent1">
    <w:name w:val="Colorful Shading Accent 1"/>
    <w:basedOn w:val="TableNormal"/>
    <w:uiPriority w:val="71"/>
    <w:rsid w:val="00D447E2"/>
    <w:pPr>
      <w:spacing w:after="0" w:line="240" w:lineRule="auto"/>
    </w:pPr>
    <w:rPr>
      <w:color w:val="000000" w:themeColor="text1"/>
    </w:rPr>
    <w:tblPr>
      <w:tblStyleRowBandSize w:val="1"/>
      <w:tblStyleColBandSize w:val="1"/>
      <w:tblBorders>
        <w:bottom w:val="single" w:sz="12" w:space="0" w:color="C00000" w:themeColor="accent2"/>
      </w:tblBorders>
    </w:tblPr>
    <w:tcPr>
      <w:shd w:val="clear" w:color="auto" w:fill="EEF8FF" w:themeFill="accent1" w:themeFillTint="19"/>
      <w:vAlign w:val="center"/>
    </w:tcPr>
    <w:tblStylePr w:type="firstRow">
      <w:pPr>
        <w:jc w:val="left"/>
      </w:pPr>
      <w:rPr>
        <w:b/>
        <w:bCs/>
      </w:rPr>
      <w:tblPr/>
      <w:tcPr>
        <w:tcBorders>
          <w:top w:val="nil"/>
          <w:left w:val="nil"/>
          <w:bottom w:val="single" w:sz="12" w:space="0" w:color="C00000" w:themeColor="accent2"/>
          <w:right w:val="nil"/>
          <w:insideH w:val="nil"/>
          <w:insideV w:val="nil"/>
        </w:tcBorders>
        <w:shd w:val="clear" w:color="auto" w:fill="FFFFFF" w:themeFill="background1"/>
        <w:vAlign w:val="center"/>
      </w:tcPr>
    </w:tblStylePr>
    <w:tblStylePr w:type="lastRow">
      <w:rPr>
        <w:b/>
        <w:bCs/>
        <w:color w:val="FFFFFF" w:themeColor="background1"/>
      </w:rPr>
      <w:tblPr/>
      <w:tcPr>
        <w:tcBorders>
          <w:top w:val="single" w:sz="6" w:space="0" w:color="FFFFFF" w:themeColor="background1"/>
        </w:tcBorders>
        <w:shd w:val="clear" w:color="auto" w:fill="007BCC" w:themeFill="accent1" w:themeFillShade="99"/>
      </w:tcPr>
    </w:tblStylePr>
    <w:tblStylePr w:type="firstCol">
      <w:rPr>
        <w:color w:val="FFFFFF" w:themeColor="background1"/>
      </w:rPr>
      <w:tblPr/>
      <w:tcPr>
        <w:tcBorders>
          <w:top w:val="nil"/>
          <w:left w:val="nil"/>
          <w:bottom w:val="nil"/>
          <w:right w:val="nil"/>
          <w:insideH w:val="single" w:sz="4" w:space="0" w:color="007BCC" w:themeColor="accent1" w:themeShade="99"/>
          <w:insideV w:val="nil"/>
        </w:tcBorders>
        <w:shd w:val="clear" w:color="auto" w:fill="007BC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7BCC" w:themeFill="accent1" w:themeFillShade="99"/>
      </w:tcPr>
    </w:tblStylePr>
    <w:tblStylePr w:type="band1Vert">
      <w:tblPr/>
      <w:tcPr>
        <w:shd w:val="clear" w:color="auto" w:fill="002060" w:themeFill="accent5"/>
      </w:tcPr>
    </w:tblStylePr>
    <w:tblStylePr w:type="band2Vert">
      <w:tblPr/>
      <w:tcPr>
        <w:shd w:val="clear" w:color="auto" w:fill="A2D64E"/>
      </w:tcPr>
    </w:tblStylePr>
    <w:tblStylePr w:type="band1Horz">
      <w:tblPr/>
      <w:tcPr>
        <w:shd w:val="clear" w:color="auto" w:fill="002060" w:themeFill="accent5"/>
      </w:tcPr>
    </w:tblStylePr>
    <w:tblStylePr w:type="band2Horz">
      <w:tblPr/>
      <w:tcPr>
        <w:shd w:val="clear" w:color="auto" w:fill="A2D64E"/>
      </w:tcPr>
    </w:tblStylePr>
    <w:tblStylePr w:type="neCell">
      <w:rPr>
        <w:color w:val="000000" w:themeColor="text1"/>
      </w:rPr>
    </w:tblStylePr>
    <w:tblStylePr w:type="nwCell">
      <w:rPr>
        <w:color w:val="000000" w:themeColor="text1"/>
      </w:rPr>
    </w:tblStylePr>
  </w:style>
  <w:style w:type="table" w:styleId="DarkList-Accent1">
    <w:name w:val="Dark List Accent 1"/>
    <w:basedOn w:val="TableNormal"/>
    <w:uiPriority w:val="70"/>
    <w:rsid w:val="00D447E2"/>
    <w:pPr>
      <w:spacing w:after="0" w:line="240" w:lineRule="auto"/>
    </w:pPr>
    <w:rPr>
      <w:color w:val="FFFFFF" w:themeColor="background1"/>
    </w:rPr>
    <w:tblPr>
      <w:tblStyleRowBandSize w:val="1"/>
      <w:tblStyleColBandSize w:val="1"/>
    </w:tblPr>
    <w:tcPr>
      <w:shd w:val="clear" w:color="auto" w:fill="55BCF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66A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99F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99FE" w:themeFill="accent1" w:themeFillShade="BF"/>
      </w:tcPr>
    </w:tblStylePr>
    <w:tblStylePr w:type="band1Vert">
      <w:tblPr/>
      <w:tcPr>
        <w:tcBorders>
          <w:top w:val="nil"/>
          <w:left w:val="nil"/>
          <w:bottom w:val="nil"/>
          <w:right w:val="nil"/>
          <w:insideH w:val="nil"/>
          <w:insideV w:val="nil"/>
        </w:tcBorders>
        <w:shd w:val="clear" w:color="auto" w:fill="0099FE" w:themeFill="accent1" w:themeFillShade="BF"/>
      </w:tcPr>
    </w:tblStylePr>
    <w:tblStylePr w:type="band1Horz">
      <w:tblPr/>
      <w:tcPr>
        <w:tcBorders>
          <w:top w:val="nil"/>
          <w:left w:val="nil"/>
          <w:bottom w:val="nil"/>
          <w:right w:val="nil"/>
          <w:insideH w:val="nil"/>
          <w:insideV w:val="nil"/>
        </w:tcBorders>
        <w:shd w:val="clear" w:color="auto" w:fill="0099FE" w:themeFill="accent1" w:themeFillShade="BF"/>
      </w:tcPr>
    </w:tblStylePr>
  </w:style>
  <w:style w:type="paragraph" w:customStyle="1" w:styleId="Appendix">
    <w:name w:val="Appendix"/>
    <w:basedOn w:val="Normal"/>
    <w:next w:val="Normal"/>
    <w:link w:val="AppendixChar"/>
    <w:semiHidden/>
    <w:qFormat/>
    <w:rsid w:val="00AC27B3"/>
    <w:pPr>
      <w:keepLines/>
      <w:pageBreakBefore/>
      <w:framePr w:w="9072" w:h="3306" w:wrap="notBeside" w:vAnchor="text" w:hAnchor="margin" w:y="1"/>
      <w:spacing w:after="113"/>
    </w:pPr>
    <w:rPr>
      <w:rFonts w:asciiTheme="majorHAnsi" w:eastAsiaTheme="majorEastAsia" w:hAnsiTheme="majorHAnsi" w:cstheme="majorHAnsi"/>
      <w:b/>
      <w:bCs/>
      <w:color w:val="90D3FF" w:themeColor="accent1" w:themeTint="A6"/>
      <w:spacing w:val="5"/>
      <w:kern w:val="28"/>
      <w:sz w:val="70"/>
      <w:szCs w:val="70"/>
      <w:lang w:val="en-US"/>
    </w:rPr>
  </w:style>
  <w:style w:type="character" w:customStyle="1" w:styleId="AppendixChar">
    <w:name w:val="Appendix Char"/>
    <w:basedOn w:val="TitleChar"/>
    <w:link w:val="Appendix"/>
    <w:semiHidden/>
    <w:rsid w:val="008A095D"/>
    <w:rPr>
      <w:rFonts w:asciiTheme="majorHAnsi" w:eastAsiaTheme="majorEastAsia" w:hAnsiTheme="majorHAnsi" w:cstheme="majorHAnsi"/>
      <w:bCs/>
      <w:color w:val="55BCFF" w:themeColor="accent1"/>
      <w:spacing w:val="5"/>
      <w:kern w:val="28"/>
      <w:sz w:val="70"/>
      <w:szCs w:val="70"/>
    </w:rPr>
  </w:style>
  <w:style w:type="paragraph" w:styleId="BodyText">
    <w:name w:val="Body Text"/>
    <w:basedOn w:val="Normal"/>
    <w:link w:val="BodyTextChar"/>
    <w:qFormat/>
    <w:rsid w:val="005134CE"/>
    <w:pPr>
      <w:spacing w:after="240" w:line="276" w:lineRule="auto"/>
    </w:pPr>
    <w:rPr>
      <w:sz w:val="20"/>
    </w:rPr>
  </w:style>
  <w:style w:type="character" w:customStyle="1" w:styleId="BodyTextChar">
    <w:name w:val="Body Text Char"/>
    <w:basedOn w:val="DefaultParagraphFont"/>
    <w:link w:val="BodyText"/>
    <w:rsid w:val="005134CE"/>
    <w:rPr>
      <w:rFonts w:ascii="Arial" w:hAnsi="Arial" w:cs="Arial"/>
      <w:color w:val="595959" w:themeColor="text1" w:themeTint="A6"/>
      <w:sz w:val="20"/>
      <w:szCs w:val="20"/>
      <w:lang w:val="en-GB"/>
    </w:rPr>
  </w:style>
  <w:style w:type="paragraph" w:customStyle="1" w:styleId="AppendixTitle">
    <w:name w:val="Appendix Title"/>
    <w:basedOn w:val="AppendixHeading"/>
    <w:next w:val="NormalIndent"/>
    <w:qFormat/>
    <w:rsid w:val="00A2579E"/>
    <w:rPr>
      <w:sz w:val="96"/>
    </w:rPr>
  </w:style>
  <w:style w:type="paragraph" w:styleId="NormalIndent">
    <w:name w:val="Normal Indent"/>
    <w:basedOn w:val="Normal"/>
    <w:uiPriority w:val="99"/>
    <w:semiHidden/>
    <w:unhideWhenUsed/>
    <w:rsid w:val="009538E7"/>
    <w:pPr>
      <w:ind w:left="720"/>
    </w:pPr>
  </w:style>
  <w:style w:type="numbering" w:customStyle="1" w:styleId="AureconBullets">
    <w:name w:val="Aurecon Bullets"/>
    <w:uiPriority w:val="99"/>
    <w:rsid w:val="005A29C4"/>
    <w:pPr>
      <w:numPr>
        <w:numId w:val="5"/>
      </w:numPr>
    </w:pPr>
  </w:style>
  <w:style w:type="numbering" w:customStyle="1" w:styleId="AureconNumberList">
    <w:name w:val="Aurecon Number List"/>
    <w:uiPriority w:val="99"/>
    <w:rsid w:val="00293689"/>
    <w:pPr>
      <w:numPr>
        <w:numId w:val="6"/>
      </w:numPr>
    </w:pPr>
  </w:style>
  <w:style w:type="paragraph" w:customStyle="1" w:styleId="Numbera">
    <w:name w:val="Number a)"/>
    <w:basedOn w:val="BodyText"/>
    <w:qFormat/>
    <w:rsid w:val="005641ED"/>
    <w:pPr>
      <w:numPr>
        <w:ilvl w:val="1"/>
        <w:numId w:val="7"/>
      </w:numPr>
    </w:pPr>
  </w:style>
  <w:style w:type="paragraph" w:customStyle="1" w:styleId="Numberi">
    <w:name w:val="Number i)"/>
    <w:basedOn w:val="BodyText"/>
    <w:qFormat/>
    <w:rsid w:val="005641ED"/>
    <w:pPr>
      <w:numPr>
        <w:numId w:val="7"/>
      </w:numPr>
      <w:ind w:left="426" w:hanging="426"/>
    </w:pPr>
  </w:style>
  <w:style w:type="table" w:customStyle="1" w:styleId="MRL">
    <w:name w:val="MRL"/>
    <w:basedOn w:val="TableNormal"/>
    <w:uiPriority w:val="99"/>
    <w:rsid w:val="008F25FD"/>
    <w:pPr>
      <w:spacing w:before="60" w:after="60" w:line="240" w:lineRule="auto"/>
    </w:pPr>
    <w:rPr>
      <w:rFonts w:ascii="Arial" w:hAnsi="Arial"/>
      <w:sz w:val="18"/>
    </w:rPr>
    <w:tblPr>
      <w:tblStyleRowBandSize w:val="1"/>
      <w:tblBorders>
        <w:insideH w:val="single" w:sz="4" w:space="0" w:color="BFBFBF" w:themeColor="background1" w:themeShade="BF"/>
        <w:insideV w:val="single" w:sz="4" w:space="0" w:color="BFBFBF" w:themeColor="background1" w:themeShade="BF"/>
      </w:tblBorders>
    </w:tblPr>
    <w:tcPr>
      <w:vAlign w:val="center"/>
    </w:tcPr>
    <w:tblStylePr w:type="firstRow">
      <w:pPr>
        <w:wordWrap/>
        <w:spacing w:beforeLines="60" w:before="60" w:beforeAutospacing="0" w:afterLines="60" w:after="60" w:afterAutospacing="0" w:line="240" w:lineRule="auto"/>
        <w:contextualSpacing w:val="0"/>
        <w:jc w:val="left"/>
      </w:pPr>
      <w:rPr>
        <w:rFonts w:ascii="Arial" w:hAnsi="Arial"/>
        <w:b/>
        <w:color w:val="FFFFFF" w:themeColor="background1"/>
        <w:sz w:val="18"/>
      </w:rPr>
      <w:tblPr/>
      <w:tcPr>
        <w:shd w:val="clear" w:color="auto" w:fill="262262"/>
      </w:tcPr>
    </w:tblStylePr>
    <w:tblStylePr w:type="firstCol">
      <w:rPr>
        <w:rFonts w:ascii="Arial" w:hAnsi="Arial"/>
        <w:b w:val="0"/>
        <w:sz w:val="18"/>
      </w:rPr>
    </w:tblStylePr>
    <w:tblStylePr w:type="band1Horz">
      <w:pPr>
        <w:wordWrap/>
        <w:spacing w:beforeLines="0" w:before="60" w:beforeAutospacing="0" w:afterLines="0" w:after="60" w:afterAutospacing="0" w:line="240" w:lineRule="auto"/>
        <w:contextualSpacing w:val="0"/>
      </w:pPr>
      <w:rPr>
        <w:rFonts w:asciiTheme="minorHAnsi" w:hAnsiTheme="minorHAnsi"/>
        <w:color w:val="auto"/>
        <w:sz w:val="18"/>
      </w:rPr>
      <w:tblPr/>
      <w:tcPr>
        <w:tcBorders>
          <w:top w:val="single" w:sz="4" w:space="0" w:color="BFBFBF" w:themeColor="background1" w:themeShade="BF"/>
          <w:bottom w:val="single" w:sz="4" w:space="0" w:color="BFBFBF" w:themeColor="background1" w:themeShade="BF"/>
          <w:insideH w:val="nil"/>
        </w:tcBorders>
        <w:shd w:val="clear" w:color="auto" w:fill="FFFFFF" w:themeFill="background1"/>
      </w:tcPr>
    </w:tblStylePr>
    <w:tblStylePr w:type="band2Horz">
      <w:pPr>
        <w:wordWrap/>
        <w:spacing w:beforeLines="0" w:before="60" w:beforeAutospacing="0" w:afterLines="0" w:after="60" w:afterAutospacing="0" w:line="240" w:lineRule="auto"/>
        <w:contextualSpacing w:val="0"/>
      </w:pPr>
      <w:rPr>
        <w:rFonts w:asciiTheme="minorHAnsi" w:hAnsiTheme="minorHAnsi"/>
        <w:color w:val="auto"/>
        <w:sz w:val="18"/>
      </w:rPr>
      <w:tblPr/>
      <w:tcPr>
        <w:tcBorders>
          <w:top w:val="nil"/>
          <w:bottom w:val="single" w:sz="4" w:space="0" w:color="BFBFBF" w:themeColor="background1" w:themeShade="BF"/>
        </w:tcBorders>
      </w:tcPr>
    </w:tblStylePr>
  </w:style>
  <w:style w:type="paragraph" w:styleId="TOC5">
    <w:name w:val="toc 5"/>
    <w:basedOn w:val="Normal"/>
    <w:next w:val="Normal"/>
    <w:autoRedefine/>
    <w:uiPriority w:val="39"/>
    <w:semiHidden/>
    <w:rsid w:val="00C43413"/>
    <w:pPr>
      <w:ind w:left="800"/>
    </w:pPr>
  </w:style>
  <w:style w:type="paragraph" w:styleId="TOC6">
    <w:name w:val="toc 6"/>
    <w:basedOn w:val="Normal"/>
    <w:next w:val="Normal"/>
    <w:autoRedefine/>
    <w:uiPriority w:val="39"/>
    <w:semiHidden/>
    <w:rsid w:val="00C43413"/>
    <w:pPr>
      <w:ind w:left="1000"/>
    </w:pPr>
  </w:style>
  <w:style w:type="paragraph" w:styleId="TOC7">
    <w:name w:val="toc 7"/>
    <w:basedOn w:val="Normal"/>
    <w:next w:val="Normal"/>
    <w:autoRedefine/>
    <w:uiPriority w:val="39"/>
    <w:semiHidden/>
    <w:rsid w:val="00C43413"/>
    <w:pPr>
      <w:ind w:left="1200"/>
    </w:pPr>
  </w:style>
  <w:style w:type="paragraph" w:styleId="TOC8">
    <w:name w:val="toc 8"/>
    <w:basedOn w:val="Normal"/>
    <w:next w:val="Normal"/>
    <w:autoRedefine/>
    <w:uiPriority w:val="39"/>
    <w:semiHidden/>
    <w:rsid w:val="00C43413"/>
    <w:pPr>
      <w:ind w:left="1400"/>
    </w:pPr>
  </w:style>
  <w:style w:type="character" w:styleId="FollowedHyperlink">
    <w:name w:val="FollowedHyperlink"/>
    <w:basedOn w:val="DefaultParagraphFont"/>
    <w:uiPriority w:val="99"/>
    <w:semiHidden/>
    <w:unhideWhenUsed/>
    <w:rsid w:val="00567012"/>
    <w:rPr>
      <w:color w:val="auto"/>
      <w:u w:val="single"/>
    </w:rPr>
  </w:style>
  <w:style w:type="table" w:styleId="LightShading">
    <w:name w:val="Light Shading"/>
    <w:basedOn w:val="TableNormal"/>
    <w:uiPriority w:val="60"/>
    <w:rsid w:val="00C827C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Text">
    <w:name w:val="Table Text"/>
    <w:basedOn w:val="Normal"/>
    <w:rsid w:val="003D0B5F"/>
    <w:rPr>
      <w:rFonts w:eastAsia="Times New Roman"/>
      <w:color w:val="444D3E"/>
      <w:sz w:val="20"/>
      <w:lang w:val="en-AU" w:eastAsia="en-AU"/>
      <w14:textFill>
        <w14:solidFill>
          <w14:srgbClr w14:val="444D3E">
            <w14:lumMod w14:val="65000"/>
            <w14:lumOff w14:val="35000"/>
          </w14:srgbClr>
        </w14:solidFill>
      </w14:textFill>
    </w:rPr>
  </w:style>
  <w:style w:type="paragraph" w:customStyle="1" w:styleId="TableHeading2">
    <w:name w:val="Table Heading 2"/>
    <w:basedOn w:val="Normal"/>
    <w:rsid w:val="003D0B5F"/>
    <w:pPr>
      <w:jc w:val="both"/>
    </w:pPr>
    <w:rPr>
      <w:rFonts w:eastAsia="Times New Roman"/>
      <w:color w:val="FFFFFF"/>
      <w:sz w:val="20"/>
      <w:lang w:val="en-AU" w:eastAsia="en-AU"/>
      <w14:textFill>
        <w14:solidFill>
          <w14:srgbClr w14:val="FFFFFF">
            <w14:lumMod w14:val="65000"/>
            <w14:lumOff w14:val="35000"/>
          </w14:srgbClr>
        </w14:solidFill>
      </w14:textFill>
    </w:rPr>
  </w:style>
  <w:style w:type="paragraph" w:customStyle="1" w:styleId="AppendixHeading2">
    <w:name w:val="Appendix Heading 2"/>
    <w:next w:val="Normal"/>
    <w:qFormat/>
    <w:rsid w:val="00F95DFD"/>
    <w:rPr>
      <w:rFonts w:asciiTheme="majorHAnsi" w:eastAsiaTheme="majorEastAsia" w:hAnsiTheme="majorHAnsi" w:cs="Arial"/>
      <w:b/>
      <w:bCs/>
      <w:color w:val="808080" w:themeColor="background1" w:themeShade="80"/>
      <w:sz w:val="32"/>
      <w:szCs w:val="24"/>
    </w:rPr>
  </w:style>
  <w:style w:type="character" w:customStyle="1" w:styleId="CaptionChar">
    <w:name w:val="Caption Char"/>
    <w:aliases w:val="Figure Char,TABLE Char,Item Char,CDM B/Caption Char,Def_Title Char,Table Caption Char,Char Char,Figures Char,Caption-Table &amp; Figure Title Char,Titles-1 Char,Titles Char,Table Caption Char Char Char,CaptionTable Char,Centered Char"/>
    <w:link w:val="Caption"/>
    <w:uiPriority w:val="35"/>
    <w:rsid w:val="0090257F"/>
    <w:rPr>
      <w:rFonts w:ascii="Arial Bold" w:hAnsi="Arial Bold" w:cs="Arial"/>
      <w:bCs/>
      <w:caps/>
      <w:color w:val="141B51" w:themeColor="text2"/>
      <w:spacing w:val="20"/>
      <w:sz w:val="16"/>
      <w:szCs w:val="18"/>
      <w:lang w:val="en-GB"/>
    </w:rPr>
  </w:style>
  <w:style w:type="table" w:customStyle="1" w:styleId="Style3">
    <w:name w:val="Style3"/>
    <w:basedOn w:val="TableNormal"/>
    <w:uiPriority w:val="99"/>
    <w:qFormat/>
    <w:rsid w:val="00FF20BD"/>
    <w:pPr>
      <w:spacing w:before="30" w:after="30" w:line="240" w:lineRule="auto"/>
    </w:pPr>
    <w:rPr>
      <w:rFonts w:ascii="Arial" w:hAnsi="Arial"/>
      <w:sz w:val="18"/>
      <w:lang w:val="en-AU"/>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cPr>
        <w:tcBorders>
          <w:bottom w:val="single" w:sz="4" w:space="0" w:color="55BCFF" w:themeColor="accent1"/>
        </w:tcBorders>
        <w:shd w:val="clear" w:color="auto" w:fill="F1F9E5"/>
      </w:tcPr>
    </w:tblStylePr>
    <w:tblStylePr w:type="lastRow">
      <w:tblPr/>
      <w:tcPr>
        <w:shd w:val="clear" w:color="auto" w:fill="F2F2F2" w:themeFill="background1" w:themeFillShade="F2"/>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cBorders>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table" w:customStyle="1" w:styleId="AureconTable1">
    <w:name w:val="Aurecon Table 1"/>
    <w:basedOn w:val="TableNormal"/>
    <w:uiPriority w:val="99"/>
    <w:rsid w:val="0090514F"/>
    <w:pPr>
      <w:spacing w:after="0" w:line="240" w:lineRule="auto"/>
    </w:pPr>
    <w:rPr>
      <w:rFonts w:ascii="Arial" w:hAnsi="Arial"/>
      <w:sz w:val="18"/>
      <w:lang w:val="en-AU"/>
    </w:rPr>
    <w:tblPr>
      <w:tblStyleRowBandSize w:val="1"/>
      <w:tblBorders>
        <w:top w:val="single" w:sz="2" w:space="0" w:color="BABFB7" w:themeColor="accent3"/>
        <w:left w:val="single" w:sz="2" w:space="0" w:color="BABFB7" w:themeColor="accent3"/>
        <w:bottom w:val="single" w:sz="2" w:space="0" w:color="BABFB7" w:themeColor="accent3"/>
        <w:right w:val="single" w:sz="2" w:space="0" w:color="BABFB7" w:themeColor="accent3"/>
        <w:insideH w:val="single" w:sz="6" w:space="0" w:color="BABFB7" w:themeColor="accent3"/>
        <w:insideV w:val="single" w:sz="6" w:space="0" w:color="BABFB7" w:themeColor="accent3"/>
      </w:tblBorders>
    </w:tblPr>
    <w:trPr>
      <w:cantSplit/>
    </w:trPr>
    <w:tcPr>
      <w:shd w:val="clear" w:color="auto" w:fill="ACC7FF" w:themeFill="accent5" w:themeFillTint="33"/>
    </w:tcPr>
    <w:tblStylePr w:type="firstRow">
      <w:rPr>
        <w:b/>
      </w:rPr>
      <w:tblPr/>
      <w:tcPr>
        <w:shd w:val="clear" w:color="auto" w:fill="002060" w:themeFill="accent5"/>
      </w:tcPr>
    </w:tblStylePr>
    <w:tblStylePr w:type="band1Horz">
      <w:tblPr/>
      <w:tcPr>
        <w:shd w:val="clear" w:color="auto" w:fill="FFFFFF" w:themeFill="background1"/>
      </w:tcPr>
    </w:tblStylePr>
    <w:tblStylePr w:type="band2Horz">
      <w:rPr>
        <w:rFonts w:asciiTheme="minorHAnsi" w:hAnsiTheme="minorHAnsi"/>
        <w:sz w:val="18"/>
      </w:rPr>
      <w:tblPr/>
      <w:tcPr>
        <w:shd w:val="clear" w:color="auto" w:fill="5990FF" w:themeFill="accent5" w:themeFillTint="66"/>
      </w:tcPr>
    </w:tblStylePr>
  </w:style>
  <w:style w:type="character" w:styleId="CommentReference">
    <w:name w:val="annotation reference"/>
    <w:basedOn w:val="DefaultParagraphFont"/>
    <w:uiPriority w:val="99"/>
    <w:semiHidden/>
    <w:unhideWhenUsed/>
    <w:rsid w:val="002B13EE"/>
    <w:rPr>
      <w:sz w:val="16"/>
      <w:szCs w:val="16"/>
    </w:rPr>
  </w:style>
  <w:style w:type="paragraph" w:styleId="CommentText">
    <w:name w:val="annotation text"/>
    <w:basedOn w:val="Normal"/>
    <w:link w:val="CommentTextChar"/>
    <w:uiPriority w:val="99"/>
    <w:semiHidden/>
    <w:unhideWhenUsed/>
    <w:rsid w:val="002B13EE"/>
    <w:rPr>
      <w:sz w:val="20"/>
    </w:rPr>
  </w:style>
  <w:style w:type="character" w:customStyle="1" w:styleId="CommentTextChar">
    <w:name w:val="Comment Text Char"/>
    <w:basedOn w:val="DefaultParagraphFont"/>
    <w:link w:val="CommentText"/>
    <w:uiPriority w:val="99"/>
    <w:semiHidden/>
    <w:rsid w:val="002B13EE"/>
    <w:rPr>
      <w:rFonts w:ascii="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2B13EE"/>
    <w:rPr>
      <w:b/>
      <w:bCs/>
    </w:rPr>
  </w:style>
  <w:style w:type="character" w:customStyle="1" w:styleId="CommentSubjectChar">
    <w:name w:val="Comment Subject Char"/>
    <w:basedOn w:val="CommentTextChar"/>
    <w:link w:val="CommentSubject"/>
    <w:uiPriority w:val="99"/>
    <w:semiHidden/>
    <w:rsid w:val="002B13EE"/>
    <w:rPr>
      <w:rFonts w:ascii="Arial" w:hAnsi="Arial" w:cs="Arial"/>
      <w:b/>
      <w:bCs/>
      <w:sz w:val="20"/>
      <w:szCs w:val="20"/>
      <w:lang w:val="en-GB"/>
    </w:rPr>
  </w:style>
  <w:style w:type="paragraph" w:styleId="FootnoteText">
    <w:name w:val="footnote text"/>
    <w:basedOn w:val="Normal"/>
    <w:link w:val="FootnoteTextChar"/>
    <w:uiPriority w:val="99"/>
    <w:semiHidden/>
    <w:unhideWhenUsed/>
    <w:rsid w:val="00276F06"/>
    <w:rPr>
      <w:sz w:val="20"/>
    </w:rPr>
  </w:style>
  <w:style w:type="character" w:customStyle="1" w:styleId="FootnoteTextChar">
    <w:name w:val="Footnote Text Char"/>
    <w:basedOn w:val="DefaultParagraphFont"/>
    <w:link w:val="FootnoteText"/>
    <w:uiPriority w:val="99"/>
    <w:semiHidden/>
    <w:rsid w:val="00276F06"/>
    <w:rPr>
      <w:rFonts w:ascii="Arial" w:hAnsi="Arial" w:cs="Arial"/>
      <w:sz w:val="20"/>
      <w:szCs w:val="20"/>
      <w:lang w:val="en-GB"/>
    </w:rPr>
  </w:style>
  <w:style w:type="character" w:styleId="FootnoteReference">
    <w:name w:val="footnote reference"/>
    <w:basedOn w:val="DefaultParagraphFont"/>
    <w:uiPriority w:val="99"/>
    <w:semiHidden/>
    <w:unhideWhenUsed/>
    <w:rsid w:val="00276F06"/>
    <w:rPr>
      <w:vertAlign w:val="superscript"/>
    </w:rPr>
  </w:style>
  <w:style w:type="paragraph" w:customStyle="1" w:styleId="SingleLineSpacingText">
    <w:name w:val="Single Line Spacing Text"/>
    <w:next w:val="Normal"/>
    <w:qFormat/>
    <w:rsid w:val="00843007"/>
    <w:pPr>
      <w:spacing w:after="0" w:line="240" w:lineRule="auto"/>
    </w:pPr>
    <w:rPr>
      <w:rFonts w:ascii="Arial" w:hAnsi="Arial" w:cs="Arial"/>
      <w:sz w:val="20"/>
      <w:szCs w:val="20"/>
    </w:rPr>
  </w:style>
  <w:style w:type="table" w:customStyle="1" w:styleId="TableGrid1">
    <w:name w:val="Table Grid1"/>
    <w:basedOn w:val="TableNormal"/>
    <w:next w:val="TableGrid"/>
    <w:uiPriority w:val="59"/>
    <w:rsid w:val="000A2E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E84BC5"/>
    <w:pPr>
      <w:spacing w:before="100" w:beforeAutospacing="1" w:after="100" w:afterAutospacing="1"/>
    </w:pPr>
    <w:rPr>
      <w:rFonts w:ascii="Times New Roman" w:eastAsiaTheme="minorEastAsia" w:hAnsi="Times New Roman" w:cs="Times New Roman"/>
      <w:sz w:val="24"/>
      <w:szCs w:val="24"/>
      <w:lang w:val="en-AU" w:eastAsia="en-AU"/>
    </w:rPr>
  </w:style>
  <w:style w:type="paragraph" w:customStyle="1" w:styleId="TableHeader">
    <w:name w:val="Table Header"/>
    <w:basedOn w:val="NoSpacing"/>
    <w:link w:val="TableHeaderChar"/>
    <w:qFormat/>
    <w:rsid w:val="00FB3545"/>
    <w:pPr>
      <w:spacing w:before="0" w:after="0"/>
    </w:pPr>
    <w:rPr>
      <w:rFonts w:ascii="Arial Bold" w:hAnsi="Arial Bold"/>
      <w:caps/>
      <w:color w:val="FFFFFF" w:themeColor="background1"/>
      <w:spacing w:val="20"/>
    </w:rPr>
  </w:style>
  <w:style w:type="paragraph" w:customStyle="1" w:styleId="TitlePageInfo">
    <w:name w:val="Title Page Info"/>
    <w:basedOn w:val="AppendixHeading1"/>
    <w:link w:val="TitlePageInfoChar"/>
    <w:qFormat/>
    <w:rsid w:val="00336C1E"/>
    <w:pPr>
      <w:spacing w:after="0" w:line="240" w:lineRule="auto"/>
    </w:pPr>
    <w:rPr>
      <w:sz w:val="32"/>
    </w:rPr>
  </w:style>
  <w:style w:type="character" w:customStyle="1" w:styleId="TableHeaderChar">
    <w:name w:val="Table Header Char"/>
    <w:basedOn w:val="NoSpacingChar"/>
    <w:link w:val="TableHeader"/>
    <w:rsid w:val="00FB3545"/>
    <w:rPr>
      <w:rFonts w:ascii="Arial Bold" w:hAnsi="Arial Bold" w:cs="Arial"/>
      <w:caps/>
      <w:color w:val="FFFFFF" w:themeColor="background1"/>
      <w:spacing w:val="20"/>
      <w:sz w:val="16"/>
      <w:szCs w:val="16"/>
    </w:rPr>
  </w:style>
  <w:style w:type="table" w:customStyle="1" w:styleId="MMRNoHeaerTable">
    <w:name w:val="MMR No Heaer Table"/>
    <w:basedOn w:val="TableNormal"/>
    <w:uiPriority w:val="99"/>
    <w:rsid w:val="00384107"/>
    <w:pPr>
      <w:spacing w:after="0" w:line="240" w:lineRule="auto"/>
    </w:pPr>
    <w:tblPr>
      <w:tblBorders>
        <w:insideH w:val="single" w:sz="6" w:space="0" w:color="BFBFBF" w:themeColor="background1" w:themeShade="BF"/>
      </w:tblBorders>
      <w:tblCellMar>
        <w:top w:w="113" w:type="dxa"/>
        <w:left w:w="0" w:type="dxa"/>
        <w:bottom w:w="113" w:type="dxa"/>
        <w:right w:w="0" w:type="dxa"/>
      </w:tblCellMar>
    </w:tblPr>
  </w:style>
  <w:style w:type="character" w:customStyle="1" w:styleId="AppendixHeading1Char">
    <w:name w:val="Appendix Heading 1 Char"/>
    <w:basedOn w:val="DefaultParagraphFont"/>
    <w:link w:val="AppendixHeading1"/>
    <w:rsid w:val="00336C1E"/>
    <w:rPr>
      <w:rFonts w:ascii="Arial" w:hAnsi="Arial"/>
      <w:b/>
      <w:color w:val="141B51" w:themeColor="text2"/>
      <w:sz w:val="28"/>
      <w:lang w:val="en-AU"/>
    </w:rPr>
  </w:style>
  <w:style w:type="character" w:customStyle="1" w:styleId="TitlePageInfoChar">
    <w:name w:val="Title Page Info Char"/>
    <w:basedOn w:val="AppendixHeading1Char"/>
    <w:link w:val="TitlePageInfo"/>
    <w:rsid w:val="00336C1E"/>
    <w:rPr>
      <w:rFonts w:ascii="Arial" w:hAnsi="Arial"/>
      <w:b/>
      <w:color w:val="141B51" w:themeColor="text2"/>
      <w:sz w:val="32"/>
      <w:lang w:val="en-AU"/>
    </w:rPr>
  </w:style>
  <w:style w:type="character" w:customStyle="1" w:styleId="Bullet1Char">
    <w:name w:val="Bullet 1 Char"/>
    <w:aliases w:val="Bullet Char,b1 Char,bullet 1 Char,MA Bullet 1 Char,Alt. Char,Bullet for no #'s Char,bullet1 Char,Bullet for no #'s Char Char,b1 Char Char"/>
    <w:link w:val="Bullet1"/>
    <w:uiPriority w:val="11"/>
    <w:locked/>
    <w:rsid w:val="00F853CC"/>
    <w:rPr>
      <w:rFonts w:ascii="Arial" w:hAnsi="Arial" w:cs="Arial"/>
      <w:color w:val="595959" w:themeColor="text1" w:themeTint="A6"/>
      <w:sz w:val="20"/>
      <w:szCs w:val="16"/>
      <w:lang w:val="en-GB"/>
    </w:rPr>
  </w:style>
  <w:style w:type="table" w:styleId="GridTable4-Accent1">
    <w:name w:val="Grid Table 4 Accent 1"/>
    <w:basedOn w:val="TableNormal"/>
    <w:uiPriority w:val="49"/>
    <w:rsid w:val="00444AC3"/>
    <w:pPr>
      <w:spacing w:after="0" w:line="240" w:lineRule="auto"/>
    </w:pPr>
    <w:tblPr>
      <w:tblStyleRowBandSize w:val="1"/>
      <w:tblStyleColBandSize w:val="1"/>
      <w:tblBorders>
        <w:top w:val="single" w:sz="4" w:space="0" w:color="99D6FF" w:themeColor="accent1" w:themeTint="99"/>
        <w:left w:val="single" w:sz="4" w:space="0" w:color="99D6FF" w:themeColor="accent1" w:themeTint="99"/>
        <w:bottom w:val="single" w:sz="4" w:space="0" w:color="99D6FF" w:themeColor="accent1" w:themeTint="99"/>
        <w:right w:val="single" w:sz="4" w:space="0" w:color="99D6FF" w:themeColor="accent1" w:themeTint="99"/>
        <w:insideH w:val="single" w:sz="4" w:space="0" w:color="99D6FF" w:themeColor="accent1" w:themeTint="99"/>
        <w:insideV w:val="single" w:sz="4" w:space="0" w:color="99D6FF" w:themeColor="accent1" w:themeTint="99"/>
      </w:tblBorders>
    </w:tblPr>
    <w:tblStylePr w:type="firstRow">
      <w:rPr>
        <w:b/>
        <w:bCs/>
        <w:color w:val="FFFFFF" w:themeColor="background1"/>
      </w:rPr>
      <w:tblPr/>
      <w:tcPr>
        <w:tcBorders>
          <w:top w:val="single" w:sz="4" w:space="0" w:color="55BCFF" w:themeColor="accent1"/>
          <w:left w:val="single" w:sz="4" w:space="0" w:color="55BCFF" w:themeColor="accent1"/>
          <w:bottom w:val="single" w:sz="4" w:space="0" w:color="55BCFF" w:themeColor="accent1"/>
          <w:right w:val="single" w:sz="4" w:space="0" w:color="55BCFF" w:themeColor="accent1"/>
          <w:insideH w:val="nil"/>
          <w:insideV w:val="nil"/>
        </w:tcBorders>
        <w:shd w:val="clear" w:color="auto" w:fill="55BCFF" w:themeFill="accent1"/>
      </w:tcPr>
    </w:tblStylePr>
    <w:tblStylePr w:type="lastRow">
      <w:rPr>
        <w:b/>
        <w:bCs/>
      </w:rPr>
      <w:tblPr/>
      <w:tcPr>
        <w:tcBorders>
          <w:top w:val="double" w:sz="4" w:space="0" w:color="55BCFF" w:themeColor="accent1"/>
        </w:tcBorders>
      </w:tcPr>
    </w:tblStylePr>
    <w:tblStylePr w:type="firstCol">
      <w:rPr>
        <w:b/>
        <w:bCs/>
      </w:rPr>
    </w:tblStylePr>
    <w:tblStylePr w:type="lastCol">
      <w:rPr>
        <w:b/>
        <w:bCs/>
      </w:rPr>
    </w:tblStylePr>
    <w:tblStylePr w:type="band1Vert">
      <w:tblPr/>
      <w:tcPr>
        <w:shd w:val="clear" w:color="auto" w:fill="DDF1FF" w:themeFill="accent1" w:themeFillTint="33"/>
      </w:tcPr>
    </w:tblStylePr>
    <w:tblStylePr w:type="band1Horz">
      <w:tblPr/>
      <w:tcPr>
        <w:shd w:val="clear" w:color="auto" w:fill="DDF1FF" w:themeFill="accent1" w:themeFillTint="33"/>
      </w:tcPr>
    </w:tblStylePr>
  </w:style>
  <w:style w:type="paragraph" w:customStyle="1" w:styleId="xmsolistparagraph">
    <w:name w:val="x_msolistparagraph"/>
    <w:basedOn w:val="Normal"/>
    <w:rsid w:val="00F64B17"/>
    <w:pPr>
      <w:spacing w:before="0" w:after="0"/>
      <w:ind w:left="720"/>
    </w:pPr>
    <w:rPr>
      <w:color w:val="auto"/>
      <w:sz w:val="20"/>
      <w:szCs w:val="20"/>
      <w:lang w:val="en-AU" w:eastAsia="en-AU"/>
    </w:rPr>
  </w:style>
  <w:style w:type="table" w:customStyle="1" w:styleId="AureconTable3">
    <w:name w:val="Aurecon Table 3"/>
    <w:basedOn w:val="TableNormal"/>
    <w:uiPriority w:val="99"/>
    <w:rsid w:val="007B67F5"/>
    <w:pPr>
      <w:spacing w:before="60" w:after="60" w:line="240" w:lineRule="auto"/>
    </w:pPr>
    <w:rPr>
      <w:sz w:val="18"/>
      <w:szCs w:val="20"/>
      <w:lang w:val="en-AU"/>
    </w:rPr>
    <w:tblPr>
      <w:tblBorders>
        <w:top w:val="single" w:sz="4" w:space="0" w:color="BABFB7" w:themeColor="accent3"/>
        <w:left w:val="single" w:sz="4" w:space="0" w:color="BABFB7" w:themeColor="accent3"/>
        <w:bottom w:val="single" w:sz="4" w:space="0" w:color="BABFB7" w:themeColor="accent3"/>
        <w:right w:val="single" w:sz="4" w:space="0" w:color="BABFB7" w:themeColor="accent3"/>
        <w:insideH w:val="single" w:sz="4" w:space="0" w:color="BABFB7" w:themeColor="accent3"/>
        <w:insideV w:val="single" w:sz="4" w:space="0" w:color="BABFB7" w:themeColor="accent3"/>
      </w:tblBorders>
    </w:tblPr>
    <w:trPr>
      <w:cantSplit/>
    </w:trPr>
    <w:tblStylePr w:type="firstRow">
      <w:rPr>
        <w:b/>
        <w:color w:val="auto"/>
      </w:rPr>
      <w:tblPr/>
      <w:tcPr>
        <w:shd w:val="clear" w:color="auto" w:fill="002060" w:themeFill="accent5"/>
      </w:tcPr>
    </w:tblStylePr>
  </w:style>
  <w:style w:type="paragraph" w:customStyle="1" w:styleId="Default">
    <w:name w:val="Default"/>
    <w:rsid w:val="007B67F5"/>
    <w:pPr>
      <w:autoSpaceDE w:val="0"/>
      <w:autoSpaceDN w:val="0"/>
      <w:adjustRightInd w:val="0"/>
      <w:spacing w:after="0" w:line="240" w:lineRule="auto"/>
    </w:pPr>
    <w:rPr>
      <w:rFonts w:ascii="Century Gothic" w:hAnsi="Century Gothic" w:cs="Century Gothic"/>
      <w:color w:val="000000"/>
      <w:sz w:val="24"/>
      <w:szCs w:val="24"/>
      <w:lang w:val="en-AU"/>
    </w:rPr>
  </w:style>
  <w:style w:type="character" w:styleId="UnresolvedMention">
    <w:name w:val="Unresolved Mention"/>
    <w:basedOn w:val="DefaultParagraphFont"/>
    <w:uiPriority w:val="99"/>
    <w:unhideWhenUsed/>
    <w:rsid w:val="001532E0"/>
    <w:rPr>
      <w:color w:val="605E5C"/>
      <w:shd w:val="clear" w:color="auto" w:fill="E1DFDD"/>
    </w:rPr>
  </w:style>
  <w:style w:type="paragraph" w:styleId="Revision">
    <w:name w:val="Revision"/>
    <w:hidden/>
    <w:uiPriority w:val="99"/>
    <w:semiHidden/>
    <w:rsid w:val="00675457"/>
    <w:pPr>
      <w:spacing w:after="0" w:line="240" w:lineRule="auto"/>
    </w:pPr>
    <w:rPr>
      <w:rFonts w:ascii="Arial" w:hAnsi="Arial" w:cs="Arial"/>
      <w:color w:val="595959" w:themeColor="text1" w:themeTint="A6"/>
      <w:sz w:val="16"/>
      <w:szCs w:val="16"/>
      <w:lang w:val="en-GB"/>
    </w:rPr>
  </w:style>
  <w:style w:type="character" w:styleId="BookTitle">
    <w:name w:val="Book Title"/>
    <w:basedOn w:val="DefaultParagraphFont"/>
    <w:uiPriority w:val="33"/>
    <w:rsid w:val="00826A92"/>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911984">
      <w:bodyDiv w:val="1"/>
      <w:marLeft w:val="0"/>
      <w:marRight w:val="0"/>
      <w:marTop w:val="0"/>
      <w:marBottom w:val="0"/>
      <w:divBdr>
        <w:top w:val="none" w:sz="0" w:space="0" w:color="auto"/>
        <w:left w:val="none" w:sz="0" w:space="0" w:color="auto"/>
        <w:bottom w:val="none" w:sz="0" w:space="0" w:color="auto"/>
        <w:right w:val="none" w:sz="0" w:space="0" w:color="auto"/>
      </w:divBdr>
    </w:div>
    <w:div w:id="102573121">
      <w:bodyDiv w:val="1"/>
      <w:marLeft w:val="0"/>
      <w:marRight w:val="0"/>
      <w:marTop w:val="0"/>
      <w:marBottom w:val="0"/>
      <w:divBdr>
        <w:top w:val="none" w:sz="0" w:space="0" w:color="auto"/>
        <w:left w:val="none" w:sz="0" w:space="0" w:color="auto"/>
        <w:bottom w:val="none" w:sz="0" w:space="0" w:color="auto"/>
        <w:right w:val="none" w:sz="0" w:space="0" w:color="auto"/>
      </w:divBdr>
      <w:divsChild>
        <w:div w:id="1158425443">
          <w:marLeft w:val="0"/>
          <w:marRight w:val="0"/>
          <w:marTop w:val="0"/>
          <w:marBottom w:val="0"/>
          <w:divBdr>
            <w:top w:val="none" w:sz="0" w:space="0" w:color="auto"/>
            <w:left w:val="none" w:sz="0" w:space="0" w:color="auto"/>
            <w:bottom w:val="none" w:sz="0" w:space="0" w:color="auto"/>
            <w:right w:val="none" w:sz="0" w:space="0" w:color="auto"/>
          </w:divBdr>
        </w:div>
      </w:divsChild>
    </w:div>
    <w:div w:id="103427559">
      <w:bodyDiv w:val="1"/>
      <w:marLeft w:val="0"/>
      <w:marRight w:val="0"/>
      <w:marTop w:val="0"/>
      <w:marBottom w:val="0"/>
      <w:divBdr>
        <w:top w:val="none" w:sz="0" w:space="0" w:color="auto"/>
        <w:left w:val="none" w:sz="0" w:space="0" w:color="auto"/>
        <w:bottom w:val="none" w:sz="0" w:space="0" w:color="auto"/>
        <w:right w:val="none" w:sz="0" w:space="0" w:color="auto"/>
      </w:divBdr>
    </w:div>
    <w:div w:id="124083200">
      <w:bodyDiv w:val="1"/>
      <w:marLeft w:val="0"/>
      <w:marRight w:val="0"/>
      <w:marTop w:val="0"/>
      <w:marBottom w:val="0"/>
      <w:divBdr>
        <w:top w:val="none" w:sz="0" w:space="0" w:color="auto"/>
        <w:left w:val="none" w:sz="0" w:space="0" w:color="auto"/>
        <w:bottom w:val="none" w:sz="0" w:space="0" w:color="auto"/>
        <w:right w:val="none" w:sz="0" w:space="0" w:color="auto"/>
      </w:divBdr>
    </w:div>
    <w:div w:id="142279141">
      <w:bodyDiv w:val="1"/>
      <w:marLeft w:val="0"/>
      <w:marRight w:val="0"/>
      <w:marTop w:val="0"/>
      <w:marBottom w:val="0"/>
      <w:divBdr>
        <w:top w:val="none" w:sz="0" w:space="0" w:color="auto"/>
        <w:left w:val="none" w:sz="0" w:space="0" w:color="auto"/>
        <w:bottom w:val="none" w:sz="0" w:space="0" w:color="auto"/>
        <w:right w:val="none" w:sz="0" w:space="0" w:color="auto"/>
      </w:divBdr>
    </w:div>
    <w:div w:id="152793358">
      <w:bodyDiv w:val="1"/>
      <w:marLeft w:val="0"/>
      <w:marRight w:val="0"/>
      <w:marTop w:val="0"/>
      <w:marBottom w:val="0"/>
      <w:divBdr>
        <w:top w:val="none" w:sz="0" w:space="0" w:color="auto"/>
        <w:left w:val="none" w:sz="0" w:space="0" w:color="auto"/>
        <w:bottom w:val="none" w:sz="0" w:space="0" w:color="auto"/>
        <w:right w:val="none" w:sz="0" w:space="0" w:color="auto"/>
      </w:divBdr>
    </w:div>
    <w:div w:id="190337258">
      <w:bodyDiv w:val="1"/>
      <w:marLeft w:val="0"/>
      <w:marRight w:val="0"/>
      <w:marTop w:val="0"/>
      <w:marBottom w:val="0"/>
      <w:divBdr>
        <w:top w:val="none" w:sz="0" w:space="0" w:color="auto"/>
        <w:left w:val="none" w:sz="0" w:space="0" w:color="auto"/>
        <w:bottom w:val="none" w:sz="0" w:space="0" w:color="auto"/>
        <w:right w:val="none" w:sz="0" w:space="0" w:color="auto"/>
      </w:divBdr>
    </w:div>
    <w:div w:id="268122543">
      <w:bodyDiv w:val="1"/>
      <w:marLeft w:val="0"/>
      <w:marRight w:val="0"/>
      <w:marTop w:val="0"/>
      <w:marBottom w:val="0"/>
      <w:divBdr>
        <w:top w:val="none" w:sz="0" w:space="0" w:color="auto"/>
        <w:left w:val="none" w:sz="0" w:space="0" w:color="auto"/>
        <w:bottom w:val="none" w:sz="0" w:space="0" w:color="auto"/>
        <w:right w:val="none" w:sz="0" w:space="0" w:color="auto"/>
      </w:divBdr>
    </w:div>
    <w:div w:id="270479839">
      <w:bodyDiv w:val="1"/>
      <w:marLeft w:val="0"/>
      <w:marRight w:val="0"/>
      <w:marTop w:val="0"/>
      <w:marBottom w:val="0"/>
      <w:divBdr>
        <w:top w:val="none" w:sz="0" w:space="0" w:color="auto"/>
        <w:left w:val="none" w:sz="0" w:space="0" w:color="auto"/>
        <w:bottom w:val="none" w:sz="0" w:space="0" w:color="auto"/>
        <w:right w:val="none" w:sz="0" w:space="0" w:color="auto"/>
      </w:divBdr>
    </w:div>
    <w:div w:id="287006957">
      <w:bodyDiv w:val="1"/>
      <w:marLeft w:val="0"/>
      <w:marRight w:val="0"/>
      <w:marTop w:val="0"/>
      <w:marBottom w:val="0"/>
      <w:divBdr>
        <w:top w:val="none" w:sz="0" w:space="0" w:color="auto"/>
        <w:left w:val="none" w:sz="0" w:space="0" w:color="auto"/>
        <w:bottom w:val="none" w:sz="0" w:space="0" w:color="auto"/>
        <w:right w:val="none" w:sz="0" w:space="0" w:color="auto"/>
      </w:divBdr>
    </w:div>
    <w:div w:id="297684229">
      <w:bodyDiv w:val="1"/>
      <w:marLeft w:val="0"/>
      <w:marRight w:val="0"/>
      <w:marTop w:val="0"/>
      <w:marBottom w:val="0"/>
      <w:divBdr>
        <w:top w:val="none" w:sz="0" w:space="0" w:color="auto"/>
        <w:left w:val="none" w:sz="0" w:space="0" w:color="auto"/>
        <w:bottom w:val="none" w:sz="0" w:space="0" w:color="auto"/>
        <w:right w:val="none" w:sz="0" w:space="0" w:color="auto"/>
      </w:divBdr>
    </w:div>
    <w:div w:id="509371440">
      <w:bodyDiv w:val="1"/>
      <w:marLeft w:val="0"/>
      <w:marRight w:val="0"/>
      <w:marTop w:val="0"/>
      <w:marBottom w:val="0"/>
      <w:divBdr>
        <w:top w:val="none" w:sz="0" w:space="0" w:color="auto"/>
        <w:left w:val="none" w:sz="0" w:space="0" w:color="auto"/>
        <w:bottom w:val="none" w:sz="0" w:space="0" w:color="auto"/>
        <w:right w:val="none" w:sz="0" w:space="0" w:color="auto"/>
      </w:divBdr>
    </w:div>
    <w:div w:id="530146972">
      <w:bodyDiv w:val="1"/>
      <w:marLeft w:val="0"/>
      <w:marRight w:val="0"/>
      <w:marTop w:val="0"/>
      <w:marBottom w:val="0"/>
      <w:divBdr>
        <w:top w:val="none" w:sz="0" w:space="0" w:color="auto"/>
        <w:left w:val="none" w:sz="0" w:space="0" w:color="auto"/>
        <w:bottom w:val="none" w:sz="0" w:space="0" w:color="auto"/>
        <w:right w:val="none" w:sz="0" w:space="0" w:color="auto"/>
      </w:divBdr>
    </w:div>
    <w:div w:id="541092434">
      <w:bodyDiv w:val="1"/>
      <w:marLeft w:val="0"/>
      <w:marRight w:val="0"/>
      <w:marTop w:val="0"/>
      <w:marBottom w:val="0"/>
      <w:divBdr>
        <w:top w:val="none" w:sz="0" w:space="0" w:color="auto"/>
        <w:left w:val="none" w:sz="0" w:space="0" w:color="auto"/>
        <w:bottom w:val="none" w:sz="0" w:space="0" w:color="auto"/>
        <w:right w:val="none" w:sz="0" w:space="0" w:color="auto"/>
      </w:divBdr>
    </w:div>
    <w:div w:id="604003623">
      <w:bodyDiv w:val="1"/>
      <w:marLeft w:val="0"/>
      <w:marRight w:val="0"/>
      <w:marTop w:val="0"/>
      <w:marBottom w:val="0"/>
      <w:divBdr>
        <w:top w:val="none" w:sz="0" w:space="0" w:color="auto"/>
        <w:left w:val="none" w:sz="0" w:space="0" w:color="auto"/>
        <w:bottom w:val="none" w:sz="0" w:space="0" w:color="auto"/>
        <w:right w:val="none" w:sz="0" w:space="0" w:color="auto"/>
      </w:divBdr>
    </w:div>
    <w:div w:id="905526655">
      <w:bodyDiv w:val="1"/>
      <w:marLeft w:val="0"/>
      <w:marRight w:val="0"/>
      <w:marTop w:val="0"/>
      <w:marBottom w:val="0"/>
      <w:divBdr>
        <w:top w:val="none" w:sz="0" w:space="0" w:color="auto"/>
        <w:left w:val="none" w:sz="0" w:space="0" w:color="auto"/>
        <w:bottom w:val="none" w:sz="0" w:space="0" w:color="auto"/>
        <w:right w:val="none" w:sz="0" w:space="0" w:color="auto"/>
      </w:divBdr>
    </w:div>
    <w:div w:id="909736428">
      <w:bodyDiv w:val="1"/>
      <w:marLeft w:val="0"/>
      <w:marRight w:val="0"/>
      <w:marTop w:val="0"/>
      <w:marBottom w:val="0"/>
      <w:divBdr>
        <w:top w:val="none" w:sz="0" w:space="0" w:color="auto"/>
        <w:left w:val="none" w:sz="0" w:space="0" w:color="auto"/>
        <w:bottom w:val="none" w:sz="0" w:space="0" w:color="auto"/>
        <w:right w:val="none" w:sz="0" w:space="0" w:color="auto"/>
      </w:divBdr>
    </w:div>
    <w:div w:id="945842292">
      <w:bodyDiv w:val="1"/>
      <w:marLeft w:val="0"/>
      <w:marRight w:val="0"/>
      <w:marTop w:val="0"/>
      <w:marBottom w:val="0"/>
      <w:divBdr>
        <w:top w:val="none" w:sz="0" w:space="0" w:color="auto"/>
        <w:left w:val="none" w:sz="0" w:space="0" w:color="auto"/>
        <w:bottom w:val="none" w:sz="0" w:space="0" w:color="auto"/>
        <w:right w:val="none" w:sz="0" w:space="0" w:color="auto"/>
      </w:divBdr>
    </w:div>
    <w:div w:id="1033653358">
      <w:bodyDiv w:val="1"/>
      <w:marLeft w:val="0"/>
      <w:marRight w:val="0"/>
      <w:marTop w:val="0"/>
      <w:marBottom w:val="0"/>
      <w:divBdr>
        <w:top w:val="none" w:sz="0" w:space="0" w:color="auto"/>
        <w:left w:val="none" w:sz="0" w:space="0" w:color="auto"/>
        <w:bottom w:val="none" w:sz="0" w:space="0" w:color="auto"/>
        <w:right w:val="none" w:sz="0" w:space="0" w:color="auto"/>
      </w:divBdr>
    </w:div>
    <w:div w:id="1105855209">
      <w:bodyDiv w:val="1"/>
      <w:marLeft w:val="0"/>
      <w:marRight w:val="0"/>
      <w:marTop w:val="0"/>
      <w:marBottom w:val="0"/>
      <w:divBdr>
        <w:top w:val="none" w:sz="0" w:space="0" w:color="auto"/>
        <w:left w:val="none" w:sz="0" w:space="0" w:color="auto"/>
        <w:bottom w:val="none" w:sz="0" w:space="0" w:color="auto"/>
        <w:right w:val="none" w:sz="0" w:space="0" w:color="auto"/>
      </w:divBdr>
    </w:div>
    <w:div w:id="1253273862">
      <w:bodyDiv w:val="1"/>
      <w:marLeft w:val="0"/>
      <w:marRight w:val="0"/>
      <w:marTop w:val="0"/>
      <w:marBottom w:val="0"/>
      <w:divBdr>
        <w:top w:val="none" w:sz="0" w:space="0" w:color="auto"/>
        <w:left w:val="none" w:sz="0" w:space="0" w:color="auto"/>
        <w:bottom w:val="none" w:sz="0" w:space="0" w:color="auto"/>
        <w:right w:val="none" w:sz="0" w:space="0" w:color="auto"/>
      </w:divBdr>
    </w:div>
    <w:div w:id="1283730219">
      <w:bodyDiv w:val="1"/>
      <w:marLeft w:val="0"/>
      <w:marRight w:val="0"/>
      <w:marTop w:val="0"/>
      <w:marBottom w:val="0"/>
      <w:divBdr>
        <w:top w:val="none" w:sz="0" w:space="0" w:color="auto"/>
        <w:left w:val="none" w:sz="0" w:space="0" w:color="auto"/>
        <w:bottom w:val="none" w:sz="0" w:space="0" w:color="auto"/>
        <w:right w:val="none" w:sz="0" w:space="0" w:color="auto"/>
      </w:divBdr>
    </w:div>
    <w:div w:id="1331175767">
      <w:bodyDiv w:val="1"/>
      <w:marLeft w:val="0"/>
      <w:marRight w:val="0"/>
      <w:marTop w:val="0"/>
      <w:marBottom w:val="0"/>
      <w:divBdr>
        <w:top w:val="none" w:sz="0" w:space="0" w:color="auto"/>
        <w:left w:val="none" w:sz="0" w:space="0" w:color="auto"/>
        <w:bottom w:val="none" w:sz="0" w:space="0" w:color="auto"/>
        <w:right w:val="none" w:sz="0" w:space="0" w:color="auto"/>
      </w:divBdr>
      <w:divsChild>
        <w:div w:id="1431194244">
          <w:marLeft w:val="0"/>
          <w:marRight w:val="0"/>
          <w:marTop w:val="0"/>
          <w:marBottom w:val="0"/>
          <w:divBdr>
            <w:top w:val="none" w:sz="0" w:space="0" w:color="auto"/>
            <w:left w:val="none" w:sz="0" w:space="0" w:color="auto"/>
            <w:bottom w:val="none" w:sz="0" w:space="0" w:color="auto"/>
            <w:right w:val="none" w:sz="0" w:space="0" w:color="auto"/>
          </w:divBdr>
        </w:div>
      </w:divsChild>
    </w:div>
    <w:div w:id="1426266748">
      <w:bodyDiv w:val="1"/>
      <w:marLeft w:val="0"/>
      <w:marRight w:val="0"/>
      <w:marTop w:val="0"/>
      <w:marBottom w:val="0"/>
      <w:divBdr>
        <w:top w:val="none" w:sz="0" w:space="0" w:color="auto"/>
        <w:left w:val="none" w:sz="0" w:space="0" w:color="auto"/>
        <w:bottom w:val="none" w:sz="0" w:space="0" w:color="auto"/>
        <w:right w:val="none" w:sz="0" w:space="0" w:color="auto"/>
      </w:divBdr>
    </w:div>
    <w:div w:id="1431438539">
      <w:bodyDiv w:val="1"/>
      <w:marLeft w:val="0"/>
      <w:marRight w:val="0"/>
      <w:marTop w:val="0"/>
      <w:marBottom w:val="0"/>
      <w:divBdr>
        <w:top w:val="none" w:sz="0" w:space="0" w:color="auto"/>
        <w:left w:val="none" w:sz="0" w:space="0" w:color="auto"/>
        <w:bottom w:val="none" w:sz="0" w:space="0" w:color="auto"/>
        <w:right w:val="none" w:sz="0" w:space="0" w:color="auto"/>
      </w:divBdr>
      <w:divsChild>
        <w:div w:id="1058358245">
          <w:marLeft w:val="0"/>
          <w:marRight w:val="0"/>
          <w:marTop w:val="0"/>
          <w:marBottom w:val="0"/>
          <w:divBdr>
            <w:top w:val="none" w:sz="0" w:space="0" w:color="auto"/>
            <w:left w:val="none" w:sz="0" w:space="0" w:color="auto"/>
            <w:bottom w:val="none" w:sz="0" w:space="0" w:color="auto"/>
            <w:right w:val="none" w:sz="0" w:space="0" w:color="auto"/>
          </w:divBdr>
        </w:div>
      </w:divsChild>
    </w:div>
    <w:div w:id="1461806056">
      <w:bodyDiv w:val="1"/>
      <w:marLeft w:val="0"/>
      <w:marRight w:val="0"/>
      <w:marTop w:val="0"/>
      <w:marBottom w:val="0"/>
      <w:divBdr>
        <w:top w:val="none" w:sz="0" w:space="0" w:color="auto"/>
        <w:left w:val="none" w:sz="0" w:space="0" w:color="auto"/>
        <w:bottom w:val="none" w:sz="0" w:space="0" w:color="auto"/>
        <w:right w:val="none" w:sz="0" w:space="0" w:color="auto"/>
      </w:divBdr>
      <w:divsChild>
        <w:div w:id="1467091734">
          <w:marLeft w:val="0"/>
          <w:marRight w:val="0"/>
          <w:marTop w:val="0"/>
          <w:marBottom w:val="0"/>
          <w:divBdr>
            <w:top w:val="none" w:sz="0" w:space="0" w:color="auto"/>
            <w:left w:val="none" w:sz="0" w:space="0" w:color="auto"/>
            <w:bottom w:val="none" w:sz="0" w:space="0" w:color="auto"/>
            <w:right w:val="none" w:sz="0" w:space="0" w:color="auto"/>
          </w:divBdr>
        </w:div>
      </w:divsChild>
    </w:div>
    <w:div w:id="1482430137">
      <w:bodyDiv w:val="1"/>
      <w:marLeft w:val="0"/>
      <w:marRight w:val="0"/>
      <w:marTop w:val="0"/>
      <w:marBottom w:val="0"/>
      <w:divBdr>
        <w:top w:val="none" w:sz="0" w:space="0" w:color="auto"/>
        <w:left w:val="none" w:sz="0" w:space="0" w:color="auto"/>
        <w:bottom w:val="none" w:sz="0" w:space="0" w:color="auto"/>
        <w:right w:val="none" w:sz="0" w:space="0" w:color="auto"/>
      </w:divBdr>
    </w:div>
    <w:div w:id="1694958787">
      <w:bodyDiv w:val="1"/>
      <w:marLeft w:val="0"/>
      <w:marRight w:val="0"/>
      <w:marTop w:val="0"/>
      <w:marBottom w:val="0"/>
      <w:divBdr>
        <w:top w:val="none" w:sz="0" w:space="0" w:color="auto"/>
        <w:left w:val="none" w:sz="0" w:space="0" w:color="auto"/>
        <w:bottom w:val="none" w:sz="0" w:space="0" w:color="auto"/>
        <w:right w:val="none" w:sz="0" w:space="0" w:color="auto"/>
      </w:divBdr>
    </w:div>
    <w:div w:id="1719627774">
      <w:bodyDiv w:val="1"/>
      <w:marLeft w:val="0"/>
      <w:marRight w:val="0"/>
      <w:marTop w:val="0"/>
      <w:marBottom w:val="0"/>
      <w:divBdr>
        <w:top w:val="none" w:sz="0" w:space="0" w:color="auto"/>
        <w:left w:val="none" w:sz="0" w:space="0" w:color="auto"/>
        <w:bottom w:val="none" w:sz="0" w:space="0" w:color="auto"/>
        <w:right w:val="none" w:sz="0" w:space="0" w:color="auto"/>
      </w:divBdr>
    </w:div>
    <w:div w:id="1765570794">
      <w:bodyDiv w:val="1"/>
      <w:marLeft w:val="0"/>
      <w:marRight w:val="0"/>
      <w:marTop w:val="0"/>
      <w:marBottom w:val="0"/>
      <w:divBdr>
        <w:top w:val="none" w:sz="0" w:space="0" w:color="auto"/>
        <w:left w:val="none" w:sz="0" w:space="0" w:color="auto"/>
        <w:bottom w:val="none" w:sz="0" w:space="0" w:color="auto"/>
        <w:right w:val="none" w:sz="0" w:space="0" w:color="auto"/>
      </w:divBdr>
    </w:div>
    <w:div w:id="1854343936">
      <w:bodyDiv w:val="1"/>
      <w:marLeft w:val="0"/>
      <w:marRight w:val="0"/>
      <w:marTop w:val="0"/>
      <w:marBottom w:val="0"/>
      <w:divBdr>
        <w:top w:val="none" w:sz="0" w:space="0" w:color="auto"/>
        <w:left w:val="none" w:sz="0" w:space="0" w:color="auto"/>
        <w:bottom w:val="none" w:sz="0" w:space="0" w:color="auto"/>
        <w:right w:val="none" w:sz="0" w:space="0" w:color="auto"/>
      </w:divBdr>
    </w:div>
    <w:div w:id="1868449282">
      <w:bodyDiv w:val="1"/>
      <w:marLeft w:val="0"/>
      <w:marRight w:val="0"/>
      <w:marTop w:val="0"/>
      <w:marBottom w:val="0"/>
      <w:divBdr>
        <w:top w:val="none" w:sz="0" w:space="0" w:color="auto"/>
        <w:left w:val="none" w:sz="0" w:space="0" w:color="auto"/>
        <w:bottom w:val="none" w:sz="0" w:space="0" w:color="auto"/>
        <w:right w:val="none" w:sz="0" w:space="0" w:color="auto"/>
      </w:divBdr>
      <w:divsChild>
        <w:div w:id="309091137">
          <w:marLeft w:val="0"/>
          <w:marRight w:val="0"/>
          <w:marTop w:val="0"/>
          <w:marBottom w:val="0"/>
          <w:divBdr>
            <w:top w:val="none" w:sz="0" w:space="0" w:color="auto"/>
            <w:left w:val="none" w:sz="0" w:space="0" w:color="auto"/>
            <w:bottom w:val="none" w:sz="0" w:space="0" w:color="auto"/>
            <w:right w:val="none" w:sz="0" w:space="0" w:color="auto"/>
          </w:divBdr>
        </w:div>
      </w:divsChild>
    </w:div>
    <w:div w:id="1882014440">
      <w:bodyDiv w:val="1"/>
      <w:marLeft w:val="0"/>
      <w:marRight w:val="0"/>
      <w:marTop w:val="0"/>
      <w:marBottom w:val="0"/>
      <w:divBdr>
        <w:top w:val="none" w:sz="0" w:space="0" w:color="auto"/>
        <w:left w:val="none" w:sz="0" w:space="0" w:color="auto"/>
        <w:bottom w:val="none" w:sz="0" w:space="0" w:color="auto"/>
        <w:right w:val="none" w:sz="0" w:space="0" w:color="auto"/>
      </w:divBdr>
    </w:div>
    <w:div w:id="1896890035">
      <w:bodyDiv w:val="1"/>
      <w:marLeft w:val="0"/>
      <w:marRight w:val="0"/>
      <w:marTop w:val="0"/>
      <w:marBottom w:val="0"/>
      <w:divBdr>
        <w:top w:val="none" w:sz="0" w:space="0" w:color="auto"/>
        <w:left w:val="none" w:sz="0" w:space="0" w:color="auto"/>
        <w:bottom w:val="none" w:sz="0" w:space="0" w:color="auto"/>
        <w:right w:val="none" w:sz="0" w:space="0" w:color="auto"/>
      </w:divBdr>
    </w:div>
    <w:div w:id="1900288835">
      <w:bodyDiv w:val="1"/>
      <w:marLeft w:val="0"/>
      <w:marRight w:val="0"/>
      <w:marTop w:val="0"/>
      <w:marBottom w:val="0"/>
      <w:divBdr>
        <w:top w:val="none" w:sz="0" w:space="0" w:color="auto"/>
        <w:left w:val="none" w:sz="0" w:space="0" w:color="auto"/>
        <w:bottom w:val="none" w:sz="0" w:space="0" w:color="auto"/>
        <w:right w:val="none" w:sz="0" w:space="0" w:color="auto"/>
      </w:divBdr>
    </w:div>
    <w:div w:id="1908491054">
      <w:bodyDiv w:val="1"/>
      <w:marLeft w:val="0"/>
      <w:marRight w:val="0"/>
      <w:marTop w:val="0"/>
      <w:marBottom w:val="0"/>
      <w:divBdr>
        <w:top w:val="none" w:sz="0" w:space="0" w:color="auto"/>
        <w:left w:val="none" w:sz="0" w:space="0" w:color="auto"/>
        <w:bottom w:val="none" w:sz="0" w:space="0" w:color="auto"/>
        <w:right w:val="none" w:sz="0" w:space="0" w:color="auto"/>
      </w:divBdr>
    </w:div>
    <w:div w:id="1958483492">
      <w:bodyDiv w:val="1"/>
      <w:marLeft w:val="0"/>
      <w:marRight w:val="0"/>
      <w:marTop w:val="0"/>
      <w:marBottom w:val="0"/>
      <w:divBdr>
        <w:top w:val="none" w:sz="0" w:space="0" w:color="auto"/>
        <w:left w:val="none" w:sz="0" w:space="0" w:color="auto"/>
        <w:bottom w:val="none" w:sz="0" w:space="0" w:color="auto"/>
        <w:right w:val="none" w:sz="0" w:space="0" w:color="auto"/>
      </w:divBdr>
    </w:div>
    <w:div w:id="2025207695">
      <w:bodyDiv w:val="1"/>
      <w:marLeft w:val="0"/>
      <w:marRight w:val="0"/>
      <w:marTop w:val="0"/>
      <w:marBottom w:val="0"/>
      <w:divBdr>
        <w:top w:val="none" w:sz="0" w:space="0" w:color="auto"/>
        <w:left w:val="none" w:sz="0" w:space="0" w:color="auto"/>
        <w:bottom w:val="none" w:sz="0" w:space="0" w:color="auto"/>
        <w:right w:val="none" w:sz="0" w:space="0" w:color="auto"/>
      </w:divBdr>
    </w:div>
    <w:div w:id="2110851768">
      <w:bodyDiv w:val="1"/>
      <w:marLeft w:val="0"/>
      <w:marRight w:val="0"/>
      <w:marTop w:val="0"/>
      <w:marBottom w:val="0"/>
      <w:divBdr>
        <w:top w:val="none" w:sz="0" w:space="0" w:color="auto"/>
        <w:left w:val="none" w:sz="0" w:space="0" w:color="auto"/>
        <w:bottom w:val="none" w:sz="0" w:space="0" w:color="auto"/>
        <w:right w:val="none" w:sz="0" w:space="0" w:color="auto"/>
      </w:divBdr>
    </w:div>
    <w:div w:id="213085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header" Target="header1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header" Target="header10.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cid:image006.jpg@01D72245.B0418250"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8.xml"/><Relationship Id="rId32" Type="http://schemas.openxmlformats.org/officeDocument/2006/relationships/image" Target="media/image6.png"/><Relationship Id="rId37" Type="http://schemas.openxmlformats.org/officeDocument/2006/relationships/header" Target="header1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image" Target="media/image7.jpeg"/><Relationship Id="rId36" Type="http://schemas.openxmlformats.org/officeDocument/2006/relationships/header" Target="header12.xm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8.png"/><Relationship Id="rId35" Type="http://schemas.openxmlformats.org/officeDocument/2006/relationships/footer" Target="footer7.xm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Aurecon%20Templates\Templates\Proposal-%20Report%201%20column.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601AB6F7-6F52-44A9-91FB-4617DD82EF7A}"/>
      </w:docPartPr>
      <w:docPartBody>
        <w:p w:rsidR="00941B90" w:rsidRDefault="006026BD">
          <w:r w:rsidRPr="00793762">
            <w:rPr>
              <w:rStyle w:val="PlaceholderText"/>
            </w:rPr>
            <w:t>Click here to enter text.</w:t>
          </w:r>
        </w:p>
      </w:docPartBody>
    </w:docPart>
    <w:docPart>
      <w:docPartPr>
        <w:name w:val="ADE0DAF97778485DAA20226821DAB2ED"/>
        <w:category>
          <w:name w:val="General"/>
          <w:gallery w:val="placeholder"/>
        </w:category>
        <w:types>
          <w:type w:val="bbPlcHdr"/>
        </w:types>
        <w:behaviors>
          <w:behavior w:val="content"/>
        </w:behaviors>
        <w:guid w:val="{8518F0A5-DDEE-4275-82DC-24BDD11627DB}"/>
      </w:docPartPr>
      <w:docPartBody>
        <w:p w:rsidR="009946BA" w:rsidRDefault="009946BA" w:rsidP="009946BA">
          <w:pPr>
            <w:pStyle w:val="ADE0DAF97778485DAA20226821DAB2ED"/>
          </w:pPr>
          <w:r w:rsidRPr="00793762">
            <w:rPr>
              <w:rStyle w:val="PlaceholderText"/>
            </w:rPr>
            <w:t>Click here to enter text.</w:t>
          </w:r>
        </w:p>
      </w:docPartBody>
    </w:docPart>
    <w:docPart>
      <w:docPartPr>
        <w:name w:val="2C593556988A418181DA6403D2C55597"/>
        <w:category>
          <w:name w:val="General"/>
          <w:gallery w:val="placeholder"/>
        </w:category>
        <w:types>
          <w:type w:val="bbPlcHdr"/>
        </w:types>
        <w:behaviors>
          <w:behavior w:val="content"/>
        </w:behaviors>
        <w:guid w:val="{8F70ACD9-DF70-4231-A004-65D48113094E}"/>
      </w:docPartPr>
      <w:docPartBody>
        <w:p w:rsidR="009946BA" w:rsidRDefault="009946BA" w:rsidP="009946BA">
          <w:pPr>
            <w:pStyle w:val="2C593556988A418181DA6403D2C55597"/>
          </w:pPr>
          <w:r w:rsidRPr="0079376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26BD"/>
    <w:rsid w:val="000873CE"/>
    <w:rsid w:val="000D553F"/>
    <w:rsid w:val="000D7B46"/>
    <w:rsid w:val="0010124F"/>
    <w:rsid w:val="00142547"/>
    <w:rsid w:val="00156C92"/>
    <w:rsid w:val="001751E0"/>
    <w:rsid w:val="00243DF8"/>
    <w:rsid w:val="003876B8"/>
    <w:rsid w:val="003B05FF"/>
    <w:rsid w:val="003C4BAF"/>
    <w:rsid w:val="00494CAD"/>
    <w:rsid w:val="004B746A"/>
    <w:rsid w:val="004E69C0"/>
    <w:rsid w:val="0053082D"/>
    <w:rsid w:val="005551E5"/>
    <w:rsid w:val="005E454B"/>
    <w:rsid w:val="006026BD"/>
    <w:rsid w:val="0061449B"/>
    <w:rsid w:val="006D4872"/>
    <w:rsid w:val="00792DB7"/>
    <w:rsid w:val="007A76C7"/>
    <w:rsid w:val="007F7C8A"/>
    <w:rsid w:val="008279AC"/>
    <w:rsid w:val="00896C3A"/>
    <w:rsid w:val="008B0A78"/>
    <w:rsid w:val="00901BD1"/>
    <w:rsid w:val="009027BE"/>
    <w:rsid w:val="00941B90"/>
    <w:rsid w:val="009604BF"/>
    <w:rsid w:val="009749AF"/>
    <w:rsid w:val="00990109"/>
    <w:rsid w:val="009946BA"/>
    <w:rsid w:val="009C06C5"/>
    <w:rsid w:val="009C6E1C"/>
    <w:rsid w:val="009D504D"/>
    <w:rsid w:val="00A31DB2"/>
    <w:rsid w:val="00AA234E"/>
    <w:rsid w:val="00AC129D"/>
    <w:rsid w:val="00AF2C85"/>
    <w:rsid w:val="00B05FD6"/>
    <w:rsid w:val="00B5720B"/>
    <w:rsid w:val="00E0066D"/>
    <w:rsid w:val="00E221B9"/>
    <w:rsid w:val="00E76E28"/>
    <w:rsid w:val="00EA5D48"/>
    <w:rsid w:val="00EC653F"/>
    <w:rsid w:val="00F26E31"/>
    <w:rsid w:val="00F62359"/>
    <w:rsid w:val="00F92497"/>
    <w:rsid w:val="00FC292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46BA"/>
    <w:rPr>
      <w:rFonts w:cs="Times New Roman"/>
      <w:color w:val="808080"/>
    </w:rPr>
  </w:style>
  <w:style w:type="paragraph" w:customStyle="1" w:styleId="ADE0DAF97778485DAA20226821DAB2ED">
    <w:name w:val="ADE0DAF97778485DAA20226821DAB2ED"/>
    <w:rsid w:val="009946BA"/>
    <w:rPr>
      <w:lang w:val="en-GB" w:eastAsia="en-GB"/>
    </w:rPr>
  </w:style>
  <w:style w:type="paragraph" w:customStyle="1" w:styleId="2C593556988A418181DA6403D2C55597">
    <w:name w:val="2C593556988A418181DA6403D2C55597"/>
    <w:rsid w:val="009946BA"/>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ureconAdvisory">
  <a:themeElements>
    <a:clrScheme name="Custom 2">
      <a:dk1>
        <a:sysClr val="windowText" lastClr="000000"/>
      </a:dk1>
      <a:lt1>
        <a:sysClr val="window" lastClr="FFFFFF"/>
      </a:lt1>
      <a:dk2>
        <a:srgbClr val="141B51"/>
      </a:dk2>
      <a:lt2>
        <a:srgbClr val="EDF8FC"/>
      </a:lt2>
      <a:accent1>
        <a:srgbClr val="55BCFF"/>
      </a:accent1>
      <a:accent2>
        <a:srgbClr val="C00000"/>
      </a:accent2>
      <a:accent3>
        <a:srgbClr val="BABFB7"/>
      </a:accent3>
      <a:accent4>
        <a:srgbClr val="EFF0EF"/>
      </a:accent4>
      <a:accent5>
        <a:srgbClr val="002060"/>
      </a:accent5>
      <a:accent6>
        <a:srgbClr val="EDF8FC"/>
      </a:accent6>
      <a:hlink>
        <a:srgbClr val="5B4AC2"/>
      </a:hlink>
      <a:folHlink>
        <a:srgbClr val="009AFF"/>
      </a:folHlink>
    </a:clrScheme>
    <a:fontScheme name="AureconHatc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MMR WIP Library" ma:contentTypeID="0x0101004353E7EAB7134E4A96F22317781A513B00C68DC3640C64A240AC0395BE9ADD4E31" ma:contentTypeVersion="155" ma:contentTypeDescription="" ma:contentTypeScope="" ma:versionID="28be282f3cfb210812ffeb59eb4f27cc">
  <xsd:schema xmlns:xsd="http://www.w3.org/2001/XMLSchema" xmlns:xs="http://www.w3.org/2001/XMLSchema" xmlns:p="http://schemas.microsoft.com/office/2006/metadata/properties" xmlns:ns1="http://schemas.microsoft.com/sharepoint/v3" xmlns:ns2="89551346-f512-474d-a1c6-cafc780f9f2f" xmlns:ns3="http://schemas.microsoft.com/sharepoint/v3/fields" xmlns:ns4="acaf69e7-0480-42e5-bce8-12090a37f7fa" targetNamespace="http://schemas.microsoft.com/office/2006/metadata/properties" ma:root="true" ma:fieldsID="3e1c903106ad0a3ee4b80c9bea20821a" ns1:_="" ns2:_="" ns3:_="" ns4:_="">
    <xsd:import namespace="http://schemas.microsoft.com/sharepoint/v3"/>
    <xsd:import namespace="89551346-f512-474d-a1c6-cafc780f9f2f"/>
    <xsd:import namespace="http://schemas.microsoft.com/sharepoint/v3/fields"/>
    <xsd:import namespace="acaf69e7-0480-42e5-bce8-12090a37f7fa"/>
    <xsd:element name="properties">
      <xsd:complexType>
        <xsd:sequence>
          <xsd:element name="documentManagement">
            <xsd:complexType>
              <xsd:all>
                <xsd:element ref="ns2:Client"/>
                <xsd:element ref="ns2:BSTPhase"/>
                <xsd:element ref="ns2:BSTTask"/>
                <xsd:element ref="ns2:Document_x0020_Number" minOccurs="0"/>
                <xsd:element ref="ns3:_Status" minOccurs="0"/>
                <xsd:element ref="ns2:bbda3032a008436a8d94c32be0651857" minOccurs="0"/>
                <xsd:element ref="ns2:p6a9e476e61d4a5a9720fa3cb6fa0a99" minOccurs="0"/>
                <xsd:element ref="ns2:g5f7e9b0c44b4baca099c9fa748207e9" minOccurs="0"/>
                <xsd:element ref="ns2:p3dd2d1d633f481d9486eaa2f158c5ed" minOccurs="0"/>
                <xsd:element ref="ns2:aeae452453d34619914b6343ad20e9ad" minOccurs="0"/>
                <xsd:element ref="ns2:TaxCatchAllLabel" minOccurs="0"/>
                <xsd:element ref="ns2:TaxCatchAll" minOccurs="0"/>
                <xsd:element ref="ns1:FormData" minOccurs="0"/>
                <xsd:element ref="ns2:_dlc_DocId" minOccurs="0"/>
                <xsd:element ref="ns2:_dlc_DocIdUrl" minOccurs="0"/>
                <xsd:element ref="ns2:_dlc_DocIdPersistId" minOccurs="0"/>
                <xsd:element ref="ns4:ChoiceStatus" minOccurs="0"/>
                <xsd:element ref="ns3:_Revision" minOccurs="0"/>
                <xsd:element ref="ns4:Express" minOccurs="0"/>
                <xsd:element ref="ns2:RD_x0020_Work_x0020_Package" minOccurs="0"/>
                <xsd:element ref="ns4:Package_x0020_Manager" minOccurs="0"/>
                <xsd:element ref="ns4:Comments" minOccurs="0"/>
                <xsd:element ref="ns4:S_TR_x0020_Library" minOccurs="0"/>
                <xsd:element ref="ns4:Collaborate_x0020_With" minOccurs="0"/>
                <xsd:element ref="ns2:MMRA_x0020_Document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5"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551346-f512-474d-a1c6-cafc780f9f2f" elementFormDefault="qualified">
    <xsd:import namespace="http://schemas.microsoft.com/office/2006/documentManagement/types"/>
    <xsd:import namespace="http://schemas.microsoft.com/office/infopath/2007/PartnerControls"/>
    <xsd:element name="Client" ma:index="2" ma:displayName="Client" ma:default="MMRA Melbourne Metro Rail Authority" ma:internalName="Client">
      <xsd:simpleType>
        <xsd:restriction base="dms:Text">
          <xsd:maxLength value="255"/>
        </xsd:restriction>
      </xsd:simpleType>
    </xsd:element>
    <xsd:element name="BSTPhase" ma:index="7" ma:displayName="BST Phase" ma:list="{28f695f8-87b9-49f8-94d3-62f76ec66a9c}" ma:internalName="BSTPhase" ma:showField="Title" ma:web="89551346-f512-474d-a1c6-cafc780f9f2f">
      <xsd:simpleType>
        <xsd:restriction base="dms:Lookup"/>
      </xsd:simpleType>
    </xsd:element>
    <xsd:element name="BSTTask" ma:index="8" ma:displayName="BST Task" ma:list="{ff9b8e89-8924-4cec-8c9c-a67357f1336a}" ma:internalName="BSTTask" ma:showField="Title" ma:web="89551346-f512-474d-a1c6-cafc780f9f2f">
      <xsd:simpleType>
        <xsd:restriction base="dms:Lookup"/>
      </xsd:simpleType>
    </xsd:element>
    <xsd:element name="Document_x0020_Number" ma:index="10" nillable="true" ma:displayName="Document Number" ma:indexed="true" ma:internalName="Document_x0020_Number">
      <xsd:simpleType>
        <xsd:restriction base="dms:Text">
          <xsd:maxLength value="255"/>
        </xsd:restriction>
      </xsd:simpleType>
    </xsd:element>
    <xsd:element name="bbda3032a008436a8d94c32be0651857" ma:index="13" ma:taxonomy="true" ma:internalName="bbda3032a008436a8d94c32be0651857" ma:taxonomyFieldName="Zone" ma:displayName="Zone" ma:default="" ma:fieldId="{bbda3032-a008-436a-8d94-c32be0651857}" ma:sspId="7bbcba09-6b91-4ddb-968a-90eff2e66839" ma:termSetId="90374630-c5f7-46de-abcc-f94b9082ef3e" ma:anchorId="00000000-0000-0000-0000-000000000000" ma:open="false" ma:isKeyword="false">
      <xsd:complexType>
        <xsd:sequence>
          <xsd:element ref="pc:Terms" minOccurs="0" maxOccurs="1"/>
        </xsd:sequence>
      </xsd:complexType>
    </xsd:element>
    <xsd:element name="p6a9e476e61d4a5a9720fa3cb6fa0a99" ma:index="15" ma:taxonomy="true" ma:internalName="p6a9e476e61d4a5a9720fa3cb6fa0a99" ma:taxonomyFieldName="Area" ma:displayName="Area" ma:readOnly="false" ma:default="" ma:fieldId="{96a9e476-e61d-4a5a-9720-fa3cb6fa0a99}" ma:sspId="7bbcba09-6b91-4ddb-968a-90eff2e66839" ma:termSetId="a3592eab-c645-43ff-a50c-f0aba099b2c5" ma:anchorId="00000000-0000-0000-0000-000000000000" ma:open="false" ma:isKeyword="false">
      <xsd:complexType>
        <xsd:sequence>
          <xsd:element ref="pc:Terms" minOccurs="0" maxOccurs="1"/>
        </xsd:sequence>
      </xsd:complexType>
    </xsd:element>
    <xsd:element name="g5f7e9b0c44b4baca099c9fa748207e9" ma:index="17" ma:taxonomy="true" ma:internalName="g5f7e9b0c44b4baca099c9fa748207e9" ma:taxonomyFieldName="Document_x0020_Type" ma:displayName="Document Type" ma:default="" ma:fieldId="{05f7e9b0-c44b-4bac-a099-c9fa748207e9}" ma:sspId="7bbcba09-6b91-4ddb-968a-90eff2e66839" ma:termSetId="383c87db-1be6-4c1a-b8f4-b7f59d78b6b7" ma:anchorId="00000000-0000-0000-0000-000000000000" ma:open="false" ma:isKeyword="false">
      <xsd:complexType>
        <xsd:sequence>
          <xsd:element ref="pc:Terms" minOccurs="0" maxOccurs="1"/>
        </xsd:sequence>
      </xsd:complexType>
    </xsd:element>
    <xsd:element name="p3dd2d1d633f481d9486eaa2f158c5ed" ma:index="19" ma:taxonomy="true" ma:internalName="p3dd2d1d633f481d9486eaa2f158c5ed" ma:taxonomyFieldName="Discipline" ma:displayName="Discipline" ma:default="" ma:fieldId="{93dd2d1d-633f-481d-9486-eaa2f158c5ed}" ma:sspId="7bbcba09-6b91-4ddb-968a-90eff2e66839" ma:termSetId="72a53057-c215-4b96-85b6-9a38b80ff79b" ma:anchorId="00000000-0000-0000-0000-000000000000" ma:open="false" ma:isKeyword="false">
      <xsd:complexType>
        <xsd:sequence>
          <xsd:element ref="pc:Terms" minOccurs="0" maxOccurs="1"/>
        </xsd:sequence>
      </xsd:complexType>
    </xsd:element>
    <xsd:element name="aeae452453d34619914b6343ad20e9ad" ma:index="20" ma:taxonomy="true" ma:internalName="aeae452453d34619914b6343ad20e9ad" ma:taxonomyFieldName="Originator" ma:displayName="Originator" ma:readOnly="false" ma:default="9;#AJM Aurecon Jacobs Motts JV|53105d07-eab5-4170-aa32-7f1e2dc23f4b" ma:fieldId="{aeae4524-53d3-4619-914b-6343ad20e9ad}" ma:sspId="7bbcba09-6b91-4ddb-968a-90eff2e66839" ma:termSetId="2d031551-a495-45c7-a097-2f0e06a2a9a0" ma:anchorId="00000000-0000-0000-0000-000000000000" ma:open="false" ma:isKeyword="false">
      <xsd:complexType>
        <xsd:sequence>
          <xsd:element ref="pc:Terms" minOccurs="0" maxOccurs="1"/>
        </xsd:sequence>
      </xsd:complexType>
    </xsd:element>
    <xsd:element name="TaxCatchAllLabel" ma:index="21" nillable="true" ma:displayName="Taxonomy Catch All Column1" ma:hidden="true" ma:list="{a5befaca-8910-4108-be16-70bd42cde7ee}" ma:internalName="TaxCatchAllLabel" ma:readOnly="true" ma:showField="CatchAllDataLabel" ma:web="89551346-f512-474d-a1c6-cafc780f9f2f">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a5befaca-8910-4108-be16-70bd42cde7ee}" ma:internalName="TaxCatchAll" ma:showField="CatchAllData" ma:web="89551346-f512-474d-a1c6-cafc780f9f2f">
      <xsd:complexType>
        <xsd:complexContent>
          <xsd:extension base="dms:MultiChoiceLookup">
            <xsd:sequence>
              <xsd:element name="Value" type="dms:Lookup" maxOccurs="unbounded" minOccurs="0" nillable="true"/>
            </xsd:sequence>
          </xsd:extension>
        </xsd:complexContent>
      </xsd:complexType>
    </xsd:element>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RD_x0020_Work_x0020_Package" ma:index="34" nillable="true" ma:displayName="RD Work Package" ma:format="Dropdown" ma:internalName="RD_x0020_Work_x0020_Package">
      <xsd:simpleType>
        <xsd:restriction base="dms:Choice">
          <xsd:enumeration value="Early works"/>
          <xsd:enumeration value="Core tunnel and stations"/>
          <xsd:enumeration value="Rail systems"/>
          <xsd:enumeration value="Rail infrastructure works"/>
          <xsd:enumeration value="Site information"/>
          <xsd:enumeration value="Supporting information"/>
        </xsd:restriction>
      </xsd:simpleType>
    </xsd:element>
    <xsd:element name="MMRA_x0020_Document_x0020_Number" ma:index="42" nillable="true" ma:displayName="MMRA Document Number" ma:internalName="MMRA_x0020_Document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1" nillable="true" ma:displayName="Status" ma:default="DFT Draft" ma:format="Dropdown" ma:internalName="Status" ma:readOnly="false">
      <xsd:simpleType>
        <xsd:restriction base="dms:Choice">
          <xsd:enumeration value="DFT Draft"/>
          <xsd:enumeration value="FVE For Verification"/>
          <xsd:enumeration value="APP Approved"/>
          <xsd:enumeration value="ISS Issued"/>
          <xsd:enumeration value="SUP Superseded"/>
          <xsd:enumeration value="CAN Cancelled"/>
        </xsd:restriction>
      </xsd:simpleType>
    </xsd:element>
    <xsd:element name="_Revision" ma:index="31" nillable="true" ma:displayName="Revision" ma:default="P1.1" ma:hidden="true" ma:internalName="Revis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af69e7-0480-42e5-bce8-12090a37f7fa" elementFormDefault="qualified">
    <xsd:import namespace="http://schemas.microsoft.com/office/2006/documentManagement/types"/>
    <xsd:import namespace="http://schemas.microsoft.com/office/infopath/2007/PartnerControls"/>
    <xsd:element name="ChoiceStatus" ma:index="30" nillable="true" ma:displayName="ChoiceStatus" ma:hidden="true" ma:internalName="ChoiceStatus" ma:readOnly="false">
      <xsd:simpleType>
        <xsd:restriction base="dms:Text">
          <xsd:maxLength value="255"/>
        </xsd:restriction>
      </xsd:simpleType>
    </xsd:element>
    <xsd:element name="Express" ma:index="33" nillable="true" ma:displayName="Express" ma:default="No" ma:format="Dropdown" ma:hidden="true" ma:internalName="Express" ma:readOnly="false">
      <xsd:simpleType>
        <xsd:restriction base="dms:Choice">
          <xsd:enumeration value="Yes"/>
          <xsd:enumeration value="No"/>
        </xsd:restriction>
      </xsd:simpleType>
    </xsd:element>
    <xsd:element name="Package_x0020_Manager" ma:index="35" nillable="true" ma:displayName="Package Manager" ma:list="UserInfo" ma:SharePointGroup="59" ma:internalName="Package_x0020_Manag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ents" ma:index="36" nillable="true" ma:displayName="Comments" ma:internalName="Comments">
      <xsd:simpleType>
        <xsd:restriction base="dms:Note">
          <xsd:maxLength value="255"/>
        </xsd:restriction>
      </xsd:simpleType>
    </xsd:element>
    <xsd:element name="S_TR_x0020_Library" ma:index="38" nillable="true" ma:displayName="S_TR Library" ma:default="No" ma:format="RadioButtons" ma:internalName="S_TR_x0020_Library">
      <xsd:simpleType>
        <xsd:restriction base="dms:Choice">
          <xsd:enumeration value="Yes"/>
          <xsd:enumeration value="No"/>
        </xsd:restriction>
      </xsd:simpleType>
    </xsd:element>
    <xsd:element name="Collaborate_x0020_With" ma:index="40" nillable="true" ma:displayName="Collaborate With" ma:list="UserInfo" ma:SharePointGroup="0" ma:internalName="Collaborate_x0020_With"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89551346-f512-474d-a1c6-cafc780f9f2f">MRVMYVN6QA7U-12-5789</_dlc_DocId>
    <_dlc_DocIdUrl xmlns="89551346-f512-474d-a1c6-cafc780f9f2f">
      <Url>https://geodocs.ajmjv.com/sites/MMR/_layouts/15/DocIdRedir.aspx?ID=MRVMYVN6QA7U-12-5789</Url>
      <Description>MRVMYVN6QA7U-12-5789</Description>
    </_dlc_DocIdUrl>
    <Document_x0020_Number xmlns="89551346-f512-474d-a1c6-cafc780f9f2f">005022</Document_x0020_Number>
    <TaxCatchAll xmlns="89551346-f512-474d-a1c6-cafc780f9f2f">
      <Value>174</Value>
      <Value>15</Value>
      <Value>100</Value>
      <Value>9</Value>
      <Value>29</Value>
    </TaxCatchAll>
    <p6a9e476e61d4a5a9720fa3cb6fa0a99 xmlns="89551346-f512-474d-a1c6-cafc780f9f2f">
      <Terms xmlns="http://schemas.microsoft.com/office/infopath/2007/PartnerControls">
        <TermInfo xmlns="http://schemas.microsoft.com/office/infopath/2007/PartnerControls">
          <TermName xmlns="http://schemas.microsoft.com/office/infopath/2007/PartnerControls">AA Overall</TermName>
          <TermId xmlns="http://schemas.microsoft.com/office/infopath/2007/PartnerControls">71401f43-3986-4d41-b6c9-eff73aeb2fe9</TermId>
        </TermInfo>
      </Terms>
    </p6a9e476e61d4a5a9720fa3cb6fa0a99>
    <Client xmlns="89551346-f512-474d-a1c6-cafc780f9f2f">MMRA Melbourne Metro Rail Authority</Client>
    <BSTTask xmlns="89551346-f512-474d-a1c6-cafc780f9f2f">1</BSTTask>
    <ChoiceStatus xmlns="acaf69e7-0480-42e5-bce8-12090a37f7fa">PM i:0#.w|ajmjv\\ruth.macdonald WI i:0#.w|ajmjv\\dali.sinha</ChoiceStatus>
    <RD_x0020_Work_x0020_Package xmlns="89551346-f512-474d-a1c6-cafc780f9f2f" xsi:nil="true"/>
    <aeae452453d34619914b6343ad20e9ad xmlns="89551346-f512-474d-a1c6-cafc780f9f2f">
      <Terms xmlns="http://schemas.microsoft.com/office/infopath/2007/PartnerControls">
        <TermInfo xmlns="http://schemas.microsoft.com/office/infopath/2007/PartnerControls">
          <TermName xmlns="http://schemas.microsoft.com/office/infopath/2007/PartnerControls">AJM Aurecon Jacobs Motts JV</TermName>
          <TermId xmlns="http://schemas.microsoft.com/office/infopath/2007/PartnerControls">53105d07-eab5-4170-aa32-7f1e2dc23f4b</TermId>
        </TermInfo>
      </Terms>
    </aeae452453d34619914b6343ad20e9ad>
    <_Status xmlns="http://schemas.microsoft.com/sharepoint/v3/fields">FVE For Verification</_Status>
    <Comments xmlns="acaf69e7-0480-42e5-bce8-12090a37f7fa" xsi:nil="true"/>
    <p3dd2d1d633f481d9486eaa2f158c5ed xmlns="89551346-f512-474d-a1c6-cafc780f9f2f">
      <Terms xmlns="http://schemas.microsoft.com/office/infopath/2007/PartnerControls">
        <TermInfo xmlns="http://schemas.microsoft.com/office/infopath/2007/PartnerControls">
          <TermName xmlns="http://schemas.microsoft.com/office/infopath/2007/PartnerControls">NN Environmental, Planning and Approvals</TermName>
          <TermId xmlns="http://schemas.microsoft.com/office/infopath/2007/PartnerControls">5ff59865-5b4b-4759-bd3a-4c0de2f560eb</TermId>
        </TermInfo>
      </Terms>
    </p3dd2d1d633f481d9486eaa2f158c5ed>
    <S_TR_x0020_Library xmlns="acaf69e7-0480-42e5-bce8-12090a37f7fa">No</S_TR_x0020_Library>
    <_Revision xmlns="http://schemas.microsoft.com/sharepoint/v3/fields">P3</_Revision>
    <Package_x0020_Manager xmlns="acaf69e7-0480-42e5-bce8-12090a37f7fa">
      <UserInfo>
        <DisplayName>Ruth Macdonald</DisplayName>
        <AccountId>795</AccountId>
        <AccountType/>
      </UserInfo>
    </Package_x0020_Manager>
    <Express xmlns="acaf69e7-0480-42e5-bce8-12090a37f7fa">No</Express>
    <g5f7e9b0c44b4baca099c9fa748207e9 xmlns="89551346-f512-474d-a1c6-cafc780f9f2f">
      <Terms xmlns="http://schemas.microsoft.com/office/infopath/2007/PartnerControls">
        <TermInfo xmlns="http://schemas.microsoft.com/office/infopath/2007/PartnerControls">
          <TermName xmlns="http://schemas.microsoft.com/office/infopath/2007/PartnerControls">RP Technical Report</TermName>
          <TermId xmlns="http://schemas.microsoft.com/office/infopath/2007/PartnerControls">3299860a-f6ac-4097-9d5b-0935820e3842</TermId>
        </TermInfo>
      </Terms>
    </g5f7e9b0c44b4baca099c9fa748207e9>
    <FormData xmlns="http://schemas.microsoft.com/sharepoint/v3">&lt;?xml version="1.0" encoding="utf-8"?&gt;&lt;FormVariables&gt;&lt;Version /&gt;&lt;Reference_x0020_Design_x0020_Package_x0020_tickbox type="System.Boolean"&gt;False&lt;/Reference_x0020_Design_x0020_Package_x0020_tickbox&gt;&lt;/FormVariables&gt;</FormData>
    <bbda3032a008436a8d94c32be0651857 xmlns="89551346-f512-474d-a1c6-cafc780f9f2f">
      <Terms xmlns="http://schemas.microsoft.com/office/infopath/2007/PartnerControls">
        <TermInfo xmlns="http://schemas.microsoft.com/office/infopath/2007/PartnerControls">
          <TermName xmlns="http://schemas.microsoft.com/office/infopath/2007/PartnerControls">PW Project Wide</TermName>
          <TermId xmlns="http://schemas.microsoft.com/office/infopath/2007/PartnerControls">3a640e60-38d1-42c0-aec1-941590d71656</TermId>
        </TermInfo>
      </Terms>
    </bbda3032a008436a8d94c32be0651857>
    <BSTPhase xmlns="89551346-f512-474d-a1c6-cafc780f9f2f">1</BSTPhase>
    <Collaborate_x0020_With xmlns="acaf69e7-0480-42e5-bce8-12090a37f7fa">
      <UserInfo>
        <DisplayName/>
        <AccountId xsi:nil="true"/>
        <AccountType/>
      </UserInfo>
    </Collaborate_x0020_With>
    <MMRA_x0020_Document_x0020_Number xmlns="89551346-f512-474d-a1c6-cafc780f9f2f"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root>
  <date>2022-02-10T00:00:00</date>
  <projectname>Melbourne Metro Rail Project</projectname>
  <projectno/>
  <revision>P3</revision>
  <projectdetails>Main Works (Rail Infrastructure &amp; Rail Systems) Environmental Audit Summary Report 2019 </projectdetails>
  <client>Rail Projects Victoria</client>
  <disclaimer>AJM JV</disclaimer>
  <reference/>
  <company>
    <companyname>Company Name</companyname>
    <companyabn>Company ABN</companyabn>
    <companyaddress1>Company Address1</companyaddress1>
    <companyaddress2>Company Address2</companyaddress2>
    <companyaddress3>Company Address3</companyaddress3>
    <companytelephone>Company Telephone</companytelephone>
    <companyfax>Company Fax</companyfax>
    <companyemail>Company Email</companyemail>
    <companyweb>Company Web</companyweb>
  </company>
</root>
</file>

<file path=customXml/item6.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0BD0FE90-FABD-401F-8B38-D6F1E38060C5}">
  <ds:schemaRefs>
    <ds:schemaRef ds:uri="http://schemas.microsoft.com/sharepoint/v3/contenttype/forms"/>
  </ds:schemaRefs>
</ds:datastoreItem>
</file>

<file path=customXml/itemProps2.xml><?xml version="1.0" encoding="utf-8"?>
<ds:datastoreItem xmlns:ds="http://schemas.openxmlformats.org/officeDocument/2006/customXml" ds:itemID="{88A0B79A-96D3-45DF-8E04-6A89A4CAB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551346-f512-474d-a1c6-cafc780f9f2f"/>
    <ds:schemaRef ds:uri="http://schemas.microsoft.com/sharepoint/v3/fields"/>
    <ds:schemaRef ds:uri="acaf69e7-0480-42e5-bce8-12090a37f7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C663E0-CD07-44F6-BAFE-9AB7CCC4108B}">
  <ds:schemaRefs>
    <ds:schemaRef ds:uri="http://schemas.microsoft.com/office/2006/metadata/properties"/>
    <ds:schemaRef ds:uri="http://schemas.microsoft.com/office/infopath/2007/PartnerControls"/>
    <ds:schemaRef ds:uri="89551346-f512-474d-a1c6-cafc780f9f2f"/>
    <ds:schemaRef ds:uri="acaf69e7-0480-42e5-bce8-12090a37f7fa"/>
    <ds:schemaRef ds:uri="http://schemas.microsoft.com/sharepoint/v3/fields"/>
    <ds:schemaRef ds:uri="http://schemas.microsoft.com/sharepoint/v3"/>
  </ds:schemaRefs>
</ds:datastoreItem>
</file>

<file path=customXml/itemProps4.xml><?xml version="1.0" encoding="utf-8"?>
<ds:datastoreItem xmlns:ds="http://schemas.openxmlformats.org/officeDocument/2006/customXml" ds:itemID="{5C413517-736F-459B-95C4-30EA1A56EDDE}">
  <ds:schemaRefs>
    <ds:schemaRef ds:uri="http://schemas.microsoft.com/sharepoint/events"/>
  </ds:schemaRefs>
</ds:datastoreItem>
</file>

<file path=customXml/itemProps5.xml><?xml version="1.0" encoding="utf-8"?>
<ds:datastoreItem xmlns:ds="http://schemas.openxmlformats.org/officeDocument/2006/customXml" ds:itemID="{FFD81A59-B074-45B3-B3B7-CA5E6F5AEDEE}">
  <ds:schemaRefs/>
</ds:datastoreItem>
</file>

<file path=customXml/itemProps6.xml><?xml version="1.0" encoding="utf-8"?>
<ds:datastoreItem xmlns:ds="http://schemas.openxmlformats.org/officeDocument/2006/customXml" ds:itemID="{5E39B42F-C9BA-4404-BE85-707ED78AF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 Report 1 column.dotm</Template>
  <TotalTime>15</TotalTime>
  <Pages>36</Pages>
  <Words>9971</Words>
  <Characters>56837</Characters>
  <Application>Microsoft Office Word</Application>
  <DocSecurity>8</DocSecurity>
  <Lines>473</Lines>
  <Paragraphs>133</Paragraphs>
  <ScaleCrop>false</ScaleCrop>
  <HeadingPairs>
    <vt:vector size="2" baseType="variant">
      <vt:variant>
        <vt:lpstr>Title</vt:lpstr>
      </vt:variant>
      <vt:variant>
        <vt:i4>1</vt:i4>
      </vt:variant>
    </vt:vector>
  </HeadingPairs>
  <TitlesOfParts>
    <vt:vector size="1" baseType="lpstr">
      <vt:lpstr>Main Works (Rail Infrastructure &amp; Systems) Audit Summary Report 2019</vt:lpstr>
    </vt:vector>
  </TitlesOfParts>
  <Company>Aurecon</Company>
  <LinksUpToDate>false</LinksUpToDate>
  <CharactersWithSpaces>66675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Works (Rail Infrastructure &amp; Rail Systems) Audit Summary Report 2019</dc:title>
  <dc:creator>Courtney Pearson</dc:creator>
  <cp:lastModifiedBy>Sajana Athukorala</cp:lastModifiedBy>
  <cp:revision>5</cp:revision>
  <cp:lastPrinted>2022-02-23T22:46:00Z</cp:lastPrinted>
  <dcterms:created xsi:type="dcterms:W3CDTF">2022-03-23T03:45:00Z</dcterms:created>
  <dcterms:modified xsi:type="dcterms:W3CDTF">2022-03-23T04:03:00Z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0x0101004353E7EAB7134E4A96F22317781A513B00C68DC3640C64A240AC0395BE9ADD4E31</vt:lpwstr>
  </property>
  <property fmtid="{D5CDD505-2E9C-101B-9397-08002B2CF9AE}" pid="3" name="_dlc_DocIdItemGuid">
    <vt:lpwstr>472fc56e-a52b-4be0-bf11-6be0eb1d529b</vt:lpwstr>
  </property>
  <property fmtid="{D5CDD505-2E9C-101B-9397-08002B2CF9AE}" pid="4" name="Discipline">
    <vt:lpwstr>174;#NN Environmental, Planning and Approvals|5ff59865-5b4b-4759-bd3a-4c0de2f560eb</vt:lpwstr>
  </property>
  <property fmtid="{D5CDD505-2E9C-101B-9397-08002B2CF9AE}" pid="5" name="Originator">
    <vt:lpwstr>9;#AJM Aurecon Jacobs Motts JV|53105d07-eab5-4170-aa32-7f1e2dc23f4b</vt:lpwstr>
  </property>
  <property fmtid="{D5CDD505-2E9C-101B-9397-08002B2CF9AE}" pid="6" name="Document Type">
    <vt:lpwstr>100;#RP Technical Report|3299860a-f6ac-4097-9d5b-0935820e3842</vt:lpwstr>
  </property>
  <property fmtid="{D5CDD505-2E9C-101B-9397-08002B2CF9AE}" pid="7" name="Zone">
    <vt:lpwstr>29;#PW Project Wide|3a640e60-38d1-42c0-aec1-941590d71656</vt:lpwstr>
  </property>
  <property fmtid="{D5CDD505-2E9C-101B-9397-08002B2CF9AE}" pid="8" name="Area">
    <vt:lpwstr>15;#AA Overall|71401f43-3986-4d41-b6c9-eff73aeb2fe9</vt:lpwstr>
  </property>
  <property fmtid="{D5CDD505-2E9C-101B-9397-08002B2CF9AE}" pid="9" name="WorkflowChangePath">
    <vt:lpwstr>efb7b04e-e0a6-40a9-8e48-fd480a887f7b,4;6b3bac2a-46a3-4a7d-9406-9a0e5a05073f,5;a76096b2-d24d-4591-81cd-4a9008402acf,252;a76096b2-d24d-4591-81cd-4a9008402acf,252;a76096b2-d24d-4591-81cd-4a9008402acf,252;a76096b2-d24d-4591-81cd-4a9008402acf,290;a76096b2-d24d</vt:lpwstr>
  </property>
  <property fmtid="{D5CDD505-2E9C-101B-9397-08002B2CF9AE}" pid="10" name="DocumentIntegrity">
    <vt:lpwstr>native</vt:lpwstr>
  </property>
  <property fmtid="{D5CDD505-2E9C-101B-9397-08002B2CF9AE}" pid="11" name="SavedOnce">
    <vt:lpwstr>true</vt:lpwstr>
  </property>
</Properties>
</file>