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233121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23312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4DB59815" w:rsidR="008B7707" w:rsidRPr="00233121" w:rsidRDefault="00004726" w:rsidP="009566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Tuesday, 12 December 2017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23312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012B083F" w:rsidR="008B7707" w:rsidRPr="00233121" w:rsidRDefault="00004726" w:rsidP="0061597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B7707" w:rsidRPr="00233121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23312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59E4ECC9" w:rsidR="008B7707" w:rsidRPr="00233121" w:rsidRDefault="00004726" w:rsidP="00E974BF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James Tonkin (Acting)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23312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61AF1711" w:rsidR="008B7707" w:rsidRPr="00233121" w:rsidRDefault="007F0147" w:rsidP="0061597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B7707" w:rsidRPr="002331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8B7707"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am – </w:t>
            </w: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B7707" w:rsidRPr="002331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B7707" w:rsidRPr="002331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B7707" w:rsidRPr="0023312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8B7707" w:rsidRPr="00233121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23312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6A302A6A" w:rsidR="008B7707" w:rsidRPr="00233121" w:rsidRDefault="00004726" w:rsidP="007F014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Botanic Room,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Punthill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 South Yarra Grand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233121" w:rsidRDefault="008B7707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FB7984C" w:rsidR="008B7707" w:rsidRPr="00233121" w:rsidRDefault="007F0147" w:rsidP="0061597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Will McNamara</w:t>
            </w:r>
          </w:p>
        </w:tc>
      </w:tr>
    </w:tbl>
    <w:p w14:paraId="252DB311" w14:textId="77777777" w:rsidR="008B7707" w:rsidRPr="0048739D" w:rsidRDefault="008B7707" w:rsidP="008B7707">
      <w:pPr>
        <w:spacing w:before="60"/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678"/>
        <w:gridCol w:w="520"/>
        <w:gridCol w:w="4867"/>
      </w:tblGrid>
      <w:tr w:rsidR="00ED4A24" w:rsidRPr="00233121" w14:paraId="52C36E0C" w14:textId="76FAFD07" w:rsidTr="00B20784">
        <w:trPr>
          <w:trHeight w:val="397"/>
        </w:trPr>
        <w:tc>
          <w:tcPr>
            <w:tcW w:w="467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ED4A24" w:rsidRPr="00233121" w:rsidRDefault="00ED4A24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Members</w:t>
            </w:r>
          </w:p>
        </w:tc>
        <w:tc>
          <w:tcPr>
            <w:tcW w:w="52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CFD24C" w14:textId="77777777" w:rsidR="00ED4A24" w:rsidRPr="00233121" w:rsidRDefault="00ED4A24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ED4A24" w:rsidRPr="00233121" w:rsidRDefault="00ED4A24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A24" w:rsidRPr="00233121" w14:paraId="3CD11A30" w14:textId="7C957835" w:rsidTr="00B20784">
        <w:trPr>
          <w:trHeight w:val="4525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26D8AEF8" w14:textId="2D311446" w:rsidR="00ED4A24" w:rsidRPr="00233121" w:rsidRDefault="00ED4A24" w:rsidP="0050362F">
            <w:pPr>
              <w:spacing w:before="6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i/>
                <w:sz w:val="20"/>
                <w:szCs w:val="20"/>
              </w:rPr>
              <w:t>Present</w:t>
            </w:r>
          </w:p>
          <w:p w14:paraId="7295D93C" w14:textId="27B0E623" w:rsidR="00A255A5" w:rsidRPr="00233121" w:rsidRDefault="004E54A0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James Tonkin</w:t>
            </w:r>
            <w:r w:rsidR="00A255A5"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Acting C</w:t>
            </w:r>
            <w:r w:rsidR="00A255A5"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hair</w:t>
            </w:r>
            <w:r w:rsidR="00A255A5" w:rsidRPr="0023312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7BD0E596" w14:textId="408A76BC" w:rsidR="00004726" w:rsidRPr="00233121" w:rsidRDefault="00004726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Georgie Birch, City of Stonnington</w:t>
            </w:r>
          </w:p>
          <w:p w14:paraId="00C5D7FA" w14:textId="77777777" w:rsidR="00B879BB" w:rsidRPr="00233121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Matt Comport, City of Stonnington</w:t>
            </w:r>
          </w:p>
          <w:p w14:paraId="00C11BC1" w14:textId="77777777" w:rsidR="00B879BB" w:rsidRPr="00233121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Kathy Dalton, South Yarra</w:t>
            </w:r>
          </w:p>
          <w:p w14:paraId="1AF9EB55" w14:textId="26B88480" w:rsidR="00B879BB" w:rsidRPr="00233121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Tennessee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Leeuwenburg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South Yarra</w:t>
            </w:r>
          </w:p>
          <w:p w14:paraId="469B1975" w14:textId="57FE3222" w:rsidR="00004726" w:rsidRPr="00233121" w:rsidRDefault="00004726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Malcolm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Ninnis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South Yarra</w:t>
            </w:r>
          </w:p>
          <w:p w14:paraId="4DD635BE" w14:textId="1BFCB5DC" w:rsidR="00004726" w:rsidRPr="00233121" w:rsidRDefault="00004726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Nic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 Thomas, South Yarra</w:t>
            </w:r>
          </w:p>
          <w:p w14:paraId="05784DD3" w14:textId="47AD5F1F" w:rsidR="00004726" w:rsidRPr="00233121" w:rsidRDefault="00004726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Ruth Speedy, Toorak Road South Yarra Business Assoc.</w:t>
            </w:r>
          </w:p>
          <w:p w14:paraId="61270F5D" w14:textId="620F244D" w:rsidR="00933E96" w:rsidRPr="00233121" w:rsidRDefault="00933E96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John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Goding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CYP</w:t>
            </w:r>
          </w:p>
          <w:p w14:paraId="79F09B2D" w14:textId="4DDF8539" w:rsidR="0092792B" w:rsidRPr="00233121" w:rsidRDefault="0092792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Kate Walshe, CYP</w:t>
            </w:r>
          </w:p>
          <w:p w14:paraId="05FC102E" w14:textId="4D6B8DB1" w:rsidR="00B879BB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Steve Denton, CYP</w:t>
            </w:r>
          </w:p>
          <w:p w14:paraId="3227AAE6" w14:textId="6D1A8891" w:rsidR="00D162BB" w:rsidRDefault="00D162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 Hanke, CYP</w:t>
            </w:r>
          </w:p>
          <w:p w14:paraId="1074F57C" w14:textId="3D2EF4A1" w:rsidR="00D162BB" w:rsidRPr="009164C1" w:rsidRDefault="00D162BB" w:rsidP="009164C1">
            <w:pPr>
              <w:pStyle w:val="ListParagraph"/>
              <w:numPr>
                <w:ilvl w:val="0"/>
                <w:numId w:val="3"/>
              </w:numP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Rob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Mair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CYP</w:t>
            </w:r>
          </w:p>
          <w:p w14:paraId="53F8D2C1" w14:textId="1CC2BBEA" w:rsidR="00B879BB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Hannah Martin, MMRA</w:t>
            </w:r>
          </w:p>
          <w:p w14:paraId="75AFC803" w14:textId="7DA72A08" w:rsidR="007302DF" w:rsidRDefault="007302DF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Simon Adams, MMRA</w:t>
            </w:r>
          </w:p>
          <w:p w14:paraId="11046959" w14:textId="28D4ACFF" w:rsidR="007302DF" w:rsidRPr="00233121" w:rsidRDefault="007302DF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McKenna, MMRA</w:t>
            </w:r>
          </w:p>
          <w:p w14:paraId="0BBA2B61" w14:textId="77777777" w:rsidR="00B879BB" w:rsidRPr="00233121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Luis Narvaez, MMRA</w:t>
            </w:r>
          </w:p>
          <w:p w14:paraId="1306C68F" w14:textId="5954D0EF" w:rsidR="00B879BB" w:rsidRPr="00233121" w:rsidRDefault="00B879BB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Bec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 Rowe, John Holland</w:t>
            </w:r>
          </w:p>
          <w:p w14:paraId="25E05035" w14:textId="3A039F57" w:rsidR="00233121" w:rsidRPr="009164C1" w:rsidRDefault="00233121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 xml:space="preserve">Graham Hoy, </w:t>
            </w:r>
            <w:r w:rsidR="007302DF" w:rsidRPr="009164C1">
              <w:rPr>
                <w:rFonts w:asciiTheme="minorHAnsi" w:hAnsiTheme="minorHAnsi" w:cstheme="minorHAnsi"/>
                <w:sz w:val="20"/>
                <w:szCs w:val="20"/>
              </w:rPr>
              <w:t>South Yarra Resident Action Group</w:t>
            </w:r>
          </w:p>
          <w:p w14:paraId="3B1751C7" w14:textId="38049AE8" w:rsidR="00233121" w:rsidRPr="009164C1" w:rsidRDefault="00233121" w:rsidP="00D162BB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4C1">
              <w:rPr>
                <w:rFonts w:asciiTheme="minorHAnsi" w:hAnsiTheme="minorHAnsi" w:cstheme="minorHAnsi"/>
                <w:sz w:val="20"/>
                <w:szCs w:val="20"/>
              </w:rPr>
              <w:t xml:space="preserve">Joy </w:t>
            </w:r>
            <w:proofErr w:type="spellStart"/>
            <w:r w:rsidRPr="009164C1">
              <w:rPr>
                <w:rFonts w:asciiTheme="minorHAnsi" w:hAnsiTheme="minorHAnsi" w:cstheme="minorHAnsi"/>
                <w:sz w:val="20"/>
                <w:szCs w:val="20"/>
              </w:rPr>
              <w:t>Randles</w:t>
            </w:r>
            <w:proofErr w:type="spellEnd"/>
            <w:r w:rsidR="007302DF" w:rsidRPr="009164C1">
              <w:rPr>
                <w:rFonts w:asciiTheme="minorHAnsi" w:hAnsiTheme="minorHAnsi" w:cstheme="minorHAnsi"/>
                <w:sz w:val="20"/>
                <w:szCs w:val="20"/>
              </w:rPr>
              <w:t>, South Yarra Resident Action Group</w:t>
            </w:r>
          </w:p>
          <w:p w14:paraId="5F8B841B" w14:textId="1DA6DE8F" w:rsidR="00531560" w:rsidRPr="00233121" w:rsidRDefault="00531560" w:rsidP="000E2E71">
            <w:pPr>
              <w:pBdr>
                <w:right w:val="single" w:sz="4" w:space="4" w:color="auto"/>
              </w:pBdr>
              <w:spacing w:before="60" w:after="40"/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</w:tcPr>
          <w:p w14:paraId="422D99DD" w14:textId="57A29915" w:rsidR="00ED4A24" w:rsidRPr="00233121" w:rsidRDefault="00ED4A24" w:rsidP="0050362F">
            <w:pPr>
              <w:spacing w:before="6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83A802" w14:textId="3C699B6F" w:rsidR="00B879BB" w:rsidRPr="00233121" w:rsidRDefault="00B879BB" w:rsidP="00B879BB">
            <w:pPr>
              <w:pBdr>
                <w:right w:val="single" w:sz="4" w:space="4" w:color="auto"/>
              </w:pBdr>
              <w:spacing w:before="6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</w:tcBorders>
          </w:tcPr>
          <w:p w14:paraId="145F60CC" w14:textId="77777777" w:rsidR="00ED4A24" w:rsidRPr="00233121" w:rsidRDefault="00795AB0" w:rsidP="0050362F">
            <w:pPr>
              <w:spacing w:before="6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i/>
                <w:sz w:val="20"/>
                <w:szCs w:val="20"/>
              </w:rPr>
              <w:t>Apologie</w:t>
            </w:r>
            <w:bookmarkStart w:id="0" w:name="_GoBack"/>
            <w:bookmarkEnd w:id="0"/>
            <w:r w:rsidRPr="00233121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</w:p>
          <w:p w14:paraId="667D2137" w14:textId="77777777" w:rsidR="008A64E5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Anthony van der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Craats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South Yarra Community Network</w:t>
            </w:r>
          </w:p>
          <w:p w14:paraId="326F5B9E" w14:textId="29DD84F4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Michael Butcher, Melbourne South Yarra Residents </w:t>
            </w:r>
            <w:r w:rsidR="007302DF">
              <w:rPr>
                <w:rFonts w:asciiTheme="minorHAnsi" w:hAnsiTheme="minorHAnsi" w:cstheme="minorHAnsi"/>
                <w:sz w:val="20"/>
                <w:szCs w:val="20"/>
              </w:rPr>
              <w:t>Association</w:t>
            </w:r>
          </w:p>
          <w:p w14:paraId="5E37220E" w14:textId="77777777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Jonathan Forbes, South Yarra</w:t>
            </w:r>
          </w:p>
          <w:p w14:paraId="5CA3E2BC" w14:textId="77777777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Tom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Howgate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South Yarra</w:t>
            </w:r>
          </w:p>
          <w:p w14:paraId="209094E8" w14:textId="77777777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James Robinson, South Yarra</w:t>
            </w:r>
          </w:p>
          <w:p w14:paraId="50C7640C" w14:textId="77777777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Amanda Walsh, South Yarra</w:t>
            </w:r>
          </w:p>
          <w:p w14:paraId="4BB1CB8B" w14:textId="77777777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Paul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Bellette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Café Republic</w:t>
            </w:r>
          </w:p>
          <w:p w14:paraId="0A0F61CA" w14:textId="77777777" w:rsidR="00004726" w:rsidRPr="00233121" w:rsidRDefault="00004726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John </w:t>
            </w: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Lotton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, Chapel Street Precinct Assoc.</w:t>
            </w:r>
          </w:p>
          <w:p w14:paraId="2E36EB3C" w14:textId="77777777" w:rsidR="0092792B" w:rsidRPr="00233121" w:rsidRDefault="0092792B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Mark Wells, CYP</w:t>
            </w:r>
          </w:p>
          <w:p w14:paraId="0D317D19" w14:textId="61FC9501" w:rsidR="0092792B" w:rsidRPr="00233121" w:rsidRDefault="0092792B" w:rsidP="000E2E71">
            <w:pPr>
              <w:pStyle w:val="ListParagraph"/>
              <w:numPr>
                <w:ilvl w:val="0"/>
                <w:numId w:val="2"/>
              </w:numPr>
              <w:spacing w:before="60" w:after="40"/>
              <w:ind w:left="4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Sarah </w:t>
            </w:r>
            <w:proofErr w:type="spellStart"/>
            <w:r w:rsidR="00B879BB" w:rsidRPr="00233121">
              <w:rPr>
                <w:rFonts w:asciiTheme="minorHAnsi" w:hAnsiTheme="minorHAnsi" w:cstheme="minorHAnsi"/>
                <w:sz w:val="20"/>
                <w:szCs w:val="20"/>
              </w:rPr>
              <w:t>McNish</w:t>
            </w:r>
            <w:proofErr w:type="spellEnd"/>
            <w:r w:rsidR="00B879BB" w:rsidRPr="00233121">
              <w:rPr>
                <w:rFonts w:asciiTheme="minorHAnsi" w:hAnsiTheme="minorHAnsi" w:cstheme="minorHAnsi"/>
                <w:sz w:val="20"/>
                <w:szCs w:val="20"/>
              </w:rPr>
              <w:t>, John Holland</w:t>
            </w:r>
          </w:p>
        </w:tc>
      </w:tr>
      <w:tr w:rsidR="00ED4A24" w:rsidRPr="00233121" w14:paraId="3059E82B" w14:textId="3E98D484" w:rsidTr="00B20784">
        <w:trPr>
          <w:trHeight w:hRule="exact" w:val="397"/>
        </w:trPr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233121" w:rsidRDefault="00ED4A24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In attendance</w:t>
            </w:r>
          </w:p>
        </w:tc>
        <w:tc>
          <w:tcPr>
            <w:tcW w:w="5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233121" w:rsidRDefault="00ED4A24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233121" w:rsidRDefault="00ED4A24" w:rsidP="0061597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A24" w:rsidRPr="00233121" w14:paraId="4C5263CD" w14:textId="72C7A16D" w:rsidTr="00233121">
        <w:trPr>
          <w:trHeight w:hRule="exact" w:val="693"/>
        </w:trPr>
        <w:tc>
          <w:tcPr>
            <w:tcW w:w="467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1E8654F4" w14:textId="4802BD27" w:rsidR="0048309D" w:rsidRPr="00233121" w:rsidRDefault="00933E96" w:rsidP="000E2E7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Ay</w:t>
            </w:r>
            <w:r w:rsidR="00233121" w:rsidRPr="00233121">
              <w:rPr>
                <w:rFonts w:asciiTheme="minorHAnsi" w:hAnsiTheme="minorHAnsi" w:cstheme="minorHAnsi"/>
                <w:sz w:val="20"/>
                <w:szCs w:val="20"/>
              </w:rPr>
              <w:t>llie</w:t>
            </w:r>
            <w:proofErr w:type="spellEnd"/>
            <w:r w:rsidRPr="00233121">
              <w:rPr>
                <w:rFonts w:asciiTheme="minorHAnsi" w:hAnsiTheme="minorHAnsi" w:cstheme="minorHAnsi"/>
                <w:sz w:val="20"/>
                <w:szCs w:val="20"/>
              </w:rPr>
              <w:t xml:space="preserve"> White, CYP</w:t>
            </w:r>
          </w:p>
          <w:p w14:paraId="4B3A9922" w14:textId="3B71DD1B" w:rsidR="00B20784" w:rsidRPr="00233121" w:rsidRDefault="00B20784" w:rsidP="0023312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Simon Adams, MMRA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58D3B1A1" w14:textId="4F8269D3" w:rsidR="00531560" w:rsidRPr="00233121" w:rsidRDefault="00531560" w:rsidP="00B20784">
            <w:pPr>
              <w:spacing w:before="60" w:after="40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5C9AADE2" w14:textId="350DA865" w:rsidR="00233121" w:rsidRPr="00233121" w:rsidRDefault="00233121" w:rsidP="001F78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Dave Kristy, MMRA</w:t>
            </w:r>
          </w:p>
          <w:p w14:paraId="6F88CA55" w14:textId="12979779" w:rsidR="00ED4A24" w:rsidRPr="00233121" w:rsidRDefault="008A64E5" w:rsidP="001F785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Will McNamara [</w:t>
            </w: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Secretariat</w:t>
            </w:r>
            <w:r w:rsidRPr="0023312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0FCB820C" w14:textId="501EAA94" w:rsidR="008B7707" w:rsidRPr="0048739D" w:rsidRDefault="008B7707" w:rsidP="008B7707">
      <w:pPr>
        <w:pStyle w:val="DTPLIheadingpurple"/>
        <w:spacing w:before="0"/>
        <w:rPr>
          <w:sz w:val="8"/>
          <w:szCs w:val="8"/>
        </w:rPr>
      </w:pPr>
    </w:p>
    <w:tbl>
      <w:tblPr>
        <w:tblStyle w:val="Table-Heading31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92792B" w:rsidRPr="00233121" w14:paraId="087FA409" w14:textId="77777777" w:rsidTr="00A730EE">
        <w:trPr>
          <w:trHeight w:val="340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BFE90B9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</w:p>
        </w:tc>
        <w:tc>
          <w:tcPr>
            <w:tcW w:w="8789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02DA5C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Introductions &amp; Welcome</w:t>
            </w:r>
          </w:p>
        </w:tc>
      </w:tr>
      <w:tr w:rsidR="0092792B" w:rsidRPr="00233121" w14:paraId="54BA9CCE" w14:textId="77777777" w:rsidTr="00A730EE">
        <w:trPr>
          <w:trHeight w:val="775"/>
        </w:trPr>
        <w:tc>
          <w:tcPr>
            <w:tcW w:w="1276" w:type="dxa"/>
            <w:tcBorders>
              <w:top w:val="nil"/>
              <w:bottom w:val="nil"/>
            </w:tcBorders>
          </w:tcPr>
          <w:p w14:paraId="23C4B1FB" w14:textId="77777777" w:rsidR="0092792B" w:rsidRPr="00233121" w:rsidRDefault="0092792B" w:rsidP="00A730EE">
            <w:pPr>
              <w:pStyle w:val="DTPLIintrotext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A7D7C0E" w14:textId="759D27B3" w:rsidR="0096291A" w:rsidRPr="00233121" w:rsidRDefault="001A4B5B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Welcome from James Tonkin (MMRA) and introductions from attendees.</w:t>
            </w:r>
          </w:p>
          <w:p w14:paraId="4BECC126" w14:textId="6B47150F" w:rsidR="0092792B" w:rsidRPr="00233121" w:rsidRDefault="001A4B5B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Matters arising: Nil</w:t>
            </w:r>
          </w:p>
        </w:tc>
      </w:tr>
      <w:tr w:rsidR="0092792B" w:rsidRPr="00233121" w14:paraId="0478EECA" w14:textId="77777777" w:rsidTr="001A4B5B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1E680D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2.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A6CB4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Presentation from MMRA</w:t>
            </w:r>
          </w:p>
        </w:tc>
      </w:tr>
      <w:tr w:rsidR="0092792B" w:rsidRPr="00233121" w14:paraId="3DFDF7F4" w14:textId="77777777" w:rsidTr="001A4B5B">
        <w:trPr>
          <w:trHeight w:val="2131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E6D741B" w14:textId="77777777" w:rsidR="0092792B" w:rsidRPr="00233121" w:rsidRDefault="0092792B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51321559" w14:textId="6EC2B0D2" w:rsidR="001A4B5B" w:rsidRPr="00233121" w:rsidRDefault="001A4B5B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Presentation by James Tonkin (MMRA) on the Metro Tunnel Project.</w:t>
            </w:r>
          </w:p>
          <w:p w14:paraId="4E42CA79" w14:textId="77777777" w:rsidR="00233121" w:rsidRPr="00233121" w:rsidRDefault="001A4B5B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arising:</w:t>
            </w:r>
          </w:p>
          <w:p w14:paraId="2728828E" w14:textId="07EA9AD6" w:rsidR="001A4B5B" w:rsidRPr="00233121" w:rsidRDefault="001A4B5B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The CRG discussed the Eddington Report and the proposed tunnel to Caulfield Station.</w:t>
            </w:r>
          </w:p>
          <w:p w14:paraId="380BF68B" w14:textId="429E83F9" w:rsidR="001A4B5B" w:rsidRPr="00233121" w:rsidRDefault="001A4B5B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The CRG discussed network operations at Caulfield and Richmond Stations.</w:t>
            </w:r>
          </w:p>
        </w:tc>
      </w:tr>
      <w:tr w:rsidR="0092792B" w:rsidRPr="00233121" w14:paraId="37937221" w14:textId="77777777" w:rsidTr="001A4B5B">
        <w:trPr>
          <w:trHeight w:val="340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531E3417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 xml:space="preserve">3. </w:t>
            </w:r>
          </w:p>
        </w:tc>
        <w:tc>
          <w:tcPr>
            <w:tcW w:w="8789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C13823" w14:textId="3246B1C6" w:rsidR="0092792B" w:rsidRPr="00233121" w:rsidRDefault="0092792B" w:rsidP="00A730E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3121">
              <w:rPr>
                <w:rFonts w:asciiTheme="minorHAnsi" w:hAnsiTheme="minorHAnsi" w:cstheme="minorHAnsi"/>
                <w:b/>
                <w:sz w:val="20"/>
                <w:szCs w:val="20"/>
              </w:rPr>
              <w:t>Presentation from Cross Yarra Partnership (Tunnel and Stations Package)</w:t>
            </w:r>
          </w:p>
        </w:tc>
      </w:tr>
      <w:tr w:rsidR="0092792B" w:rsidRPr="00233121" w14:paraId="1B7B7543" w14:textId="77777777" w:rsidTr="00233121">
        <w:trPr>
          <w:trHeight w:val="3058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E8E268B" w14:textId="77777777" w:rsidR="0092792B" w:rsidRPr="00233121" w:rsidRDefault="0092792B" w:rsidP="00A730EE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697213" w14:textId="77777777" w:rsidR="0092792B" w:rsidRPr="00233121" w:rsidRDefault="0092792B" w:rsidP="00A730EE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9F2A2" w14:textId="77777777" w:rsidR="0092792B" w:rsidRPr="00233121" w:rsidRDefault="0092792B" w:rsidP="00A730EE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DFF61" w14:textId="77777777" w:rsidR="0092792B" w:rsidRPr="00233121" w:rsidRDefault="0092792B" w:rsidP="00A730EE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6AED81" w14:textId="77777777" w:rsidR="0092792B" w:rsidRPr="00233121" w:rsidRDefault="0092792B" w:rsidP="00A730EE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63BB06" w14:textId="77777777" w:rsidR="0092792B" w:rsidRPr="00233121" w:rsidRDefault="0092792B" w:rsidP="0023312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98A37" w14:textId="4A3EA775" w:rsidR="001A4B5B" w:rsidRPr="00233121" w:rsidRDefault="001A4B5B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Presentation by Stefan Hanke (CYP) on Cross Yarra Partnership. </w:t>
            </w:r>
            <w:r w:rsid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Presentation by Steve Denton (CYP) on Eastern Portal delivery program. </w:t>
            </w:r>
            <w:r w:rsid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Presentation by 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Kate Walshe (CYP) on tree impacts.</w:t>
            </w:r>
          </w:p>
          <w:p w14:paraId="583EAECB" w14:textId="213FA808" w:rsidR="0096291A" w:rsidRPr="00233121" w:rsidRDefault="0096291A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</w:t>
            </w:r>
            <w:r w:rsidR="001A4B5B"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ing:</w:t>
            </w:r>
          </w:p>
          <w:p w14:paraId="5149F183" w14:textId="77777777" w:rsidR="001A4B5B" w:rsidRPr="00233121" w:rsidRDefault="001A4B5B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Nic</w:t>
            </w:r>
            <w:proofErr w:type="spellEnd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Thomas raised Eastern Portal Development Plans. Development Plans will be on public display for 15 business days and consultation will be ongoing. </w:t>
            </w:r>
          </w:p>
          <w:p w14:paraId="78B6FBB0" w14:textId="568E2E06" w:rsidR="0096291A" w:rsidRPr="00233121" w:rsidRDefault="001A4B5B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Joy </w:t>
            </w:r>
            <w:proofErr w:type="spellStart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Randles</w:t>
            </w:r>
            <w:proofErr w:type="spellEnd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raised landscaping around the Eastern Portal</w:t>
            </w:r>
            <w:r w:rsidR="00D162B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and the need for community consultation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. The Development Plans will provide additional information and an opportunity </w:t>
            </w:r>
            <w:r w:rsidR="00D162B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for the local community 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to </w:t>
            </w:r>
            <w:r w:rsidR="0096291A"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formally respond to the design.</w:t>
            </w:r>
          </w:p>
          <w:p w14:paraId="030F98E7" w14:textId="3540FC9A" w:rsidR="0092792B" w:rsidRPr="00233121" w:rsidRDefault="001A4B5B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Tennessee </w:t>
            </w:r>
            <w:proofErr w:type="spellStart"/>
            <w:r w:rsidR="00D162BB" w:rsidRPr="00233121">
              <w:rPr>
                <w:rFonts w:asciiTheme="minorHAnsi" w:hAnsiTheme="minorHAnsi" w:cstheme="minorHAnsi"/>
                <w:sz w:val="20"/>
                <w:szCs w:val="20"/>
              </w:rPr>
              <w:t>Leeuwenburg</w:t>
            </w:r>
            <w:proofErr w:type="spellEnd"/>
            <w:r w:rsidR="00D162BB" w:rsidRPr="00233121" w:rsidDel="00D162B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raised construction site establishment</w:t>
            </w:r>
            <w:r w:rsidR="00D162B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and air quality impacts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. Works </w:t>
            </w:r>
            <w:r w:rsidR="0096291A"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undertaken will be managed in li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ne with Environmental Performance Requirements.</w:t>
            </w:r>
          </w:p>
        </w:tc>
      </w:tr>
      <w:tr w:rsidR="0092792B" w:rsidRPr="00233121" w14:paraId="2BB50336" w14:textId="77777777" w:rsidTr="00A730EE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4E48EE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4.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50B823" w14:textId="06382C5D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Presentation from MMRA Rail Infrastructure Alliance (Eastern tunnel entrance)</w:t>
            </w:r>
          </w:p>
        </w:tc>
      </w:tr>
      <w:tr w:rsidR="0092792B" w:rsidRPr="00233121" w14:paraId="2EE8E0DD" w14:textId="77777777" w:rsidTr="00233121">
        <w:trPr>
          <w:trHeight w:val="2454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5A49090E" w14:textId="77777777" w:rsidR="0092792B" w:rsidRPr="00233121" w:rsidRDefault="0092792B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67EE4BC" w14:textId="579C5986" w:rsidR="0096291A" w:rsidRPr="00233121" w:rsidRDefault="0096291A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Presentation by Daniel McKenna (MMRA) on Rail Infrastructure Alliance and the construction of the Eastern Tunnel entrance.</w:t>
            </w:r>
          </w:p>
          <w:p w14:paraId="6E2FF343" w14:textId="2E6CAB51" w:rsidR="0096291A" w:rsidRPr="00233121" w:rsidRDefault="0096291A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arising:</w:t>
            </w:r>
          </w:p>
          <w:p w14:paraId="61968317" w14:textId="19276542" w:rsidR="0096291A" w:rsidRPr="00233121" w:rsidRDefault="0096291A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Nic</w:t>
            </w:r>
            <w:proofErr w:type="spellEnd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Thomas raised truck movements. Access to the South Yarra Siding Reserve is </w:t>
            </w:r>
            <w:r w:rsidR="007302D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proposed to be</w:t>
            </w:r>
            <w:r w:rsidR="007302DF"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via Arthur Street</w:t>
            </w:r>
            <w:r w:rsidR="007302D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during RIA works</w:t>
            </w: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EED4124" w14:textId="4158BEBA" w:rsidR="0096291A" w:rsidRPr="00233121" w:rsidRDefault="0096291A" w:rsidP="002331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Joy </w:t>
            </w:r>
            <w:proofErr w:type="spellStart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Randles</w:t>
            </w:r>
            <w:proofErr w:type="spellEnd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raised William Street bridge. The bridge will be longer and higher. Driveway access on William Street will be maintained. The Siding won't be used for maintenance and Renewal.</w:t>
            </w:r>
          </w:p>
        </w:tc>
      </w:tr>
      <w:tr w:rsidR="0092792B" w:rsidRPr="00233121" w14:paraId="4CE6CC92" w14:textId="77777777" w:rsidTr="00A730EE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7074F82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5.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82042C" w14:textId="0FE543BF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Presentation from John Holland (Early Works)</w:t>
            </w:r>
          </w:p>
        </w:tc>
      </w:tr>
      <w:tr w:rsidR="0092792B" w:rsidRPr="00233121" w14:paraId="33AFFC64" w14:textId="77777777" w:rsidTr="00233121">
        <w:trPr>
          <w:trHeight w:val="891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4D42ECE8" w14:textId="77777777" w:rsidR="0092792B" w:rsidRPr="00233121" w:rsidRDefault="0092792B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778C69F" w14:textId="22574C98" w:rsidR="0096291A" w:rsidRPr="00233121" w:rsidRDefault="0096291A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Presentation from </w:t>
            </w:r>
            <w:proofErr w:type="spellStart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Bec</w:t>
            </w:r>
            <w:proofErr w:type="spellEnd"/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Rowe (John Holland) on current and upcoming works.</w:t>
            </w:r>
          </w:p>
          <w:p w14:paraId="1B876164" w14:textId="5DDDE202" w:rsidR="0096291A" w:rsidRPr="00233121" w:rsidRDefault="0096291A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arising: Nil</w:t>
            </w:r>
          </w:p>
        </w:tc>
      </w:tr>
      <w:tr w:rsidR="0092792B" w:rsidRPr="00233121" w14:paraId="4D68F5CD" w14:textId="77777777" w:rsidTr="0096291A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72519D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6.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B199E0" w14:textId="6A7F68D2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Management of Community Reference Group</w:t>
            </w:r>
          </w:p>
        </w:tc>
      </w:tr>
      <w:tr w:rsidR="0092792B" w:rsidRPr="00233121" w14:paraId="778496A4" w14:textId="77777777" w:rsidTr="00D35F39">
        <w:trPr>
          <w:trHeight w:val="2059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6156281D" w14:textId="77777777" w:rsidR="0092792B" w:rsidRDefault="0092792B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C0F23" w14:textId="77777777" w:rsidR="00D35F39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61942D" w14:textId="77777777" w:rsidR="00D35F39" w:rsidRPr="00D35F39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  <w:p w14:paraId="1953E1A5" w14:textId="2D069DCE" w:rsidR="00D35F39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1-1</w:t>
            </w:r>
          </w:p>
          <w:p w14:paraId="71E0BB61" w14:textId="77777777" w:rsidR="00D35F39" w:rsidRPr="00D35F39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4F1EE7C" w14:textId="55816662" w:rsidR="00D35F39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1-2</w:t>
            </w:r>
          </w:p>
          <w:p w14:paraId="6041980A" w14:textId="77777777" w:rsidR="00D35F39" w:rsidRPr="00D35F39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EAA8D21" w14:textId="6F3A5CCA" w:rsidR="00D35F39" w:rsidRPr="00233121" w:rsidRDefault="00D35F39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1-3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280C3B30" w14:textId="0B962413" w:rsidR="0096291A" w:rsidRPr="00233121" w:rsidRDefault="0096291A" w:rsidP="0023312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arising: Nil</w:t>
            </w:r>
          </w:p>
          <w:p w14:paraId="60FBB048" w14:textId="77777777" w:rsidR="00D35F39" w:rsidRDefault="00D35F39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78476A9D" w14:textId="451F6893" w:rsidR="0096291A" w:rsidRPr="00D35F39" w:rsidRDefault="0096291A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Members to email issues that they would like addressed in the next few meetings.</w:t>
            </w:r>
          </w:p>
          <w:p w14:paraId="66D2027E" w14:textId="77777777" w:rsidR="0096291A" w:rsidRPr="00D35F39" w:rsidRDefault="0096291A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Circulate the terms of reference.</w:t>
            </w:r>
          </w:p>
          <w:p w14:paraId="7FF51070" w14:textId="2F7D77AD" w:rsidR="0096291A" w:rsidRPr="00D35F39" w:rsidRDefault="0096291A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Circulate the 2018 CRG calendar.</w:t>
            </w:r>
          </w:p>
        </w:tc>
      </w:tr>
      <w:tr w:rsidR="0092792B" w:rsidRPr="00233121" w14:paraId="027A3BBC" w14:textId="77777777" w:rsidTr="0096291A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493F875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AF631E" w14:textId="1FBFA0E8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 xml:space="preserve">Next Meeting </w:t>
            </w:r>
          </w:p>
        </w:tc>
      </w:tr>
      <w:tr w:rsidR="0092792B" w:rsidRPr="00233121" w14:paraId="65D294E3" w14:textId="77777777" w:rsidTr="00D35F39">
        <w:trPr>
          <w:trHeight w:val="1300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65259DD" w14:textId="77777777" w:rsidR="0092792B" w:rsidRPr="00233121" w:rsidRDefault="0092792B" w:rsidP="00A730E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9F26B6" w14:textId="6B12B212" w:rsidR="0092792B" w:rsidRPr="00233121" w:rsidRDefault="0092792B" w:rsidP="00D35F39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B1F28C" w14:textId="5D1ED5B1" w:rsidR="0092792B" w:rsidRPr="00233121" w:rsidRDefault="0092792B" w:rsidP="00A730E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C880D05" w14:textId="4DBF77A7" w:rsidR="0096291A" w:rsidRPr="00D35F39" w:rsidRDefault="0096291A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arising:</w:t>
            </w:r>
          </w:p>
          <w:p w14:paraId="43345AAE" w14:textId="77777777" w:rsidR="0096291A" w:rsidRPr="00233121" w:rsidRDefault="0096291A" w:rsidP="00D35F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Next CRG meeting is planned for Tuesday, 6 February 2018.</w:t>
            </w:r>
          </w:p>
          <w:p w14:paraId="0EF4F11D" w14:textId="04EA3EF6" w:rsidR="0092792B" w:rsidRPr="00D35F39" w:rsidRDefault="0096291A" w:rsidP="00D35F3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467"/>
              <w:contextualSpacing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Meetings frequency will be approximately every 6-8 weeks.</w:t>
            </w:r>
          </w:p>
        </w:tc>
      </w:tr>
      <w:tr w:rsidR="0092792B" w:rsidRPr="00233121" w14:paraId="66E85581" w14:textId="77777777" w:rsidTr="0092792B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AA6C0E0" w14:textId="77777777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8.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42273E" w14:textId="2A95C12F" w:rsidR="0092792B" w:rsidRPr="00233121" w:rsidRDefault="0092792B" w:rsidP="00A730EE">
            <w:pPr>
              <w:pStyle w:val="DTPLIintrotext"/>
              <w:spacing w:before="60" w:after="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33121">
              <w:rPr>
                <w:rFonts w:asciiTheme="minorHAnsi" w:hAnsiTheme="minorHAnsi" w:cstheme="minorHAnsi"/>
                <w:color w:val="auto"/>
                <w:sz w:val="20"/>
              </w:rPr>
              <w:t>Meeting Close</w:t>
            </w:r>
          </w:p>
        </w:tc>
      </w:tr>
      <w:tr w:rsidR="0092792B" w:rsidRPr="00233121" w14:paraId="2AD0211F" w14:textId="77777777" w:rsidTr="0092792B">
        <w:trPr>
          <w:trHeight w:val="1071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7A2529D9" w14:textId="77777777" w:rsidR="0092792B" w:rsidRPr="00233121" w:rsidRDefault="0092792B" w:rsidP="00A730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6BA1EE2F" w14:textId="092C5161" w:rsidR="0096291A" w:rsidRPr="00233121" w:rsidRDefault="0096291A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Closing remarks from James Tonkin (MMRA).</w:t>
            </w:r>
          </w:p>
          <w:p w14:paraId="7EC370ED" w14:textId="6BE21520" w:rsidR="0092792B" w:rsidRPr="00D35F39" w:rsidRDefault="0096291A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3312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Matters arising: Nil</w:t>
            </w:r>
          </w:p>
        </w:tc>
      </w:tr>
    </w:tbl>
    <w:p w14:paraId="5F7F0CC4" w14:textId="77777777" w:rsidR="008B7707" w:rsidRDefault="008B7707" w:rsidP="008B7707"/>
    <w:p w14:paraId="6EA459B3" w14:textId="69B3FE3A" w:rsidR="00526652" w:rsidRPr="00526652" w:rsidRDefault="00526652" w:rsidP="00526652">
      <w:pPr>
        <w:spacing w:before="240" w:after="120"/>
        <w:ind w:left="-142"/>
        <w:rPr>
          <w:b/>
        </w:rPr>
      </w:pPr>
      <w:r w:rsidRPr="00526652">
        <w:rPr>
          <w:b/>
        </w:rPr>
        <w:t>ACTION</w:t>
      </w:r>
      <w:r>
        <w:rPr>
          <w:b/>
        </w:rPr>
        <w:t xml:space="preserve"> ITEMS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2126"/>
      </w:tblGrid>
      <w:tr w:rsidR="00526652" w:rsidRPr="00462904" w14:paraId="28D30A4D" w14:textId="11E7ED23" w:rsidTr="0003242E">
        <w:trPr>
          <w:trHeight w:val="340"/>
        </w:trPr>
        <w:tc>
          <w:tcPr>
            <w:tcW w:w="709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E09FD" w14:textId="3862AEF1" w:rsidR="00526652" w:rsidRPr="00462904" w:rsidRDefault="00526652" w:rsidP="00514E7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#</w:t>
            </w:r>
          </w:p>
        </w:tc>
        <w:tc>
          <w:tcPr>
            <w:tcW w:w="7230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622FDD" w14:textId="074BDC38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ACTION</w:t>
            </w:r>
          </w:p>
        </w:tc>
        <w:tc>
          <w:tcPr>
            <w:tcW w:w="2126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8102BA" w14:textId="044BFA75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 w:rsidRPr="00526652">
              <w:rPr>
                <w:rFonts w:ascii="Verdana" w:hAnsi="Verdana"/>
                <w:color w:val="auto"/>
                <w:sz w:val="18"/>
                <w:szCs w:val="18"/>
              </w:rPr>
              <w:t>OWNER</w:t>
            </w:r>
          </w:p>
        </w:tc>
      </w:tr>
      <w:tr w:rsidR="00526652" w14:paraId="5F13B7DA" w14:textId="77777777" w:rsidTr="00967013">
        <w:trPr>
          <w:trHeight w:val="340"/>
        </w:trPr>
        <w:tc>
          <w:tcPr>
            <w:tcW w:w="709" w:type="dxa"/>
            <w:vAlign w:val="center"/>
          </w:tcPr>
          <w:p w14:paraId="3F488506" w14:textId="1F2E6572" w:rsidR="00526652" w:rsidRDefault="00D35F39" w:rsidP="00967013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1–1</w:t>
            </w:r>
          </w:p>
        </w:tc>
        <w:tc>
          <w:tcPr>
            <w:tcW w:w="7230" w:type="dxa"/>
            <w:vAlign w:val="center"/>
          </w:tcPr>
          <w:p w14:paraId="5C241CA2" w14:textId="4D57F6BC" w:rsidR="00526652" w:rsidRPr="00D35F39" w:rsidRDefault="00D35F39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Members to email issues that they would like addressed in the next few meetings.</w:t>
            </w:r>
          </w:p>
        </w:tc>
        <w:tc>
          <w:tcPr>
            <w:tcW w:w="2126" w:type="dxa"/>
            <w:vAlign w:val="center"/>
          </w:tcPr>
          <w:p w14:paraId="706B4A71" w14:textId="443FF6B1" w:rsidR="00526652" w:rsidRPr="00F91666" w:rsidRDefault="00D35F39" w:rsidP="00967013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Members</w:t>
            </w:r>
          </w:p>
        </w:tc>
      </w:tr>
      <w:tr w:rsidR="00526652" w:rsidRPr="00526652" w14:paraId="093102C4" w14:textId="35525716" w:rsidTr="00D35F39">
        <w:trPr>
          <w:trHeight w:val="424"/>
        </w:trPr>
        <w:tc>
          <w:tcPr>
            <w:tcW w:w="7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33EFDB8" w14:textId="51F689C6" w:rsidR="00526652" w:rsidRPr="00466C88" w:rsidRDefault="00D35F39" w:rsidP="00967013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1–2</w:t>
            </w:r>
          </w:p>
        </w:tc>
        <w:tc>
          <w:tcPr>
            <w:tcW w:w="723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A160100" w14:textId="05FD733D" w:rsidR="00526652" w:rsidRPr="00D35F39" w:rsidRDefault="00D35F39" w:rsidP="00D35F3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Circulate the terms of reference.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E3C5B4" w14:textId="358F98D4" w:rsidR="00526652" w:rsidRPr="00F91666" w:rsidRDefault="00D35F39" w:rsidP="00967013">
            <w:pPr>
              <w:pStyle w:val="DTPLIintrotext"/>
              <w:spacing w:before="60" w:after="6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MMRA</w:t>
            </w:r>
          </w:p>
        </w:tc>
      </w:tr>
      <w:tr w:rsidR="005F151B" w:rsidRPr="00B71683" w14:paraId="7561B1A9" w14:textId="68E7F215" w:rsidTr="00D35F39">
        <w:trPr>
          <w:trHeight w:val="340"/>
        </w:trPr>
        <w:tc>
          <w:tcPr>
            <w:tcW w:w="70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534C1ED" w14:textId="7A105614" w:rsidR="005F151B" w:rsidRPr="00466C88" w:rsidRDefault="00D35F39" w:rsidP="00967013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1–3</w:t>
            </w:r>
          </w:p>
        </w:tc>
        <w:tc>
          <w:tcPr>
            <w:tcW w:w="723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4463B66" w14:textId="2E4AFA6E" w:rsidR="005F151B" w:rsidRPr="0003242E" w:rsidRDefault="00D35F39" w:rsidP="00967013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Cs w:val="22"/>
              </w:rPr>
            </w:pPr>
            <w:r w:rsidRPr="00D35F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Circulate the 2018 CRG calendar.</w:t>
            </w:r>
          </w:p>
        </w:tc>
        <w:tc>
          <w:tcPr>
            <w:tcW w:w="21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53EF29C" w14:textId="304239C0" w:rsidR="005F151B" w:rsidRPr="00F91666" w:rsidRDefault="00D35F39" w:rsidP="00967013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MMRA</w:t>
            </w:r>
          </w:p>
        </w:tc>
      </w:tr>
    </w:tbl>
    <w:p w14:paraId="7CF9CED5" w14:textId="5CADF8BA" w:rsidR="000405E1" w:rsidRDefault="000405E1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</w:rPr>
      </w:pPr>
    </w:p>
    <w:p w14:paraId="192BE8B7" w14:textId="448B7299" w:rsidR="0003242E" w:rsidRDefault="0003242E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</w:rPr>
      </w:pPr>
    </w:p>
    <w:sectPr w:rsidR="0003242E" w:rsidSect="00D859E8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pgBorders w:offsetFrom="page">
        <w:top w:val="single" w:sz="4" w:space="24" w:color="A6A6A6" w:themeColor="background1" w:themeShade="A6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A0B79" w14:textId="77777777" w:rsidR="00071934" w:rsidRDefault="00071934" w:rsidP="00EE4DCE">
      <w:r>
        <w:separator/>
      </w:r>
    </w:p>
  </w:endnote>
  <w:endnote w:type="continuationSeparator" w:id="0">
    <w:p w14:paraId="689736EF" w14:textId="77777777" w:rsidR="00071934" w:rsidRDefault="00071934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6D6F" w14:textId="3C80B9F4" w:rsidR="00942174" w:rsidRPr="000E42D4" w:rsidRDefault="00942174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</w:p>
  <w:p w14:paraId="266FF3E6" w14:textId="316A8D59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E6BB8D1" wp14:editId="5FBD62A7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E5E0B" w14:textId="77777777" w:rsidR="00071934" w:rsidRDefault="00071934" w:rsidP="00EE4DCE">
      <w:r>
        <w:separator/>
      </w:r>
    </w:p>
  </w:footnote>
  <w:footnote w:type="continuationSeparator" w:id="0">
    <w:p w14:paraId="45986456" w14:textId="77777777" w:rsidR="00071934" w:rsidRDefault="00071934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1857" w14:textId="77777777" w:rsidR="00861464" w:rsidRDefault="00861464" w:rsidP="00861464">
    <w:pPr>
      <w:pStyle w:val="Headertitle"/>
    </w:pPr>
    <w:r>
      <w:drawing>
        <wp:anchor distT="0" distB="0" distL="114300" distR="114300" simplePos="0" relativeHeight="251657216" behindDoc="1" locked="0" layoutInCell="0" allowOverlap="1" wp14:anchorId="5B5286E2" wp14:editId="0BBF538C">
          <wp:simplePos x="0" y="0"/>
          <wp:positionH relativeFrom="page">
            <wp:posOffset>-50772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90F28D0" w14:textId="759D7559" w:rsidR="006A3F4D" w:rsidRDefault="006A3F4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</w:p>
  <w:p w14:paraId="5663336D" w14:textId="77777777" w:rsidR="009164C1" w:rsidRDefault="008E78F0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South Yarra</w:t>
    </w:r>
    <w:r w:rsidR="009164C1">
      <w:rPr>
        <w:rFonts w:ascii="Arial" w:hAnsi="Arial" w:cs="Arial"/>
        <w:sz w:val="28"/>
        <w:szCs w:val="28"/>
      </w:rPr>
      <w:t xml:space="preserve"> (Eastern Portal) Precinct</w:t>
    </w:r>
  </w:p>
  <w:p w14:paraId="6FFD6D96" w14:textId="320073B2" w:rsidR="00861464" w:rsidRDefault="00861464" w:rsidP="00861464">
    <w:pPr>
      <w:pStyle w:val="Headertitle"/>
      <w:ind w:left="-142"/>
      <w:rPr>
        <w:rFonts w:ascii="Arial" w:hAnsi="Arial" w:cs="Arial"/>
        <w:sz w:val="28"/>
        <w:szCs w:val="28"/>
      </w:rPr>
    </w:pP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 w:rsidR="006A3F4D">
      <w:rPr>
        <w:rFonts w:ascii="Arial" w:hAnsi="Arial" w:cs="Arial"/>
        <w:sz w:val="28"/>
        <w:szCs w:val="28"/>
      </w:rPr>
      <w:t>eference Group</w:t>
    </w:r>
    <w:r w:rsidRPr="009B2E1D">
      <w:rPr>
        <w:rFonts w:ascii="Arial" w:hAnsi="Arial" w:cs="Arial"/>
        <w:sz w:val="28"/>
        <w:szCs w:val="28"/>
      </w:rPr>
      <w:t xml:space="preserve"> </w:t>
    </w:r>
  </w:p>
  <w:p w14:paraId="686210BC" w14:textId="34ABC39B" w:rsidR="00861464" w:rsidRPr="009B2E1D" w:rsidRDefault="00861464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Pr="009B2E1D">
      <w:rPr>
        <w:rFonts w:ascii="Arial" w:hAnsi="Arial" w:cs="Arial"/>
        <w:sz w:val="28"/>
        <w:szCs w:val="28"/>
      </w:rPr>
      <w:t xml:space="preserve"> 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6ED8AA"/>
    <w:lvl w:ilvl="0">
      <w:numFmt w:val="bullet"/>
      <w:lvlText w:val="*"/>
      <w:lvlJc w:val="left"/>
    </w:lvl>
  </w:abstractNum>
  <w:abstractNum w:abstractNumId="1" w15:restartNumberingAfterBreak="0">
    <w:nsid w:val="087E6BF8"/>
    <w:multiLevelType w:val="multilevel"/>
    <w:tmpl w:val="99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BD2"/>
    <w:multiLevelType w:val="hybridMultilevel"/>
    <w:tmpl w:val="85B4C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F58B5"/>
    <w:multiLevelType w:val="hybridMultilevel"/>
    <w:tmpl w:val="F38604D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04A3"/>
    <w:multiLevelType w:val="multilevel"/>
    <w:tmpl w:val="146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E45937"/>
    <w:multiLevelType w:val="hybridMultilevel"/>
    <w:tmpl w:val="D7567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162B"/>
    <w:multiLevelType w:val="multilevel"/>
    <w:tmpl w:val="46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017233"/>
    <w:multiLevelType w:val="multilevel"/>
    <w:tmpl w:val="B5F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816B5D"/>
    <w:multiLevelType w:val="multilevel"/>
    <w:tmpl w:val="4A8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121D16"/>
    <w:multiLevelType w:val="multilevel"/>
    <w:tmpl w:val="FDA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F7240"/>
    <w:multiLevelType w:val="multilevel"/>
    <w:tmpl w:val="BAD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EB3528"/>
    <w:multiLevelType w:val="multilevel"/>
    <w:tmpl w:val="D87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274051"/>
    <w:multiLevelType w:val="multilevel"/>
    <w:tmpl w:val="426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970BD9"/>
    <w:multiLevelType w:val="multilevel"/>
    <w:tmpl w:val="4E6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4"/>
    <w:rsid w:val="00000BA2"/>
    <w:rsid w:val="00004726"/>
    <w:rsid w:val="00004DCE"/>
    <w:rsid w:val="00016D4E"/>
    <w:rsid w:val="0003242E"/>
    <w:rsid w:val="00035C6C"/>
    <w:rsid w:val="000405E1"/>
    <w:rsid w:val="0005742B"/>
    <w:rsid w:val="00071934"/>
    <w:rsid w:val="00097E90"/>
    <w:rsid w:val="000A0342"/>
    <w:rsid w:val="000A0A4A"/>
    <w:rsid w:val="000B18B4"/>
    <w:rsid w:val="000B3CB4"/>
    <w:rsid w:val="000C6021"/>
    <w:rsid w:val="000D4A48"/>
    <w:rsid w:val="000D4C89"/>
    <w:rsid w:val="000E2E71"/>
    <w:rsid w:val="000E3C73"/>
    <w:rsid w:val="000E42D4"/>
    <w:rsid w:val="000F555A"/>
    <w:rsid w:val="00104DE3"/>
    <w:rsid w:val="001339D3"/>
    <w:rsid w:val="0013544C"/>
    <w:rsid w:val="0015056A"/>
    <w:rsid w:val="001733EA"/>
    <w:rsid w:val="001A2136"/>
    <w:rsid w:val="001A4B5B"/>
    <w:rsid w:val="001A5A47"/>
    <w:rsid w:val="001B6D5E"/>
    <w:rsid w:val="001C14B6"/>
    <w:rsid w:val="001D0E24"/>
    <w:rsid w:val="001F785C"/>
    <w:rsid w:val="002047E1"/>
    <w:rsid w:val="00215E5E"/>
    <w:rsid w:val="00233121"/>
    <w:rsid w:val="002409D5"/>
    <w:rsid w:val="00240ADA"/>
    <w:rsid w:val="00241B29"/>
    <w:rsid w:val="00245919"/>
    <w:rsid w:val="002660C7"/>
    <w:rsid w:val="002771CC"/>
    <w:rsid w:val="00286CC0"/>
    <w:rsid w:val="002B25F4"/>
    <w:rsid w:val="002C20CF"/>
    <w:rsid w:val="002D4694"/>
    <w:rsid w:val="002D7B6E"/>
    <w:rsid w:val="00315B81"/>
    <w:rsid w:val="00351037"/>
    <w:rsid w:val="0035304C"/>
    <w:rsid w:val="00356FAE"/>
    <w:rsid w:val="003743BE"/>
    <w:rsid w:val="00375672"/>
    <w:rsid w:val="003805E9"/>
    <w:rsid w:val="003A38AD"/>
    <w:rsid w:val="003B1CA1"/>
    <w:rsid w:val="003B6ADD"/>
    <w:rsid w:val="003B6F88"/>
    <w:rsid w:val="003B7140"/>
    <w:rsid w:val="003D0C15"/>
    <w:rsid w:val="003E3B21"/>
    <w:rsid w:val="003F5BF6"/>
    <w:rsid w:val="00413791"/>
    <w:rsid w:val="0043262C"/>
    <w:rsid w:val="00456A66"/>
    <w:rsid w:val="00464261"/>
    <w:rsid w:val="00466C88"/>
    <w:rsid w:val="00471EE6"/>
    <w:rsid w:val="0048309D"/>
    <w:rsid w:val="00483D8D"/>
    <w:rsid w:val="00491448"/>
    <w:rsid w:val="004A3FBE"/>
    <w:rsid w:val="004B423E"/>
    <w:rsid w:val="004B7DA4"/>
    <w:rsid w:val="004C4AC8"/>
    <w:rsid w:val="004D3FE6"/>
    <w:rsid w:val="004E54A0"/>
    <w:rsid w:val="0050362F"/>
    <w:rsid w:val="00510061"/>
    <w:rsid w:val="00510552"/>
    <w:rsid w:val="005117FD"/>
    <w:rsid w:val="00513101"/>
    <w:rsid w:val="00514E4F"/>
    <w:rsid w:val="00514E7E"/>
    <w:rsid w:val="0052271D"/>
    <w:rsid w:val="00526652"/>
    <w:rsid w:val="005312DE"/>
    <w:rsid w:val="00531560"/>
    <w:rsid w:val="005717E6"/>
    <w:rsid w:val="00577704"/>
    <w:rsid w:val="00595B09"/>
    <w:rsid w:val="005A3913"/>
    <w:rsid w:val="005A3C95"/>
    <w:rsid w:val="005B36C7"/>
    <w:rsid w:val="005C5506"/>
    <w:rsid w:val="005D3CB8"/>
    <w:rsid w:val="005F151B"/>
    <w:rsid w:val="00612EFB"/>
    <w:rsid w:val="00613B59"/>
    <w:rsid w:val="00624077"/>
    <w:rsid w:val="00652684"/>
    <w:rsid w:val="00652970"/>
    <w:rsid w:val="006553DD"/>
    <w:rsid w:val="00655615"/>
    <w:rsid w:val="00673778"/>
    <w:rsid w:val="00683B4F"/>
    <w:rsid w:val="00697514"/>
    <w:rsid w:val="006A3F4D"/>
    <w:rsid w:val="006E773B"/>
    <w:rsid w:val="00707B2D"/>
    <w:rsid w:val="00707D4C"/>
    <w:rsid w:val="0072367C"/>
    <w:rsid w:val="00723BD3"/>
    <w:rsid w:val="007302DF"/>
    <w:rsid w:val="00732D87"/>
    <w:rsid w:val="00734309"/>
    <w:rsid w:val="00743E76"/>
    <w:rsid w:val="00770587"/>
    <w:rsid w:val="00795AB0"/>
    <w:rsid w:val="007A217B"/>
    <w:rsid w:val="007A6ECB"/>
    <w:rsid w:val="007B5A74"/>
    <w:rsid w:val="007C48DD"/>
    <w:rsid w:val="007F0147"/>
    <w:rsid w:val="007F45EC"/>
    <w:rsid w:val="008410B4"/>
    <w:rsid w:val="008522F4"/>
    <w:rsid w:val="00852EBB"/>
    <w:rsid w:val="00857B20"/>
    <w:rsid w:val="00861464"/>
    <w:rsid w:val="008629F8"/>
    <w:rsid w:val="00873F41"/>
    <w:rsid w:val="00892965"/>
    <w:rsid w:val="00897CAA"/>
    <w:rsid w:val="008A64E5"/>
    <w:rsid w:val="008B7707"/>
    <w:rsid w:val="008C1166"/>
    <w:rsid w:val="008C3D48"/>
    <w:rsid w:val="008D4D25"/>
    <w:rsid w:val="008E6522"/>
    <w:rsid w:val="008E78F0"/>
    <w:rsid w:val="008F02D7"/>
    <w:rsid w:val="008F647F"/>
    <w:rsid w:val="00906F81"/>
    <w:rsid w:val="00907607"/>
    <w:rsid w:val="009164C1"/>
    <w:rsid w:val="00917273"/>
    <w:rsid w:val="0092792B"/>
    <w:rsid w:val="00931A4F"/>
    <w:rsid w:val="00933E96"/>
    <w:rsid w:val="00942174"/>
    <w:rsid w:val="0094477F"/>
    <w:rsid w:val="00945CFC"/>
    <w:rsid w:val="00950BBC"/>
    <w:rsid w:val="009554B9"/>
    <w:rsid w:val="009566E2"/>
    <w:rsid w:val="0096291A"/>
    <w:rsid w:val="00967013"/>
    <w:rsid w:val="00973F17"/>
    <w:rsid w:val="00976B08"/>
    <w:rsid w:val="00997350"/>
    <w:rsid w:val="009B2E1D"/>
    <w:rsid w:val="009C3336"/>
    <w:rsid w:val="009E307F"/>
    <w:rsid w:val="009E7B5E"/>
    <w:rsid w:val="009E7B96"/>
    <w:rsid w:val="00A15922"/>
    <w:rsid w:val="00A255A5"/>
    <w:rsid w:val="00A53DBA"/>
    <w:rsid w:val="00A64726"/>
    <w:rsid w:val="00A67E4B"/>
    <w:rsid w:val="00A834A8"/>
    <w:rsid w:val="00A834AC"/>
    <w:rsid w:val="00AB0295"/>
    <w:rsid w:val="00AF488D"/>
    <w:rsid w:val="00AF5F9C"/>
    <w:rsid w:val="00B0143F"/>
    <w:rsid w:val="00B1566B"/>
    <w:rsid w:val="00B20784"/>
    <w:rsid w:val="00B37735"/>
    <w:rsid w:val="00B44980"/>
    <w:rsid w:val="00B47D13"/>
    <w:rsid w:val="00B5366E"/>
    <w:rsid w:val="00B5634D"/>
    <w:rsid w:val="00B879BB"/>
    <w:rsid w:val="00BB1FF1"/>
    <w:rsid w:val="00BC2278"/>
    <w:rsid w:val="00BC3B6A"/>
    <w:rsid w:val="00BF2B94"/>
    <w:rsid w:val="00C22CA3"/>
    <w:rsid w:val="00C35919"/>
    <w:rsid w:val="00C40848"/>
    <w:rsid w:val="00C410C0"/>
    <w:rsid w:val="00C51694"/>
    <w:rsid w:val="00C6644B"/>
    <w:rsid w:val="00CC7D79"/>
    <w:rsid w:val="00CD2E99"/>
    <w:rsid w:val="00CE7CBA"/>
    <w:rsid w:val="00D02CE7"/>
    <w:rsid w:val="00D162BB"/>
    <w:rsid w:val="00D34A8B"/>
    <w:rsid w:val="00D35F39"/>
    <w:rsid w:val="00D42FA6"/>
    <w:rsid w:val="00D456BD"/>
    <w:rsid w:val="00D46013"/>
    <w:rsid w:val="00D521C5"/>
    <w:rsid w:val="00D622BA"/>
    <w:rsid w:val="00D6499E"/>
    <w:rsid w:val="00D76C9A"/>
    <w:rsid w:val="00D7774B"/>
    <w:rsid w:val="00D82DF0"/>
    <w:rsid w:val="00D859E8"/>
    <w:rsid w:val="00D875B3"/>
    <w:rsid w:val="00DA6153"/>
    <w:rsid w:val="00DB4A0F"/>
    <w:rsid w:val="00DC6E2D"/>
    <w:rsid w:val="00DD2BB4"/>
    <w:rsid w:val="00DD60A7"/>
    <w:rsid w:val="00E00D45"/>
    <w:rsid w:val="00E13113"/>
    <w:rsid w:val="00E364EE"/>
    <w:rsid w:val="00E400C3"/>
    <w:rsid w:val="00E471E2"/>
    <w:rsid w:val="00E80A28"/>
    <w:rsid w:val="00E8745B"/>
    <w:rsid w:val="00E90C7C"/>
    <w:rsid w:val="00E96089"/>
    <w:rsid w:val="00E971DB"/>
    <w:rsid w:val="00E974BF"/>
    <w:rsid w:val="00EA626B"/>
    <w:rsid w:val="00EC2F2D"/>
    <w:rsid w:val="00ED01DE"/>
    <w:rsid w:val="00ED47C4"/>
    <w:rsid w:val="00ED4A24"/>
    <w:rsid w:val="00ED6F0A"/>
    <w:rsid w:val="00EE4DCE"/>
    <w:rsid w:val="00EE5741"/>
    <w:rsid w:val="00F2246A"/>
    <w:rsid w:val="00F35094"/>
    <w:rsid w:val="00F76C45"/>
    <w:rsid w:val="00F86514"/>
    <w:rsid w:val="00F87491"/>
    <w:rsid w:val="00F910AE"/>
    <w:rsid w:val="00F91666"/>
    <w:rsid w:val="00FC2262"/>
    <w:rsid w:val="00FC6C3A"/>
    <w:rsid w:val="00FD355B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-Heading31">
    <w:name w:val="Table - Heading 31"/>
    <w:basedOn w:val="TableNormal"/>
    <w:next w:val="TableGrid"/>
    <w:uiPriority w:val="59"/>
    <w:rsid w:val="0092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4b611a70-8d80-4e67-bac0-34830fecce41"/>
  </ds:schemaRefs>
</ds:datastoreItem>
</file>

<file path=customXml/itemProps5.xml><?xml version="1.0" encoding="utf-8"?>
<ds:datastoreItem xmlns:ds="http://schemas.openxmlformats.org/officeDocument/2006/customXml" ds:itemID="{96B2A214-DD77-4ABB-B15D-F7C9813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Boulton</dc:creator>
  <cp:lastModifiedBy>Dave Kristy (DEDJTR)</cp:lastModifiedBy>
  <cp:revision>3</cp:revision>
  <cp:lastPrinted>2017-09-04T07:45:00Z</cp:lastPrinted>
  <dcterms:created xsi:type="dcterms:W3CDTF">2017-12-19T20:32:00Z</dcterms:created>
  <dcterms:modified xsi:type="dcterms:W3CDTF">2017-12-19T20:32:00Z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