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8EEFDC" w14:textId="38D2EC8F" w:rsidR="00EB543D" w:rsidRPr="00F71523" w:rsidRDefault="0066216E" w:rsidP="00BB66E0">
      <w:pPr>
        <w:pStyle w:val="Heading1"/>
      </w:pPr>
      <w:bookmarkStart w:id="0" w:name="_General_style_notes"/>
      <w:bookmarkStart w:id="1" w:name="_Toc450895082"/>
      <w:bookmarkEnd w:id="0"/>
      <w:r w:rsidRPr="00F71523">
        <w:rPr>
          <w:noProof/>
          <w:lang w:eastAsia="en-AU"/>
        </w:rPr>
        <w:drawing>
          <wp:anchor distT="0" distB="0" distL="114300" distR="114300" simplePos="0" relativeHeight="251658240" behindDoc="1" locked="1" layoutInCell="1" allowOverlap="1" wp14:anchorId="1234E744" wp14:editId="16E13BFD">
            <wp:simplePos x="0" y="0"/>
            <wp:positionH relativeFrom="page">
              <wp:posOffset>180340</wp:posOffset>
            </wp:positionH>
            <wp:positionV relativeFrom="page">
              <wp:posOffset>180340</wp:posOffset>
            </wp:positionV>
            <wp:extent cx="2034000" cy="2880000"/>
            <wp:effectExtent l="0" t="0" r="4445" b="0"/>
            <wp:wrapNone/>
            <wp:docPr id="2" name="Picture 2" descr="C:\Users\Patrick\SafeSync\Metuant client work\Melbourne Metro Rail Authority\Templates\MM Brand Decal1.jpg"/>
            <wp:cNvGraphicFramePr/>
            <a:graphic xmlns:a="http://schemas.openxmlformats.org/drawingml/2006/main">
              <a:graphicData uri="http://schemas.openxmlformats.org/drawingml/2006/picture">
                <pic:pic xmlns:pic="http://schemas.openxmlformats.org/drawingml/2006/picture">
                  <pic:nvPicPr>
                    <pic:cNvPr id="3" name="Picture 2" descr="C:\Users\Patrick\SafeSync\Metuant client work\Melbourne Metro Rail Authority\Templates\MM Brand Decal1.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34000" cy="28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B543D" w:rsidRPr="00F71523">
        <w:t>Environmental Management Framework</w:t>
      </w:r>
      <w:bookmarkEnd w:id="1"/>
    </w:p>
    <w:p w14:paraId="6994A881" w14:textId="77777777" w:rsidR="00EB543D" w:rsidRPr="00F71523" w:rsidRDefault="00EB543D" w:rsidP="00EB543D">
      <w:pPr>
        <w:pStyle w:val="Heading2"/>
      </w:pPr>
      <w:bookmarkStart w:id="2" w:name="_Toc450895083"/>
      <w:r w:rsidRPr="00F71523">
        <w:t>Introduction</w:t>
      </w:r>
      <w:bookmarkEnd w:id="2"/>
    </w:p>
    <w:p w14:paraId="0711580D" w14:textId="63EFD5F8" w:rsidR="00E6554C" w:rsidRPr="00F71523" w:rsidRDefault="00EB543D" w:rsidP="00482EE3">
      <w:pPr>
        <w:pStyle w:val="BodyText"/>
      </w:pPr>
      <w:r w:rsidRPr="00F71523">
        <w:t xml:space="preserve">This section presents the Environmental Management Framework (EMF) that has been developed for </w:t>
      </w:r>
      <w:r w:rsidR="00B42B03" w:rsidRPr="00F71523">
        <w:t>Melbourne Metro</w:t>
      </w:r>
      <w:r w:rsidRPr="00F71523">
        <w:t xml:space="preserve">. The EMF provides a transparent and integrated governance framework to manage environmental aspects </w:t>
      </w:r>
      <w:r w:rsidR="002D25A9" w:rsidRPr="00F71523">
        <w:t>as described in this EES</w:t>
      </w:r>
      <w:r w:rsidRPr="00F71523">
        <w:t xml:space="preserve"> for </w:t>
      </w:r>
      <w:r w:rsidR="00473FF8">
        <w:t xml:space="preserve">the </w:t>
      </w:r>
      <w:r w:rsidRPr="00F71523">
        <w:t>design, construction and operation</w:t>
      </w:r>
      <w:r w:rsidR="00473FF8">
        <w:t>al</w:t>
      </w:r>
      <w:r w:rsidRPr="00F71523">
        <w:t xml:space="preserve"> phases of the </w:t>
      </w:r>
      <w:r w:rsidR="00B42B03" w:rsidRPr="00F71523">
        <w:t>project</w:t>
      </w:r>
      <w:r w:rsidRPr="00F71523">
        <w:t xml:space="preserve">. </w:t>
      </w:r>
      <w:r w:rsidR="00E6554C" w:rsidRPr="00F71523">
        <w:t xml:space="preserve">The EMF includes the recommended Environmental Performance Requirements that define the project-wide environmental outcomes that must be achieved during design, construction and operation </w:t>
      </w:r>
      <w:r w:rsidR="004D4A0A" w:rsidRPr="00F71523">
        <w:t xml:space="preserve">of Melbourne Metro </w:t>
      </w:r>
      <w:r w:rsidR="00E6554C" w:rsidRPr="00F71523">
        <w:t xml:space="preserve">(regardless of the design solutions adopted). </w:t>
      </w:r>
      <w:r w:rsidR="00B17076" w:rsidRPr="00F71523">
        <w:t>Once approved, c</w:t>
      </w:r>
      <w:r w:rsidR="00E6554C" w:rsidRPr="00F71523">
        <w:t xml:space="preserve">ompliance with the EMF and the Environmental Performance Requirements </w:t>
      </w:r>
      <w:r w:rsidR="00B17076" w:rsidRPr="00F71523">
        <w:t>will be enforced by MMRA through</w:t>
      </w:r>
      <w:r w:rsidR="00E6554C" w:rsidRPr="00F71523">
        <w:t xml:space="preserve"> the contractual arrangements for delivery of the project. </w:t>
      </w:r>
    </w:p>
    <w:p w14:paraId="3F6B8F83" w14:textId="70389E4D" w:rsidR="00E6554C" w:rsidRPr="00F71523" w:rsidRDefault="00E6554C" w:rsidP="00482EE3">
      <w:pPr>
        <w:pStyle w:val="BodyText"/>
      </w:pPr>
      <w:r w:rsidRPr="00F71523">
        <w:t>The</w:t>
      </w:r>
      <w:r w:rsidR="00250B7A">
        <w:t xml:space="preserve"> recommended</w:t>
      </w:r>
      <w:r w:rsidRPr="00F71523">
        <w:t xml:space="preserve"> Environmental Performance Requirements have been developed through the EES to address the identified environmental risks and impacts. The performance-based approach that forms the Environmental Performance Requirements aims to achieve outcomes that provide a net community benefit, while allowing for a delivery model with sufficient flexibility to encourage innovation by the private sector to determine how any recommended Environmental Performance Requirements would be achieved. The EMF outlines clear accountabilities for the delivery and monitoring of the </w:t>
      </w:r>
      <w:r w:rsidR="00473FF8">
        <w:t>achievement</w:t>
      </w:r>
      <w:r w:rsidR="00473FF8" w:rsidRPr="00F71523">
        <w:t xml:space="preserve"> </w:t>
      </w:r>
      <w:r w:rsidRPr="00F71523">
        <w:t xml:space="preserve">of </w:t>
      </w:r>
      <w:r w:rsidR="00473FF8">
        <w:t xml:space="preserve">the </w:t>
      </w:r>
      <w:r w:rsidRPr="00F71523">
        <w:t xml:space="preserve">Environmental Performance Requirements so that the environmental effects and hazards of the project would be managed. </w:t>
      </w:r>
    </w:p>
    <w:p w14:paraId="1C6D758D" w14:textId="442C9AC9" w:rsidR="00E6554C" w:rsidRPr="00F71523" w:rsidRDefault="00E6554C" w:rsidP="00482EE3">
      <w:pPr>
        <w:pStyle w:val="BodyText"/>
      </w:pPr>
      <w:r w:rsidRPr="00F71523">
        <w:t xml:space="preserve">Design and management measures incorporated into the Concept Design, together with implementation </w:t>
      </w:r>
      <w:r w:rsidR="007F53A0">
        <w:t xml:space="preserve">of </w:t>
      </w:r>
      <w:r w:rsidRPr="00F71523">
        <w:t xml:space="preserve">and compliance with the EMF and the Environmental Performance Requirements </w:t>
      </w:r>
      <w:r w:rsidR="004A24BF">
        <w:t>would</w:t>
      </w:r>
      <w:r w:rsidR="004A24BF" w:rsidRPr="00F71523">
        <w:t xml:space="preserve"> </w:t>
      </w:r>
      <w:r w:rsidRPr="00F71523">
        <w:t xml:space="preserve">ensure compliance with statutory requirements during </w:t>
      </w:r>
      <w:r w:rsidR="001D594A">
        <w:t xml:space="preserve">design, </w:t>
      </w:r>
      <w:r w:rsidRPr="00F71523">
        <w:t xml:space="preserve">construction and operation. The contractual arrangements for delivery of the EMF and Environmental Performance Requirements would be in the form of Project </w:t>
      </w:r>
      <w:r w:rsidR="00B17076" w:rsidRPr="00F71523">
        <w:t>Contracts</w:t>
      </w:r>
      <w:r w:rsidRPr="00F71523">
        <w:t xml:space="preserve"> between MMRA and the </w:t>
      </w:r>
      <w:r w:rsidR="007F53A0">
        <w:t>c</w:t>
      </w:r>
      <w:r w:rsidRPr="00F71523">
        <w:t xml:space="preserve">ontractors delivering the different parts of Melbourne Metro. </w:t>
      </w:r>
    </w:p>
    <w:p w14:paraId="0E9E4FF3" w14:textId="7E3AF8CB" w:rsidR="00DE3203" w:rsidRPr="00F71523" w:rsidRDefault="00EB543D" w:rsidP="005A5B52">
      <w:pPr>
        <w:pStyle w:val="BodyText"/>
      </w:pPr>
      <w:r w:rsidRPr="00F71523">
        <w:t xml:space="preserve">The EMF requires that the </w:t>
      </w:r>
      <w:r w:rsidR="0086608F">
        <w:t>c</w:t>
      </w:r>
      <w:r w:rsidRPr="00F71523">
        <w:t>ontractor</w:t>
      </w:r>
      <w:r w:rsidR="00E6554C" w:rsidRPr="00F71523">
        <w:t>s</w:t>
      </w:r>
      <w:r w:rsidRPr="00F71523">
        <w:t xml:space="preserve"> develop and implement an Environmental Management System (EMS) </w:t>
      </w:r>
      <w:r w:rsidR="005A5B52" w:rsidRPr="00F71523">
        <w:t xml:space="preserve">certified to </w:t>
      </w:r>
      <w:r w:rsidR="0090365A" w:rsidRPr="00F71523">
        <w:t xml:space="preserve">AS/NZS </w:t>
      </w:r>
      <w:r w:rsidR="005A5B52" w:rsidRPr="00F71523">
        <w:t xml:space="preserve">ISO 14001:2015 </w:t>
      </w:r>
      <w:r w:rsidR="005A5B52" w:rsidRPr="00F71523">
        <w:rPr>
          <w:i/>
        </w:rPr>
        <w:t>Environmental management systems — Requirements with guidance for use</w:t>
      </w:r>
      <w:r w:rsidR="005A5B52" w:rsidRPr="00F71523">
        <w:t xml:space="preserve"> and </w:t>
      </w:r>
      <w:r w:rsidRPr="00F71523">
        <w:t>consistent with relevant legislation, policy</w:t>
      </w:r>
      <w:r w:rsidR="004D4A0A" w:rsidRPr="00F71523">
        <w:t xml:space="preserve"> and </w:t>
      </w:r>
      <w:r w:rsidRPr="00F71523">
        <w:t>guidelines and M</w:t>
      </w:r>
      <w:r w:rsidR="00B17076" w:rsidRPr="00F71523">
        <w:t>MRA</w:t>
      </w:r>
      <w:r w:rsidRPr="00F71523">
        <w:t xml:space="preserve">’s Environmental Policy. The purpose of the EMS is to ensure that works are planned and performed so that the adverse effects on the environment </w:t>
      </w:r>
      <w:r w:rsidR="004A24BF">
        <w:t>are</w:t>
      </w:r>
      <w:r w:rsidRPr="00F71523">
        <w:t xml:space="preserve"> either avoided or minimised and are carried out in accordance with the </w:t>
      </w:r>
      <w:r w:rsidR="00250B7A">
        <w:t xml:space="preserve">approved </w:t>
      </w:r>
      <w:r w:rsidRPr="00F71523">
        <w:t xml:space="preserve">Environmental Performance Requirements. </w:t>
      </w:r>
    </w:p>
    <w:p w14:paraId="2E435759" w14:textId="488204BF" w:rsidR="00EB543D" w:rsidRPr="00F71523" w:rsidRDefault="00EB543D" w:rsidP="00482EE3">
      <w:pPr>
        <w:pStyle w:val="BodyText"/>
      </w:pPr>
      <w:r w:rsidRPr="00F71523">
        <w:lastRenderedPageBreak/>
        <w:t xml:space="preserve">The EMS will provide a structured approach for monitoring the implementation </w:t>
      </w:r>
      <w:r w:rsidR="00616BFE">
        <w:t xml:space="preserve">of </w:t>
      </w:r>
      <w:r w:rsidRPr="00F71523">
        <w:t>Construction Environmental Management Plans (CEMPs) for project delivery</w:t>
      </w:r>
      <w:r w:rsidR="001D594A">
        <w:t xml:space="preserve"> and the Operation</w:t>
      </w:r>
      <w:r w:rsidR="00512F08">
        <w:t>s</w:t>
      </w:r>
      <w:r w:rsidR="001D594A">
        <w:t xml:space="preserve"> Environmental Management Plan (OEMP) for the tunnels and stations</w:t>
      </w:r>
      <w:r w:rsidRPr="00F71523">
        <w:t>. The EMS</w:t>
      </w:r>
      <w:r w:rsidR="00616BFE">
        <w:t>,</w:t>
      </w:r>
      <w:r w:rsidR="00B91C36">
        <w:t xml:space="preserve"> </w:t>
      </w:r>
      <w:r w:rsidR="00B17076" w:rsidRPr="00F71523">
        <w:t>C</w:t>
      </w:r>
      <w:r w:rsidRPr="00F71523">
        <w:t xml:space="preserve">EMPs </w:t>
      </w:r>
      <w:r w:rsidR="001D594A">
        <w:t xml:space="preserve">and OEMP </w:t>
      </w:r>
      <w:r w:rsidRPr="00F71523">
        <w:t xml:space="preserve">can then be audited throughout the project </w:t>
      </w:r>
      <w:r w:rsidR="00B17076" w:rsidRPr="00F71523">
        <w:t xml:space="preserve">as a mechanism </w:t>
      </w:r>
      <w:r w:rsidRPr="00F71523">
        <w:t>for continuous improvement.</w:t>
      </w:r>
      <w:r w:rsidR="002D25A9" w:rsidRPr="00F71523">
        <w:t xml:space="preserve"> Refer to Section</w:t>
      </w:r>
      <w:r w:rsidR="00616BFE">
        <w:t>s</w:t>
      </w:r>
      <w:r w:rsidR="002D25A9" w:rsidRPr="00F71523">
        <w:t xml:space="preserve"> </w:t>
      </w:r>
      <w:r w:rsidR="00E6554C" w:rsidRPr="00F71523">
        <w:fldChar w:fldCharType="begin"/>
      </w:r>
      <w:r w:rsidR="00E6554C" w:rsidRPr="00F71523">
        <w:instrText xml:space="preserve"> REF _Ref446407745 \r \h  \* MERGEFORMAT </w:instrText>
      </w:r>
      <w:r w:rsidR="00E6554C" w:rsidRPr="00F71523">
        <w:fldChar w:fldCharType="separate"/>
      </w:r>
      <w:r w:rsidR="002F5366">
        <w:rPr>
          <w:cs/>
        </w:rPr>
        <w:t>‎</w:t>
      </w:r>
      <w:r w:rsidR="002F5366">
        <w:t>23.7</w:t>
      </w:r>
      <w:r w:rsidR="00E6554C" w:rsidRPr="00F71523">
        <w:fldChar w:fldCharType="end"/>
      </w:r>
      <w:r w:rsidR="00616BFE">
        <w:t xml:space="preserve"> and </w:t>
      </w:r>
      <w:r w:rsidR="00616BFE">
        <w:fldChar w:fldCharType="begin"/>
      </w:r>
      <w:r w:rsidR="00616BFE">
        <w:instrText xml:space="preserve"> REF _Ref447512870 \r \h </w:instrText>
      </w:r>
      <w:r w:rsidR="00616BFE">
        <w:fldChar w:fldCharType="separate"/>
      </w:r>
      <w:r w:rsidR="002F5366">
        <w:rPr>
          <w:cs/>
        </w:rPr>
        <w:t>‎</w:t>
      </w:r>
      <w:r w:rsidR="002F5366">
        <w:t>23.8</w:t>
      </w:r>
      <w:r w:rsidR="00616BFE">
        <w:fldChar w:fldCharType="end"/>
      </w:r>
      <w:r w:rsidR="00E6554C" w:rsidRPr="00F71523">
        <w:t xml:space="preserve"> </w:t>
      </w:r>
      <w:r w:rsidR="002D25A9" w:rsidRPr="00F71523">
        <w:t xml:space="preserve">for </w:t>
      </w:r>
      <w:r w:rsidR="00B91C36">
        <w:t xml:space="preserve">a </w:t>
      </w:r>
      <w:r w:rsidR="002D25A9" w:rsidRPr="00F71523">
        <w:t>description of the management plans and requirements for ongoing monitoring of their implementation.</w:t>
      </w:r>
    </w:p>
    <w:p w14:paraId="687AC2DA" w14:textId="3767738A" w:rsidR="00EB543D" w:rsidRPr="00F71523" w:rsidRDefault="00EB543D" w:rsidP="00261C74">
      <w:pPr>
        <w:pStyle w:val="BodyText"/>
        <w:ind w:right="-227"/>
      </w:pPr>
      <w:r w:rsidRPr="00F71523">
        <w:t xml:space="preserve">The development of the EMF is guided by the EES Scoping Requirements, relevant legislation, policy and guidelines, and has been informed by the environmental risk assessment and specialist environmental impact assessment studies completed for the EES. The risk assessment has been undertaken in accordance with the risk management standard AS/NZS/ISO31000:2009 and would be maintained throughout the project in accordance with the </w:t>
      </w:r>
      <w:r w:rsidR="00616BFE">
        <w:t xml:space="preserve">MMRA </w:t>
      </w:r>
      <w:r w:rsidRPr="00F71523">
        <w:t>EMS.</w:t>
      </w:r>
    </w:p>
    <w:p w14:paraId="48921703" w14:textId="77777777" w:rsidR="002D25A9" w:rsidRPr="00F71523" w:rsidRDefault="002D25A9" w:rsidP="00081396">
      <w:pPr>
        <w:pStyle w:val="Heading3"/>
      </w:pPr>
      <w:r w:rsidRPr="00F71523">
        <w:t>Works Covered by the EMF</w:t>
      </w:r>
    </w:p>
    <w:p w14:paraId="2789A48F" w14:textId="77777777" w:rsidR="00E6554C" w:rsidRPr="00F71523" w:rsidRDefault="00E6554C" w:rsidP="00466BBB">
      <w:pPr>
        <w:pStyle w:val="BodyText"/>
      </w:pPr>
      <w:r w:rsidRPr="00F71523">
        <w:t xml:space="preserve">The infrastructure proposed for construction of Melbourne Metro and assessed in this EES includes: </w:t>
      </w:r>
    </w:p>
    <w:p w14:paraId="667ACCF3" w14:textId="666846BC" w:rsidR="00E6554C" w:rsidRPr="00F71523" w:rsidRDefault="00E6554C" w:rsidP="00D80EEF">
      <w:pPr>
        <w:pStyle w:val="BodyBullet1"/>
      </w:pPr>
      <w:r w:rsidRPr="00F71523">
        <w:t>Twin nine-kilometre rail tunnels from Kensington to South Yarra</w:t>
      </w:r>
      <w:r w:rsidR="00445D4E" w:rsidRPr="00F71523">
        <w:t>, travelling beneath Swanston Street in the Melbourne CBD and connecting the Sunbury and Cranbourne/Pakenham railway lines</w:t>
      </w:r>
      <w:r w:rsidRPr="00F71523">
        <w:t xml:space="preserve"> </w:t>
      </w:r>
    </w:p>
    <w:p w14:paraId="23CF5A20" w14:textId="6D02924E" w:rsidR="00E6554C" w:rsidRPr="00F71523" w:rsidRDefault="00445D4E" w:rsidP="00D80EEF">
      <w:pPr>
        <w:pStyle w:val="BodyBullet1"/>
      </w:pPr>
      <w:r w:rsidRPr="00F71523">
        <w:t xml:space="preserve">Five new underground stations at Arden, Parkville, CBD North, CBD South and Domain, with CBD North and CBD South stations featuring direct interchanges with the existing Melbourne Central station and Flinders Street Station respectively </w:t>
      </w:r>
    </w:p>
    <w:p w14:paraId="64C14E65" w14:textId="08ABEA70" w:rsidR="00E6554C" w:rsidRPr="00F71523" w:rsidRDefault="00445D4E" w:rsidP="00D80EEF">
      <w:pPr>
        <w:pStyle w:val="BodyBullet1"/>
      </w:pPr>
      <w:r w:rsidRPr="00F71523">
        <w:t xml:space="preserve">A new transport interchange at Domain </w:t>
      </w:r>
    </w:p>
    <w:p w14:paraId="53C9A5DE" w14:textId="77777777" w:rsidR="00445D4E" w:rsidRPr="00F71523" w:rsidRDefault="00445D4E" w:rsidP="00445D4E">
      <w:pPr>
        <w:pStyle w:val="BodyBullet1"/>
      </w:pPr>
      <w:r w:rsidRPr="00F71523">
        <w:t>Rail tunnel portals (entrances) at Kensington and South Yarra.</w:t>
      </w:r>
    </w:p>
    <w:p w14:paraId="79ED0B4A" w14:textId="77777777" w:rsidR="00445D4E" w:rsidRPr="00F71523" w:rsidRDefault="00445D4E" w:rsidP="00445D4E">
      <w:pPr>
        <w:pStyle w:val="BodyText"/>
      </w:pPr>
      <w:r w:rsidRPr="00F71523">
        <w:t xml:space="preserve">The project would also require track work (a </w:t>
      </w:r>
      <w:proofErr w:type="spellStart"/>
      <w:r w:rsidRPr="00F71523">
        <w:t>turnback</w:t>
      </w:r>
      <w:proofErr w:type="spellEnd"/>
      <w:r w:rsidRPr="00F71523">
        <w:t xml:space="preserve">) at West Footscray to enable trains using the Sunbury Line to turn around before reaching Sunbury and head back through the Melbourne Metro tunnels. </w:t>
      </w:r>
    </w:p>
    <w:p w14:paraId="66E9718C" w14:textId="16358F47" w:rsidR="00E6554C" w:rsidRPr="00F71523" w:rsidRDefault="00E6554C" w:rsidP="00E6554C">
      <w:pPr>
        <w:pStyle w:val="BodyText"/>
      </w:pPr>
      <w:r w:rsidRPr="00F71523">
        <w:t xml:space="preserve">The project </w:t>
      </w:r>
      <w:r w:rsidR="001D594A">
        <w:t xml:space="preserve">includes </w:t>
      </w:r>
      <w:r w:rsidR="00B91C36">
        <w:t xml:space="preserve">the </w:t>
      </w:r>
      <w:r w:rsidR="001D594A">
        <w:t>operation of the five new stations and tunnel</w:t>
      </w:r>
      <w:r w:rsidR="00B91C36">
        <w:t>s;</w:t>
      </w:r>
      <w:r w:rsidR="001D594A">
        <w:t xml:space="preserve"> however</w:t>
      </w:r>
      <w:r w:rsidR="00B91C36">
        <w:t>,</w:t>
      </w:r>
      <w:r w:rsidR="001D594A">
        <w:t xml:space="preserve"> it </w:t>
      </w:r>
      <w:r w:rsidRPr="00F71523">
        <w:t xml:space="preserve">does not include the operation of the whole rail network. </w:t>
      </w:r>
      <w:r w:rsidRPr="00F71523">
        <w:fldChar w:fldCharType="begin"/>
      </w:r>
      <w:r w:rsidRPr="00F71523">
        <w:instrText xml:space="preserve"> REF _Ref446408079 \h </w:instrText>
      </w:r>
      <w:r w:rsidRPr="00F71523">
        <w:fldChar w:fldCharType="separate"/>
      </w:r>
      <w:r w:rsidR="002F5366" w:rsidRPr="00F71523">
        <w:t xml:space="preserve">Figure </w:t>
      </w:r>
      <w:r w:rsidR="002F5366">
        <w:rPr>
          <w:noProof/>
          <w:cs/>
        </w:rPr>
        <w:t>‎</w:t>
      </w:r>
      <w:r w:rsidR="002F5366">
        <w:rPr>
          <w:noProof/>
        </w:rPr>
        <w:t>23</w:t>
      </w:r>
      <w:r w:rsidR="002F5366" w:rsidRPr="00F71523">
        <w:noBreakHyphen/>
      </w:r>
      <w:r w:rsidR="002F5366">
        <w:rPr>
          <w:noProof/>
        </w:rPr>
        <w:t>1</w:t>
      </w:r>
      <w:r w:rsidRPr="00F71523">
        <w:fldChar w:fldCharType="end"/>
      </w:r>
      <w:r w:rsidRPr="00F71523">
        <w:t xml:space="preserve"> shows a broad schematic plan for the principal inner Melbourne components </w:t>
      </w:r>
      <w:r w:rsidR="00B91C36">
        <w:t xml:space="preserve">of </w:t>
      </w:r>
      <w:r w:rsidRPr="00F71523">
        <w:t>Melbourne</w:t>
      </w:r>
      <w:r w:rsidR="009631F9">
        <w:t> </w:t>
      </w:r>
      <w:r w:rsidRPr="00F71523">
        <w:t>Metro.</w:t>
      </w:r>
    </w:p>
    <w:p w14:paraId="24B6078A" w14:textId="63B79077" w:rsidR="00E6554C" w:rsidRPr="00F71523" w:rsidRDefault="00E6554C" w:rsidP="00482EE3">
      <w:pPr>
        <w:pStyle w:val="Caption"/>
      </w:pPr>
      <w:bookmarkStart w:id="3" w:name="_Ref446408079"/>
      <w:bookmarkStart w:id="4" w:name="_Toc444176081"/>
      <w:r w:rsidRPr="00F71523">
        <w:lastRenderedPageBreak/>
        <w:t xml:space="preserve">Figure </w:t>
      </w:r>
      <w:fldSimple w:instr=" STYLEREF 1 \s ">
        <w:r w:rsidR="002F5366">
          <w:rPr>
            <w:noProof/>
            <w:cs/>
          </w:rPr>
          <w:t>‎</w:t>
        </w:r>
        <w:r w:rsidR="002F5366">
          <w:rPr>
            <w:noProof/>
          </w:rPr>
          <w:t>23</w:t>
        </w:r>
      </w:fldSimple>
      <w:r w:rsidRPr="00F71523">
        <w:noBreakHyphen/>
      </w:r>
      <w:fldSimple w:instr=" SEQ Figure \* ARABIC \s 1 ">
        <w:r w:rsidR="002F5366">
          <w:rPr>
            <w:noProof/>
          </w:rPr>
          <w:t>1</w:t>
        </w:r>
      </w:fldSimple>
      <w:bookmarkEnd w:id="3"/>
      <w:r w:rsidRPr="00F71523">
        <w:tab/>
        <w:t>Melbourne Metro Rail Project</w:t>
      </w:r>
      <w:bookmarkEnd w:id="4"/>
      <w:r w:rsidR="00DE3203" w:rsidRPr="00F71523">
        <w:t xml:space="preserve"> components covered by the EMF</w:t>
      </w:r>
    </w:p>
    <w:p w14:paraId="764C0063" w14:textId="7A11CDEC" w:rsidR="00E6554C" w:rsidRPr="00F71523" w:rsidRDefault="00250B7A" w:rsidP="009631F9">
      <w:pPr>
        <w:pStyle w:val="ObjectWide"/>
      </w:pPr>
      <w:r>
        <w:drawing>
          <wp:inline distT="0" distB="0" distL="0" distR="0" wp14:anchorId="043BEEF2" wp14:editId="00D50616">
            <wp:extent cx="5718852" cy="4032000"/>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R_0000_A4_Landscape_EES_Simple_Topo.jpg"/>
                    <pic:cNvPicPr/>
                  </pic:nvPicPr>
                  <pic:blipFill rotWithShape="1">
                    <a:blip r:embed="rId11">
                      <a:extLst>
                        <a:ext uri="{28A0092B-C50C-407E-A947-70E740481C1C}">
                          <a14:useLocalDpi xmlns:a14="http://schemas.microsoft.com/office/drawing/2010/main" val="0"/>
                        </a:ext>
                      </a:extLst>
                    </a:blip>
                    <a:srcRect l="1666" t="1964" r="1805" b="1762"/>
                    <a:stretch/>
                  </pic:blipFill>
                  <pic:spPr bwMode="auto">
                    <a:xfrm>
                      <a:off x="0" y="0"/>
                      <a:ext cx="5718852" cy="4032000"/>
                    </a:xfrm>
                    <a:prstGeom prst="rect">
                      <a:avLst/>
                    </a:prstGeom>
                    <a:ln>
                      <a:noFill/>
                    </a:ln>
                    <a:extLst>
                      <a:ext uri="{53640926-AAD7-44D8-BBD7-CCE9431645EC}">
                        <a14:shadowObscured xmlns:a14="http://schemas.microsoft.com/office/drawing/2010/main"/>
                      </a:ext>
                    </a:extLst>
                  </pic:spPr>
                </pic:pic>
              </a:graphicData>
            </a:graphic>
          </wp:inline>
        </w:drawing>
      </w:r>
    </w:p>
    <w:p w14:paraId="5CB7CC33" w14:textId="77777777" w:rsidR="00EB543D" w:rsidRPr="00F71523" w:rsidRDefault="00EB543D" w:rsidP="00FD6755">
      <w:pPr>
        <w:pStyle w:val="Heading2"/>
      </w:pPr>
      <w:bookmarkStart w:id="5" w:name="_Toc450895084"/>
      <w:r w:rsidRPr="00F71523">
        <w:t>Scoping Requirements and EMF Structure</w:t>
      </w:r>
      <w:bookmarkEnd w:id="5"/>
    </w:p>
    <w:p w14:paraId="1221B2A5" w14:textId="70E23E6C" w:rsidR="00EB543D" w:rsidRPr="00F71523" w:rsidRDefault="00EB543D" w:rsidP="00EB543D">
      <w:pPr>
        <w:pStyle w:val="BodyText"/>
      </w:pPr>
      <w:r w:rsidRPr="00F71523">
        <w:t xml:space="preserve">The EES Scoping Requirements relevant to the EMF include the following draft </w:t>
      </w:r>
      <w:r w:rsidR="00B42B03" w:rsidRPr="00F71523">
        <w:t>evaluation objective</w:t>
      </w:r>
      <w:r w:rsidRPr="00F71523">
        <w:t>:</w:t>
      </w:r>
    </w:p>
    <w:p w14:paraId="31CF2FEB" w14:textId="4BBF4101" w:rsidR="00EB543D" w:rsidRPr="00F71523" w:rsidRDefault="00EB543D" w:rsidP="00CB066E">
      <w:pPr>
        <w:pStyle w:val="BodyBullet1"/>
        <w:rPr>
          <w:rStyle w:val="CharacterStyle-Italic"/>
        </w:rPr>
      </w:pPr>
      <w:r w:rsidRPr="00F71523">
        <w:rPr>
          <w:rStyle w:val="CharacterStyle-Italic"/>
        </w:rPr>
        <w:t>Environmental Management Framework</w:t>
      </w:r>
      <w:r w:rsidR="00B91C36">
        <w:rPr>
          <w:rStyle w:val="CharacterStyle-Italic"/>
        </w:rPr>
        <w:t xml:space="preserve"> – </w:t>
      </w:r>
      <w:r w:rsidRPr="00F71523">
        <w:rPr>
          <w:rStyle w:val="CharacterStyle-Italic"/>
        </w:rPr>
        <w:t>To provide a transparent framework with clear accountabilities for managing environmental effects and hazards associated with construction and operation phases of the project, in order to achieve acceptable environmental outcomes</w:t>
      </w:r>
      <w:r w:rsidR="004E78F0" w:rsidRPr="00F71523">
        <w:rPr>
          <w:rStyle w:val="CharacterStyle-Italic"/>
        </w:rPr>
        <w:t>.</w:t>
      </w:r>
    </w:p>
    <w:p w14:paraId="746E2B40" w14:textId="77777777" w:rsidR="00EB543D" w:rsidRPr="00F71523" w:rsidRDefault="00EB543D" w:rsidP="009631F9">
      <w:pPr>
        <w:pStyle w:val="BodyText"/>
        <w:ind w:right="-170"/>
      </w:pPr>
      <w:r w:rsidRPr="00F71523">
        <w:t>The EMF outlined in this chapter addresses this objective in the following sections:</w:t>
      </w:r>
    </w:p>
    <w:p w14:paraId="417E3122" w14:textId="77777777" w:rsidR="00EB543D" w:rsidRPr="00F71523" w:rsidRDefault="00EB543D" w:rsidP="00FD6755">
      <w:pPr>
        <w:pStyle w:val="BodyBullet1"/>
      </w:pPr>
      <w:r w:rsidRPr="00F71523">
        <w:t>Governance framework and roles and responsibilities to provide a transparent framework for accountability (</w:t>
      </w:r>
      <w:r w:rsidR="00C96C5C" w:rsidRPr="00F71523">
        <w:t xml:space="preserve">Section </w:t>
      </w:r>
      <w:r w:rsidR="00C96C5C" w:rsidRPr="00F71523">
        <w:fldChar w:fldCharType="begin"/>
      </w:r>
      <w:r w:rsidR="00C96C5C" w:rsidRPr="00F71523">
        <w:instrText xml:space="preserve"> REF _Ref447512791 \w \h </w:instrText>
      </w:r>
      <w:r w:rsidR="00C96C5C" w:rsidRPr="00F71523">
        <w:fldChar w:fldCharType="separate"/>
      </w:r>
      <w:r w:rsidR="002F5366">
        <w:rPr>
          <w:cs/>
        </w:rPr>
        <w:t>‎</w:t>
      </w:r>
      <w:r w:rsidR="002F5366">
        <w:t>23.3</w:t>
      </w:r>
      <w:r w:rsidR="00C96C5C" w:rsidRPr="00F71523">
        <w:fldChar w:fldCharType="end"/>
      </w:r>
      <w:r w:rsidRPr="00F71523">
        <w:t xml:space="preserve"> and </w:t>
      </w:r>
      <w:r w:rsidR="00C96C5C" w:rsidRPr="00F71523">
        <w:fldChar w:fldCharType="begin"/>
      </w:r>
      <w:r w:rsidR="00C96C5C" w:rsidRPr="00F71523">
        <w:instrText xml:space="preserve"> REF _Ref447512813 \w \h </w:instrText>
      </w:r>
      <w:r w:rsidR="00C96C5C" w:rsidRPr="00F71523">
        <w:fldChar w:fldCharType="separate"/>
      </w:r>
      <w:r w:rsidR="002F5366">
        <w:rPr>
          <w:cs/>
        </w:rPr>
        <w:t>‎</w:t>
      </w:r>
      <w:r w:rsidR="002F5366">
        <w:t>23.4</w:t>
      </w:r>
      <w:r w:rsidR="00C96C5C" w:rsidRPr="00F71523">
        <w:fldChar w:fldCharType="end"/>
      </w:r>
      <w:r w:rsidRPr="00F71523">
        <w:t>)</w:t>
      </w:r>
    </w:p>
    <w:p w14:paraId="212FBAFF" w14:textId="77777777" w:rsidR="00EB543D" w:rsidRPr="00F71523" w:rsidRDefault="00EB543D" w:rsidP="00FD6755">
      <w:pPr>
        <w:pStyle w:val="BodyBullet1"/>
      </w:pPr>
      <w:r w:rsidRPr="00F71523">
        <w:t xml:space="preserve">Environmental risk and impact assessment for identifying potential environmental effects and hazards to be managed (Section </w:t>
      </w:r>
      <w:r w:rsidR="00C96C5C" w:rsidRPr="00F71523">
        <w:fldChar w:fldCharType="begin"/>
      </w:r>
      <w:r w:rsidR="00C96C5C" w:rsidRPr="00F71523">
        <w:instrText xml:space="preserve"> REF _Ref447512824 \w \h </w:instrText>
      </w:r>
      <w:r w:rsidR="00C96C5C" w:rsidRPr="00F71523">
        <w:fldChar w:fldCharType="separate"/>
      </w:r>
      <w:r w:rsidR="002F5366">
        <w:rPr>
          <w:cs/>
        </w:rPr>
        <w:t>‎</w:t>
      </w:r>
      <w:r w:rsidR="002F5366">
        <w:t>23.5</w:t>
      </w:r>
      <w:r w:rsidR="00C96C5C" w:rsidRPr="00F71523">
        <w:fldChar w:fldCharType="end"/>
      </w:r>
      <w:r w:rsidRPr="00F71523">
        <w:t>)</w:t>
      </w:r>
    </w:p>
    <w:p w14:paraId="3F2593B7" w14:textId="5EF349CA" w:rsidR="00EB543D" w:rsidRPr="00F71523" w:rsidRDefault="00250B7A" w:rsidP="00FD6755">
      <w:pPr>
        <w:pStyle w:val="BodyBullet1"/>
      </w:pPr>
      <w:r>
        <w:t xml:space="preserve">Recommended </w:t>
      </w:r>
      <w:r w:rsidR="00EB543D" w:rsidRPr="00F71523">
        <w:t xml:space="preserve">Environmental Performance Requirements to achieve acceptable environmental outcomes (Section </w:t>
      </w:r>
      <w:r w:rsidR="00C96C5C" w:rsidRPr="00F71523">
        <w:fldChar w:fldCharType="begin"/>
      </w:r>
      <w:r w:rsidR="00C96C5C" w:rsidRPr="00F71523">
        <w:instrText xml:space="preserve"> REF _Ref447512835 \w \h </w:instrText>
      </w:r>
      <w:r w:rsidR="00C96C5C" w:rsidRPr="00F71523">
        <w:fldChar w:fldCharType="separate"/>
      </w:r>
      <w:r w:rsidR="002F5366">
        <w:rPr>
          <w:cs/>
        </w:rPr>
        <w:t>‎</w:t>
      </w:r>
      <w:r w:rsidR="002F5366">
        <w:t>23.6</w:t>
      </w:r>
      <w:r w:rsidR="00C96C5C" w:rsidRPr="00F71523">
        <w:fldChar w:fldCharType="end"/>
      </w:r>
      <w:r w:rsidR="00EB543D" w:rsidRPr="00F71523">
        <w:t>)</w:t>
      </w:r>
    </w:p>
    <w:p w14:paraId="1FA0AD79" w14:textId="1FC65476" w:rsidR="00EB543D" w:rsidRPr="00F71523" w:rsidRDefault="00EB543D" w:rsidP="009631F9">
      <w:pPr>
        <w:pStyle w:val="BodyBullet1"/>
        <w:ind w:right="-170"/>
      </w:pPr>
      <w:r w:rsidRPr="00F71523">
        <w:t xml:space="preserve">Document hierarchy to outline how the EMF </w:t>
      </w:r>
      <w:r w:rsidR="004A24BF">
        <w:t>would</w:t>
      </w:r>
      <w:r w:rsidR="004A24BF" w:rsidRPr="00F71523">
        <w:t xml:space="preserve"> </w:t>
      </w:r>
      <w:r w:rsidRPr="00F71523">
        <w:t xml:space="preserve">be implemented (Section </w:t>
      </w:r>
      <w:r w:rsidR="00C96C5C" w:rsidRPr="00F71523">
        <w:fldChar w:fldCharType="begin"/>
      </w:r>
      <w:r w:rsidR="00C96C5C" w:rsidRPr="00F71523">
        <w:instrText xml:space="preserve"> REF _Ref446407745 \w \h </w:instrText>
      </w:r>
      <w:r w:rsidR="00C96C5C" w:rsidRPr="00F71523">
        <w:fldChar w:fldCharType="separate"/>
      </w:r>
      <w:r w:rsidR="002F5366">
        <w:rPr>
          <w:cs/>
        </w:rPr>
        <w:t>‎</w:t>
      </w:r>
      <w:r w:rsidR="002F5366">
        <w:t>23.7</w:t>
      </w:r>
      <w:r w:rsidR="00C96C5C" w:rsidRPr="00F71523">
        <w:fldChar w:fldCharType="end"/>
      </w:r>
      <w:r w:rsidRPr="00F71523">
        <w:t>)</w:t>
      </w:r>
    </w:p>
    <w:p w14:paraId="722BB433" w14:textId="56C0C653" w:rsidR="00EB543D" w:rsidRPr="00F71523" w:rsidRDefault="00EB543D" w:rsidP="00FD6755">
      <w:pPr>
        <w:pStyle w:val="BodyBullet1"/>
      </w:pPr>
      <w:r w:rsidRPr="00F71523">
        <w:lastRenderedPageBreak/>
        <w:t xml:space="preserve">Environmental </w:t>
      </w:r>
      <w:r w:rsidR="00E721ED" w:rsidRPr="00F71523">
        <w:t>Management S</w:t>
      </w:r>
      <w:r w:rsidRPr="00F71523">
        <w:t xml:space="preserve">ystem for achieving compliance with </w:t>
      </w:r>
      <w:r w:rsidR="00250B7A">
        <w:t>CEMPs</w:t>
      </w:r>
      <w:r w:rsidRPr="00F71523">
        <w:t xml:space="preserve"> (Section </w:t>
      </w:r>
      <w:r w:rsidR="00C96C5C" w:rsidRPr="00F71523">
        <w:fldChar w:fldCharType="begin"/>
      </w:r>
      <w:r w:rsidR="00C96C5C" w:rsidRPr="00F71523">
        <w:instrText xml:space="preserve"> REF _Ref447512857 \w \h </w:instrText>
      </w:r>
      <w:r w:rsidR="00C96C5C" w:rsidRPr="00F71523">
        <w:fldChar w:fldCharType="separate"/>
      </w:r>
      <w:r w:rsidR="002F5366">
        <w:rPr>
          <w:cs/>
        </w:rPr>
        <w:t>‎</w:t>
      </w:r>
      <w:r w:rsidR="002F5366">
        <w:t>23.7.1</w:t>
      </w:r>
      <w:r w:rsidR="00C96C5C" w:rsidRPr="00F71523">
        <w:fldChar w:fldCharType="end"/>
      </w:r>
      <w:r w:rsidRPr="00F71523">
        <w:t>)</w:t>
      </w:r>
    </w:p>
    <w:p w14:paraId="5BB7E976" w14:textId="77777777" w:rsidR="004B2558" w:rsidRDefault="00EB543D" w:rsidP="00FD6755">
      <w:pPr>
        <w:pStyle w:val="BodyBullet1"/>
      </w:pPr>
      <w:r w:rsidRPr="00F71523">
        <w:t xml:space="preserve">Evaluation and compliance requirements, including monitoring, reporting and auditing (Section </w:t>
      </w:r>
      <w:r w:rsidR="00C96C5C" w:rsidRPr="00F71523">
        <w:fldChar w:fldCharType="begin"/>
      </w:r>
      <w:r w:rsidR="00C96C5C" w:rsidRPr="00F71523">
        <w:instrText xml:space="preserve"> REF _Ref447512870 \w \h </w:instrText>
      </w:r>
      <w:r w:rsidR="00C96C5C" w:rsidRPr="00F71523">
        <w:fldChar w:fldCharType="separate"/>
      </w:r>
      <w:r w:rsidR="002F5366">
        <w:rPr>
          <w:cs/>
        </w:rPr>
        <w:t>‎</w:t>
      </w:r>
      <w:r w:rsidR="002F5366">
        <w:t>23.8</w:t>
      </w:r>
      <w:r w:rsidR="00C96C5C" w:rsidRPr="00F71523">
        <w:fldChar w:fldCharType="end"/>
      </w:r>
      <w:r w:rsidRPr="00F71523">
        <w:t>)</w:t>
      </w:r>
    </w:p>
    <w:p w14:paraId="11AD000B" w14:textId="21115961" w:rsidR="00EB543D" w:rsidRPr="00F71523" w:rsidRDefault="004B2558" w:rsidP="004B2558">
      <w:pPr>
        <w:pStyle w:val="BodyBullet1"/>
      </w:pPr>
      <w:r>
        <w:t xml:space="preserve">Contingency </w:t>
      </w:r>
      <w:r w:rsidRPr="004B2558">
        <w:t>measures to address identified environmental, social and business risks during const</w:t>
      </w:r>
      <w:r>
        <w:t xml:space="preserve">ruction and operational phases (Section </w:t>
      </w:r>
      <w:r>
        <w:fldChar w:fldCharType="begin"/>
      </w:r>
      <w:r>
        <w:instrText xml:space="preserve"> REF _Ref450507826 \r \h </w:instrText>
      </w:r>
      <w:r>
        <w:fldChar w:fldCharType="separate"/>
      </w:r>
      <w:r w:rsidR="002F5366">
        <w:rPr>
          <w:cs/>
        </w:rPr>
        <w:t>‎</w:t>
      </w:r>
      <w:r w:rsidR="002F5366">
        <w:t>23.9</w:t>
      </w:r>
      <w:r>
        <w:fldChar w:fldCharType="end"/>
      </w:r>
      <w:r>
        <w:t>)</w:t>
      </w:r>
      <w:r w:rsidR="00EB543D" w:rsidRPr="00F71523">
        <w:t>.</w:t>
      </w:r>
    </w:p>
    <w:p w14:paraId="34E74EAF" w14:textId="77777777" w:rsidR="00EB543D" w:rsidRPr="00F71523" w:rsidRDefault="00EB543D" w:rsidP="00FD6755">
      <w:pPr>
        <w:pStyle w:val="Heading2"/>
      </w:pPr>
      <w:bookmarkStart w:id="6" w:name="_Ref447512791"/>
      <w:bookmarkStart w:id="7" w:name="_Toc450895085"/>
      <w:r w:rsidRPr="00F71523">
        <w:t>Governance Framework</w:t>
      </w:r>
      <w:bookmarkEnd w:id="6"/>
      <w:bookmarkEnd w:id="7"/>
    </w:p>
    <w:p w14:paraId="28C25B41" w14:textId="1783E27B" w:rsidR="00EB543D" w:rsidRPr="00F71523" w:rsidRDefault="00EB543D" w:rsidP="00EB543D">
      <w:pPr>
        <w:pStyle w:val="BodyText"/>
      </w:pPr>
      <w:r w:rsidRPr="00F71523">
        <w:t xml:space="preserve">As discussed in Chapter 1, the Victorian Government has announced the procurement strategy </w:t>
      </w:r>
      <w:r w:rsidR="00B91C36">
        <w:t xml:space="preserve">for </w:t>
      </w:r>
      <w:r w:rsidR="00B91C36" w:rsidRPr="00F71523">
        <w:t>Melbourne Metro</w:t>
      </w:r>
      <w:r w:rsidR="00B91C36">
        <w:t xml:space="preserve">, </w:t>
      </w:r>
      <w:r w:rsidRPr="00F71523">
        <w:t xml:space="preserve">which is structured </w:t>
      </w:r>
      <w:r w:rsidR="00B91C36">
        <w:t xml:space="preserve">around </w:t>
      </w:r>
      <w:r w:rsidRPr="00F71523">
        <w:t>four works</w:t>
      </w:r>
      <w:r w:rsidR="009631F9">
        <w:t> </w:t>
      </w:r>
      <w:r w:rsidRPr="00F71523">
        <w:t>packages:</w:t>
      </w:r>
    </w:p>
    <w:p w14:paraId="4333919F" w14:textId="5CB688F9" w:rsidR="00EB543D" w:rsidRPr="00F71523" w:rsidRDefault="00EB543D" w:rsidP="00FD6755">
      <w:pPr>
        <w:pStyle w:val="BodyBullet1"/>
      </w:pPr>
      <w:r w:rsidRPr="00F71523">
        <w:t xml:space="preserve">A Managing Contractor for </w:t>
      </w:r>
      <w:r w:rsidR="00250B7A">
        <w:t>e</w:t>
      </w:r>
      <w:r w:rsidRPr="00F71523">
        <w:t xml:space="preserve">arly </w:t>
      </w:r>
      <w:r w:rsidR="00250B7A">
        <w:t>w</w:t>
      </w:r>
      <w:r w:rsidRPr="00F71523">
        <w:t>orks together with procurement by Utility Service Providers and Yarra Trams</w:t>
      </w:r>
    </w:p>
    <w:p w14:paraId="2C6665C4" w14:textId="77777777" w:rsidR="00EB543D" w:rsidRPr="00F71523" w:rsidRDefault="00EB543D" w:rsidP="00FD6755">
      <w:pPr>
        <w:pStyle w:val="BodyBullet1"/>
      </w:pPr>
      <w:r w:rsidRPr="00F71523">
        <w:t>An Availability Public Private Partnership (PPP) for the tunnels and stations</w:t>
      </w:r>
    </w:p>
    <w:p w14:paraId="6F5AE458" w14:textId="77777777" w:rsidR="00EB543D" w:rsidRPr="00F71523" w:rsidRDefault="00EB543D" w:rsidP="00FD6755">
      <w:pPr>
        <w:pStyle w:val="BodyBullet1"/>
      </w:pPr>
      <w:r w:rsidRPr="00F71523">
        <w:t xml:space="preserve">Competitive alliance for rail infrastructure associated with </w:t>
      </w:r>
      <w:r w:rsidR="00E75ECF" w:rsidRPr="00F71523">
        <w:t>the eastern and western portals</w:t>
      </w:r>
      <w:r w:rsidR="00482EE3" w:rsidRPr="00F71523">
        <w:t xml:space="preserve"> and the western </w:t>
      </w:r>
      <w:proofErr w:type="spellStart"/>
      <w:r w:rsidR="00482EE3" w:rsidRPr="00F71523">
        <w:t>turnback</w:t>
      </w:r>
      <w:proofErr w:type="spellEnd"/>
    </w:p>
    <w:p w14:paraId="0CF70380" w14:textId="77777777" w:rsidR="00EB543D" w:rsidRPr="00F71523" w:rsidRDefault="00EB543D" w:rsidP="00FD6755">
      <w:pPr>
        <w:pStyle w:val="BodyBullet1"/>
      </w:pPr>
      <w:r w:rsidRPr="00F71523">
        <w:t xml:space="preserve">Competitive alliance for rail systems for high capacity signalling, rail systems integration and commissioning </w:t>
      </w:r>
      <w:r w:rsidR="00482EE3" w:rsidRPr="00F71523">
        <w:t>(outside the scope of the EES).</w:t>
      </w:r>
    </w:p>
    <w:p w14:paraId="7B4DFEF7" w14:textId="22746DF0" w:rsidR="00EB543D" w:rsidRPr="00F71523" w:rsidRDefault="00EB543D" w:rsidP="009631F9">
      <w:pPr>
        <w:pStyle w:val="BodyText"/>
        <w:ind w:right="-227"/>
      </w:pPr>
      <w:r w:rsidRPr="00F71523">
        <w:t xml:space="preserve">For each works package, a </w:t>
      </w:r>
      <w:r w:rsidR="0086608F">
        <w:t>c</w:t>
      </w:r>
      <w:r w:rsidRPr="00F71523">
        <w:t xml:space="preserve">ontractor would be appointed under the contractual framework applicable to the respective procurement model (Project </w:t>
      </w:r>
      <w:r w:rsidR="00003F9E" w:rsidRPr="00F71523">
        <w:t>Contract</w:t>
      </w:r>
      <w:r w:rsidRPr="00F71523">
        <w:t>). MMRA would administer each Project</w:t>
      </w:r>
      <w:r w:rsidR="00003F9E" w:rsidRPr="00F71523">
        <w:t xml:space="preserve"> Contract</w:t>
      </w:r>
      <w:r w:rsidRPr="00F71523">
        <w:t xml:space="preserve"> on behalf of the State Government. </w:t>
      </w:r>
    </w:p>
    <w:p w14:paraId="7A3B5625" w14:textId="0E693F07" w:rsidR="00EB543D" w:rsidRPr="00F71523" w:rsidRDefault="00EB543D" w:rsidP="00EB543D">
      <w:pPr>
        <w:pStyle w:val="BodyText"/>
      </w:pPr>
      <w:r w:rsidRPr="00F71523">
        <w:t xml:space="preserve">Project </w:t>
      </w:r>
      <w:r w:rsidR="00B17076" w:rsidRPr="00F71523">
        <w:t>Contracts</w:t>
      </w:r>
      <w:r w:rsidRPr="00F71523">
        <w:t xml:space="preserve"> would detail the applicable </w:t>
      </w:r>
      <w:r w:rsidR="0086608F">
        <w:t>c</w:t>
      </w:r>
      <w:r w:rsidRPr="00F71523">
        <w:t xml:space="preserve">ontractor’s obligations for delivery of the relevant works. Project </w:t>
      </w:r>
      <w:r w:rsidR="00B17076" w:rsidRPr="00F71523">
        <w:t>Contracts</w:t>
      </w:r>
      <w:r w:rsidRPr="00F71523">
        <w:t xml:space="preserve"> would require each </w:t>
      </w:r>
      <w:r w:rsidR="0086608F">
        <w:t>c</w:t>
      </w:r>
      <w:r w:rsidRPr="00F71523">
        <w:t>ontractor to:</w:t>
      </w:r>
    </w:p>
    <w:p w14:paraId="5164B291" w14:textId="77777777" w:rsidR="00EB543D" w:rsidRPr="00F71523" w:rsidRDefault="00EB543D" w:rsidP="00FD6755">
      <w:pPr>
        <w:pStyle w:val="BodyBullet1"/>
      </w:pPr>
      <w:r w:rsidRPr="00F71523">
        <w:t>Comply with the EMF</w:t>
      </w:r>
    </w:p>
    <w:p w14:paraId="1F233886" w14:textId="77777777" w:rsidR="00EB543D" w:rsidRPr="00F71523" w:rsidRDefault="00EB543D" w:rsidP="00FD6755">
      <w:pPr>
        <w:pStyle w:val="BodyBullet1"/>
      </w:pPr>
      <w:r w:rsidRPr="00F71523">
        <w:t>Comply with the Environmental Performance Requirements</w:t>
      </w:r>
      <w:r w:rsidR="004E78F0" w:rsidRPr="00F71523">
        <w:t xml:space="preserve"> </w:t>
      </w:r>
    </w:p>
    <w:p w14:paraId="253C29F9" w14:textId="61B19178" w:rsidR="00EB543D" w:rsidRPr="00F71523" w:rsidRDefault="00EB543D" w:rsidP="00FD6755">
      <w:pPr>
        <w:pStyle w:val="BodyBullet1"/>
      </w:pPr>
      <w:r w:rsidRPr="00F71523">
        <w:t xml:space="preserve">Comply with the </w:t>
      </w:r>
      <w:r w:rsidR="00616BFE">
        <w:t xml:space="preserve">MMRA </w:t>
      </w:r>
      <w:r w:rsidRPr="00F71523">
        <w:t xml:space="preserve">EMS </w:t>
      </w:r>
    </w:p>
    <w:p w14:paraId="1022FF44" w14:textId="7426A0B3" w:rsidR="00EB543D" w:rsidRDefault="00EB543D" w:rsidP="00FD6755">
      <w:pPr>
        <w:pStyle w:val="BodyBullet1"/>
      </w:pPr>
      <w:r w:rsidRPr="00F71523">
        <w:t>Develop, implement and maintain a</w:t>
      </w:r>
      <w:r w:rsidR="00616BFE">
        <w:t xml:space="preserve"> project specific</w:t>
      </w:r>
      <w:r w:rsidRPr="00F71523">
        <w:t xml:space="preserve"> EMS, CEMP for the </w:t>
      </w:r>
      <w:r w:rsidR="00E75ECF" w:rsidRPr="00F71523">
        <w:t xml:space="preserve">project </w:t>
      </w:r>
      <w:r w:rsidRPr="00F71523">
        <w:t>and site Specific Environmental Implementation Plans (SEIPs) for the design and construction phases, where applicable.</w:t>
      </w:r>
    </w:p>
    <w:p w14:paraId="19A7A732" w14:textId="449FCFF8" w:rsidR="001D594A" w:rsidRPr="00F71523" w:rsidRDefault="001D594A" w:rsidP="00CB066E">
      <w:pPr>
        <w:pStyle w:val="BodyText"/>
      </w:pPr>
      <w:r>
        <w:t xml:space="preserve">The </w:t>
      </w:r>
      <w:r w:rsidR="00C63B47">
        <w:t xml:space="preserve">PPP </w:t>
      </w:r>
      <w:r>
        <w:t xml:space="preserve">contractor would also have to develop, implement and maintain an OEMP for the </w:t>
      </w:r>
      <w:r w:rsidR="00C63B47">
        <w:t xml:space="preserve">elements of the </w:t>
      </w:r>
      <w:r>
        <w:t>infrastructure</w:t>
      </w:r>
      <w:r w:rsidR="00C63B47">
        <w:t xml:space="preserve"> </w:t>
      </w:r>
      <w:r w:rsidR="001A56F8">
        <w:t xml:space="preserve">for which </w:t>
      </w:r>
      <w:r w:rsidR="00C63B47">
        <w:t>they would be responsible</w:t>
      </w:r>
      <w:r w:rsidR="001A56F8">
        <w:t>.</w:t>
      </w:r>
    </w:p>
    <w:p w14:paraId="29A783F5" w14:textId="7E419CF0" w:rsidR="00E8345F" w:rsidRPr="00F71523" w:rsidRDefault="00EB543D" w:rsidP="00EB543D">
      <w:pPr>
        <w:pStyle w:val="BodyText"/>
      </w:pPr>
      <w:r w:rsidRPr="00F71523">
        <w:t xml:space="preserve">The governance framework for </w:t>
      </w:r>
      <w:r w:rsidR="00E721ED" w:rsidRPr="00F71523">
        <w:t xml:space="preserve">Melbourne Metro </w:t>
      </w:r>
      <w:r w:rsidRPr="00F71523">
        <w:t xml:space="preserve">is presented in </w:t>
      </w:r>
      <w:r w:rsidR="00FD6755" w:rsidRPr="00F71523">
        <w:fldChar w:fldCharType="begin"/>
      </w:r>
      <w:r w:rsidR="00FD6755" w:rsidRPr="00F71523">
        <w:instrText xml:space="preserve"> REF _Ref444487862 \h </w:instrText>
      </w:r>
      <w:r w:rsidR="00FD6755" w:rsidRPr="00F71523">
        <w:fldChar w:fldCharType="separate"/>
      </w:r>
      <w:r w:rsidR="002F5366" w:rsidRPr="00F71523">
        <w:t>Figure </w:t>
      </w:r>
      <w:r w:rsidR="002F5366">
        <w:rPr>
          <w:noProof/>
          <w:cs/>
        </w:rPr>
        <w:t>‎</w:t>
      </w:r>
      <w:r w:rsidR="002F5366">
        <w:rPr>
          <w:noProof/>
        </w:rPr>
        <w:t>23</w:t>
      </w:r>
      <w:r w:rsidR="002F5366" w:rsidRPr="00F71523">
        <w:noBreakHyphen/>
      </w:r>
      <w:r w:rsidR="002F5366">
        <w:rPr>
          <w:noProof/>
        </w:rPr>
        <w:t>2</w:t>
      </w:r>
      <w:r w:rsidR="00FD6755" w:rsidRPr="00F71523">
        <w:fldChar w:fldCharType="end"/>
      </w:r>
      <w:r w:rsidRPr="00F71523">
        <w:t>.</w:t>
      </w:r>
    </w:p>
    <w:p w14:paraId="1A7E26F2" w14:textId="77777777" w:rsidR="00D5712B" w:rsidRPr="00F71523" w:rsidRDefault="00FD6755" w:rsidP="00D80EEF">
      <w:pPr>
        <w:pStyle w:val="Caption"/>
      </w:pPr>
      <w:bookmarkStart w:id="8" w:name="_Ref444487862"/>
      <w:r w:rsidRPr="00F71523">
        <w:lastRenderedPageBreak/>
        <w:t>Figure </w:t>
      </w:r>
      <w:fldSimple w:instr=" STYLEREF 1 \s ">
        <w:r w:rsidR="002F5366">
          <w:rPr>
            <w:noProof/>
            <w:cs/>
          </w:rPr>
          <w:t>‎</w:t>
        </w:r>
        <w:r w:rsidR="002F5366">
          <w:rPr>
            <w:noProof/>
          </w:rPr>
          <w:t>23</w:t>
        </w:r>
      </w:fldSimple>
      <w:r w:rsidR="00E6554C" w:rsidRPr="00F71523">
        <w:noBreakHyphen/>
      </w:r>
      <w:fldSimple w:instr=" SEQ Figure \* ARABIC \s 1 ">
        <w:r w:rsidR="002F5366">
          <w:rPr>
            <w:noProof/>
          </w:rPr>
          <w:t>2</w:t>
        </w:r>
      </w:fldSimple>
      <w:bookmarkEnd w:id="8"/>
      <w:r w:rsidRPr="00F71523">
        <w:tab/>
        <w:t>Governance framework</w:t>
      </w:r>
    </w:p>
    <w:p w14:paraId="74A8DCB1" w14:textId="0E70D6C7" w:rsidR="00FD6755" w:rsidRPr="00F71523" w:rsidRDefault="005D15E1" w:rsidP="00457BDE">
      <w:pPr>
        <w:pStyle w:val="Object"/>
        <w:jc w:val="center"/>
      </w:pPr>
      <w:r w:rsidRPr="005D15E1">
        <w:rPr>
          <w:noProof/>
          <w:lang w:eastAsia="en-AU"/>
        </w:rPr>
        <w:drawing>
          <wp:inline distT="0" distB="0" distL="0" distR="0" wp14:anchorId="10800CAC" wp14:editId="6B8F3106">
            <wp:extent cx="2998470" cy="481647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98470" cy="4816475"/>
                    </a:xfrm>
                    <a:prstGeom prst="rect">
                      <a:avLst/>
                    </a:prstGeom>
                    <a:noFill/>
                    <a:ln>
                      <a:noFill/>
                    </a:ln>
                  </pic:spPr>
                </pic:pic>
              </a:graphicData>
            </a:graphic>
          </wp:inline>
        </w:drawing>
      </w:r>
    </w:p>
    <w:p w14:paraId="7F01A3F3" w14:textId="67ABC7D8" w:rsidR="001D594A" w:rsidRDefault="001D594A" w:rsidP="00FD6755">
      <w:pPr>
        <w:pStyle w:val="BodyText"/>
      </w:pPr>
      <w:r w:rsidRPr="001D594A">
        <w:t xml:space="preserve">A description of each procurement package is provided in </w:t>
      </w:r>
      <w:r w:rsidR="00C63B47">
        <w:t xml:space="preserve">Table 1-3 of </w:t>
      </w:r>
      <w:r w:rsidRPr="001D594A">
        <w:t xml:space="preserve">Chapter 1 </w:t>
      </w:r>
      <w:r w:rsidRPr="00CB066E">
        <w:rPr>
          <w:i/>
        </w:rPr>
        <w:t>Introduction</w:t>
      </w:r>
      <w:r w:rsidRPr="001D594A">
        <w:t xml:space="preserve"> of this EES. The Rail Systems and Rail Infrastructure Alliances are proposed to include wider network works that have not been assessed in this EES and for which assessment and approvals would be undertaken separately. </w:t>
      </w:r>
    </w:p>
    <w:p w14:paraId="0D2756C8" w14:textId="68ACAD25" w:rsidR="00FD6755" w:rsidRPr="00F71523" w:rsidRDefault="00FD6755" w:rsidP="00FD6755">
      <w:pPr>
        <w:pStyle w:val="BodyText"/>
      </w:pPr>
      <w:r w:rsidRPr="00F71523">
        <w:t xml:space="preserve">The procurement process for each works package would include the requirement for bidders to develop </w:t>
      </w:r>
      <w:proofErr w:type="gramStart"/>
      <w:r w:rsidRPr="00F71523">
        <w:t>outline</w:t>
      </w:r>
      <w:proofErr w:type="gramEnd"/>
      <w:r w:rsidRPr="00F71523">
        <w:t xml:space="preserve"> EMPs</w:t>
      </w:r>
      <w:r w:rsidR="00B17076" w:rsidRPr="00F71523">
        <w:t xml:space="preserve"> (as part of the bid submission)</w:t>
      </w:r>
      <w:r w:rsidRPr="00F71523">
        <w:t xml:space="preserve"> for construction </w:t>
      </w:r>
      <w:r w:rsidR="001D594A">
        <w:t>and operation (for tunnels and stations)</w:t>
      </w:r>
      <w:r w:rsidR="00B91C36">
        <w:t xml:space="preserve">. These outline EMPs would enable </w:t>
      </w:r>
      <w:r w:rsidRPr="00F71523">
        <w:t xml:space="preserve">the </w:t>
      </w:r>
      <w:r w:rsidR="0086608F">
        <w:t>c</w:t>
      </w:r>
      <w:r w:rsidRPr="00F71523">
        <w:t>ontractor</w:t>
      </w:r>
      <w:r w:rsidR="00B91C36">
        <w:t>s</w:t>
      </w:r>
      <w:r w:rsidRPr="00F71523">
        <w:t xml:space="preserve"> to demonstrate their approach to achieving compliance with the EMF. MMRA would review and assess the outline EMPs against the requirements of the EMF.</w:t>
      </w:r>
    </w:p>
    <w:p w14:paraId="50D4EB5A" w14:textId="4A57EE5A" w:rsidR="001D594A" w:rsidRDefault="001D594A" w:rsidP="001D594A">
      <w:pPr>
        <w:pStyle w:val="BodyText"/>
      </w:pPr>
      <w:r>
        <w:t xml:space="preserve">Following </w:t>
      </w:r>
      <w:r w:rsidR="00B17076" w:rsidRPr="00F71523">
        <w:t xml:space="preserve">contract </w:t>
      </w:r>
      <w:r>
        <w:t>award</w:t>
      </w:r>
      <w:r w:rsidR="00B17076" w:rsidRPr="00F71523">
        <w:t xml:space="preserve"> and prior to construction commencing, t</w:t>
      </w:r>
      <w:r w:rsidR="00FD6755" w:rsidRPr="00F71523">
        <w:t xml:space="preserve">he successful </w:t>
      </w:r>
      <w:r w:rsidR="0086608F">
        <w:t>c</w:t>
      </w:r>
      <w:r w:rsidR="00FD6755" w:rsidRPr="00F71523">
        <w:t>ontractors would be required to develop and implement a project specific EMS and CEMP to meet the requirements of this EMF</w:t>
      </w:r>
      <w:r w:rsidR="00616BFE">
        <w:t xml:space="preserve"> and the MMRA EMS</w:t>
      </w:r>
      <w:r w:rsidR="00FD6755" w:rsidRPr="00F71523">
        <w:t xml:space="preserve">. </w:t>
      </w:r>
      <w:r>
        <w:t xml:space="preserve">The successful PPP contractor would maintain </w:t>
      </w:r>
      <w:r w:rsidR="00C63B47">
        <w:t xml:space="preserve">elements </w:t>
      </w:r>
      <w:r>
        <w:t>of the infrastructure delivered for Melbourne Metro and would also have to develop and implement an OEMP to meet the requirements of the EMF.</w:t>
      </w:r>
    </w:p>
    <w:p w14:paraId="39390076" w14:textId="1533DB56" w:rsidR="00E90479" w:rsidRPr="00F71523" w:rsidRDefault="00FD6755" w:rsidP="00FD6755">
      <w:pPr>
        <w:pStyle w:val="BodyText"/>
      </w:pPr>
      <w:r w:rsidRPr="00F71523">
        <w:lastRenderedPageBreak/>
        <w:t>The EMS</w:t>
      </w:r>
      <w:r w:rsidR="001D594A">
        <w:t>,</w:t>
      </w:r>
      <w:r w:rsidRPr="00F71523">
        <w:t xml:space="preserve"> CEMP </w:t>
      </w:r>
      <w:r w:rsidR="001D594A">
        <w:t xml:space="preserve">and OEMP </w:t>
      </w:r>
      <w:r w:rsidRPr="00F71523">
        <w:t xml:space="preserve">would describe in detail how the </w:t>
      </w:r>
      <w:r w:rsidR="0086608F">
        <w:t>c</w:t>
      </w:r>
      <w:r w:rsidRPr="00F71523">
        <w:t xml:space="preserve">ontractor would meet the </w:t>
      </w:r>
      <w:r w:rsidR="00250B7A">
        <w:t xml:space="preserve">approved </w:t>
      </w:r>
      <w:r w:rsidRPr="00F71523">
        <w:t>Environmen</w:t>
      </w:r>
      <w:r w:rsidR="007571B9" w:rsidRPr="00F71523">
        <w:t>tal Performance Requirements</w:t>
      </w:r>
      <w:r w:rsidRPr="00F71523">
        <w:t xml:space="preserve"> and approval conditions and identify, manage and mitigate environmental risks arising during </w:t>
      </w:r>
      <w:r w:rsidR="001D594A">
        <w:t xml:space="preserve">design, </w:t>
      </w:r>
      <w:r w:rsidRPr="00F71523">
        <w:t>construction and operation.</w:t>
      </w:r>
      <w:r w:rsidR="004E78F0" w:rsidRPr="00F71523">
        <w:t xml:space="preserve"> </w:t>
      </w:r>
      <w:r w:rsidR="00E90479" w:rsidRPr="00F71523">
        <w:t xml:space="preserve">Specific requirements for the </w:t>
      </w:r>
      <w:r w:rsidR="0086608F">
        <w:t>c</w:t>
      </w:r>
      <w:r w:rsidR="00E90479" w:rsidRPr="00F71523">
        <w:t xml:space="preserve">ontractor's documentation are outlined in Section </w:t>
      </w:r>
      <w:r w:rsidR="00E90479" w:rsidRPr="00F71523">
        <w:fldChar w:fldCharType="begin"/>
      </w:r>
      <w:r w:rsidR="00E90479" w:rsidRPr="00F71523">
        <w:instrText xml:space="preserve"> REF _Ref446407745 \w \h </w:instrText>
      </w:r>
      <w:r w:rsidR="00E90479" w:rsidRPr="00F71523">
        <w:fldChar w:fldCharType="separate"/>
      </w:r>
      <w:r w:rsidR="002F5366">
        <w:rPr>
          <w:cs/>
        </w:rPr>
        <w:t>‎</w:t>
      </w:r>
      <w:r w:rsidR="002F5366">
        <w:t>23.7</w:t>
      </w:r>
      <w:r w:rsidR="00E90479" w:rsidRPr="00F71523">
        <w:fldChar w:fldCharType="end"/>
      </w:r>
      <w:r w:rsidR="00E90479" w:rsidRPr="00F71523">
        <w:t>.</w:t>
      </w:r>
    </w:p>
    <w:p w14:paraId="5AD3857C" w14:textId="3772FE3D" w:rsidR="00E90479" w:rsidRPr="00F71523" w:rsidRDefault="00FD6755" w:rsidP="00FD6755">
      <w:pPr>
        <w:pStyle w:val="BodyText"/>
      </w:pPr>
      <w:r w:rsidRPr="00F71523">
        <w:t xml:space="preserve">MMRA would audit the </w:t>
      </w:r>
      <w:r w:rsidR="00250B7A">
        <w:t>e</w:t>
      </w:r>
      <w:r w:rsidRPr="00F71523">
        <w:t xml:space="preserve">arly </w:t>
      </w:r>
      <w:r w:rsidR="00250B7A">
        <w:t>w</w:t>
      </w:r>
      <w:r w:rsidRPr="00F71523">
        <w:t>orks contractors</w:t>
      </w:r>
      <w:r w:rsidR="00482EE3" w:rsidRPr="00F71523">
        <w:t xml:space="preserve"> and</w:t>
      </w:r>
      <w:r w:rsidRPr="00F71523">
        <w:t xml:space="preserve"> Rail Infrastructure Alliance</w:t>
      </w:r>
      <w:r w:rsidR="00E90479" w:rsidRPr="00F71523">
        <w:t xml:space="preserve"> to assess compliance with the Environmental Performance Requirements and conformance with the EMS and CEMPs</w:t>
      </w:r>
      <w:r w:rsidRPr="00F71523">
        <w:t xml:space="preserve">. </w:t>
      </w:r>
    </w:p>
    <w:p w14:paraId="7FB4BEFC" w14:textId="43165D84" w:rsidR="00FD6755" w:rsidRPr="00F71523" w:rsidRDefault="00FD6755" w:rsidP="00FD6755">
      <w:pPr>
        <w:pStyle w:val="BodyText"/>
      </w:pPr>
      <w:r w:rsidRPr="00F71523">
        <w:t xml:space="preserve">The auditing of the PPP </w:t>
      </w:r>
      <w:r w:rsidR="0086608F">
        <w:t>c</w:t>
      </w:r>
      <w:r w:rsidRPr="00F71523">
        <w:t>ontractor would be done independently, as is required for a PPP contract</w:t>
      </w:r>
      <w:r w:rsidR="00B91C36">
        <w:t>,</w:t>
      </w:r>
      <w:r w:rsidRPr="00F71523">
        <w:t xml:space="preserve"> and is described below</w:t>
      </w:r>
      <w:r w:rsidR="00837E29" w:rsidRPr="00F71523">
        <w:t>:</w:t>
      </w:r>
    </w:p>
    <w:p w14:paraId="540FBAB0" w14:textId="519028E0" w:rsidR="00E90479" w:rsidRPr="00F71523" w:rsidRDefault="00FD6755" w:rsidP="00BA6383">
      <w:pPr>
        <w:pStyle w:val="BodyBullet1"/>
      </w:pPr>
      <w:r w:rsidRPr="00F71523">
        <w:t xml:space="preserve">The PPP </w:t>
      </w:r>
      <w:r w:rsidR="00947F90">
        <w:t>c</w:t>
      </w:r>
      <w:r w:rsidRPr="00F71523">
        <w:t>ontract would have an Independent Reviewer and Ind</w:t>
      </w:r>
      <w:r w:rsidR="007571B9" w:rsidRPr="00F71523">
        <w:t xml:space="preserve">ependent </w:t>
      </w:r>
      <w:r w:rsidR="00E90479" w:rsidRPr="00F71523">
        <w:t xml:space="preserve">Environmental </w:t>
      </w:r>
      <w:r w:rsidR="007571B9" w:rsidRPr="00F71523">
        <w:t>Auditor</w:t>
      </w:r>
    </w:p>
    <w:p w14:paraId="7A79D690" w14:textId="227CF47D" w:rsidR="00FD6755" w:rsidRPr="00F71523" w:rsidRDefault="00FD6755" w:rsidP="00BA6383">
      <w:pPr>
        <w:pStyle w:val="BodyBullet1"/>
      </w:pPr>
      <w:r w:rsidRPr="00F71523">
        <w:t xml:space="preserve">An Independent Reviewer would be appointed jointly by MMRA and the PPP </w:t>
      </w:r>
      <w:r w:rsidR="0086608F">
        <w:t>c</w:t>
      </w:r>
      <w:r w:rsidRPr="00F71523">
        <w:t>ontractor to review the CEMP</w:t>
      </w:r>
      <w:r w:rsidR="001D594A">
        <w:t>, OEMP</w:t>
      </w:r>
      <w:r w:rsidRPr="00F71523">
        <w:t xml:space="preserve">, </w:t>
      </w:r>
      <w:r w:rsidR="0086608F">
        <w:t>c</w:t>
      </w:r>
      <w:r w:rsidRPr="00F71523">
        <w:t xml:space="preserve">ontractor documentation and environmental audit reports, and </w:t>
      </w:r>
      <w:r w:rsidR="00B91C36">
        <w:t xml:space="preserve">to </w:t>
      </w:r>
      <w:r w:rsidRPr="00F71523">
        <w:t xml:space="preserve">monitor the </w:t>
      </w:r>
      <w:r w:rsidR="0086608F">
        <w:t>c</w:t>
      </w:r>
      <w:r w:rsidRPr="00F71523">
        <w:t>ontra</w:t>
      </w:r>
      <w:r w:rsidR="00837E29" w:rsidRPr="00F71523">
        <w:t>ctor's compliance with the EMF</w:t>
      </w:r>
    </w:p>
    <w:p w14:paraId="2F295058" w14:textId="2EBC3475" w:rsidR="00FD6755" w:rsidRPr="00F71523" w:rsidRDefault="00FD6755" w:rsidP="00BA6383">
      <w:pPr>
        <w:pStyle w:val="BodyBullet1"/>
      </w:pPr>
      <w:r w:rsidRPr="00F71523">
        <w:t xml:space="preserve">An Independent </w:t>
      </w:r>
      <w:r w:rsidR="00E90479" w:rsidRPr="00F71523">
        <w:t xml:space="preserve">Environmental </w:t>
      </w:r>
      <w:r w:rsidRPr="00F71523">
        <w:t xml:space="preserve">Auditor would also be appointed </w:t>
      </w:r>
      <w:r w:rsidR="00E90479" w:rsidRPr="00F71523">
        <w:t>by</w:t>
      </w:r>
      <w:r w:rsidRPr="00F71523">
        <w:t xml:space="preserve"> the PPP </w:t>
      </w:r>
      <w:r w:rsidR="0086608F">
        <w:t>c</w:t>
      </w:r>
      <w:r w:rsidRPr="00F71523">
        <w:t>ontractor to undertake environmental audits of compliance with the approved CEMP</w:t>
      </w:r>
      <w:r w:rsidR="001D594A">
        <w:t>, OEMP</w:t>
      </w:r>
      <w:r w:rsidRPr="00F71523">
        <w:t xml:space="preserve"> and approval conditions. The </w:t>
      </w:r>
      <w:r w:rsidR="00482EE3" w:rsidRPr="00F71523">
        <w:t xml:space="preserve">Independent </w:t>
      </w:r>
      <w:r w:rsidR="00E90479" w:rsidRPr="00F71523">
        <w:t xml:space="preserve">Environmental </w:t>
      </w:r>
      <w:r w:rsidR="00482EE3" w:rsidRPr="00F71523">
        <w:t>A</w:t>
      </w:r>
      <w:r w:rsidRPr="00F71523">
        <w:t xml:space="preserve">uditor would be required to prepare audit reports and provide these to MMRA, the Independent Reviewer, the Minister for Planning and other </w:t>
      </w:r>
      <w:r w:rsidR="00482EE3" w:rsidRPr="00F71523">
        <w:t xml:space="preserve">Regulators </w:t>
      </w:r>
      <w:r w:rsidRPr="00F71523">
        <w:t>and agencies (as appropriate).</w:t>
      </w:r>
    </w:p>
    <w:p w14:paraId="5EFC0786" w14:textId="77777777" w:rsidR="00FD6755" w:rsidRPr="00F71523" w:rsidRDefault="00FD6755" w:rsidP="00FD6755">
      <w:pPr>
        <w:pStyle w:val="Heading2"/>
      </w:pPr>
      <w:bookmarkStart w:id="9" w:name="_Ref447512813"/>
      <w:bookmarkStart w:id="10" w:name="_Toc450895086"/>
      <w:r w:rsidRPr="00F71523">
        <w:t>Roles and Responsibilities</w:t>
      </w:r>
      <w:bookmarkEnd w:id="9"/>
      <w:bookmarkEnd w:id="10"/>
    </w:p>
    <w:p w14:paraId="05B98B6E" w14:textId="7DB97534" w:rsidR="00FD6755" w:rsidRPr="00F71523" w:rsidRDefault="00FD6755" w:rsidP="00FD6755">
      <w:pPr>
        <w:pStyle w:val="BodyText"/>
      </w:pPr>
      <w:r w:rsidRPr="00F71523">
        <w:t xml:space="preserve">MMRA, on behalf of the </w:t>
      </w:r>
      <w:r w:rsidR="00482EE3" w:rsidRPr="00F71523">
        <w:t>State Government</w:t>
      </w:r>
      <w:r w:rsidRPr="00F71523">
        <w:t xml:space="preserve">, is the proponent for this </w:t>
      </w:r>
      <w:r w:rsidR="00B91C36">
        <w:t>p</w:t>
      </w:r>
      <w:r w:rsidRPr="00F71523">
        <w:t xml:space="preserve">roject and is responsible for delivering </w:t>
      </w:r>
      <w:r w:rsidR="00482EE3" w:rsidRPr="00F71523">
        <w:t>Melbourne Metro</w:t>
      </w:r>
      <w:r w:rsidRPr="00F71523">
        <w:t xml:space="preserve"> by 2026, in line with the requirements and objectives of PTV and the Victorian Government.</w:t>
      </w:r>
    </w:p>
    <w:p w14:paraId="3A26B614" w14:textId="77777777" w:rsidR="00FD6755" w:rsidRPr="00F71523" w:rsidRDefault="00FD6755" w:rsidP="009631F9">
      <w:pPr>
        <w:pStyle w:val="BodyText"/>
        <w:ind w:right="-113"/>
      </w:pPr>
      <w:r w:rsidRPr="00F71523">
        <w:t xml:space="preserve">MMRA is an Administrative Office established under the Office of the Coordinator General and is one of several agencies assisting the State Government to achieve its integrated transport policy objectives. The MMRA Chief Executive Officer is accountable to the Minister for Public Transport, reporting to the Secretary of the </w:t>
      </w:r>
      <w:r w:rsidR="00482EE3" w:rsidRPr="00F71523">
        <w:t>Department of Economic Development, Jobs, Transport and Resources</w:t>
      </w:r>
      <w:r w:rsidRPr="00F71523">
        <w:t>.</w:t>
      </w:r>
    </w:p>
    <w:p w14:paraId="7A24032A" w14:textId="3F3D5FEB" w:rsidR="00FD6755" w:rsidRPr="00F71523" w:rsidRDefault="00FD6755" w:rsidP="00FD6755">
      <w:pPr>
        <w:pStyle w:val="BodyText"/>
      </w:pPr>
      <w:r w:rsidRPr="00F71523">
        <w:t xml:space="preserve">MMRA is responsible for overseeing </w:t>
      </w:r>
      <w:r w:rsidR="00482EE3" w:rsidRPr="00F71523">
        <w:t xml:space="preserve">and engaging contractors and consultants for </w:t>
      </w:r>
      <w:r w:rsidRPr="00F71523">
        <w:t xml:space="preserve">all aspects of the </w:t>
      </w:r>
      <w:r w:rsidR="00E75ECF" w:rsidRPr="00F71523">
        <w:t xml:space="preserve">project </w:t>
      </w:r>
      <w:r w:rsidRPr="00F71523">
        <w:t xml:space="preserve">including planning and development of a project </w:t>
      </w:r>
      <w:r w:rsidR="00B42B03" w:rsidRPr="00F71523">
        <w:t xml:space="preserve">Concept </w:t>
      </w:r>
      <w:r w:rsidRPr="00F71523">
        <w:t>Design, site investigations, stakeholder engagement, obtaining planning</w:t>
      </w:r>
      <w:r w:rsidR="009631F9">
        <w:t> </w:t>
      </w:r>
      <w:r w:rsidRPr="00F71523">
        <w:t>approvals and procurement, through to construction delivery and project</w:t>
      </w:r>
      <w:r w:rsidR="009631F9">
        <w:t> </w:t>
      </w:r>
      <w:r w:rsidRPr="00F71523">
        <w:t xml:space="preserve">commissioning. </w:t>
      </w:r>
    </w:p>
    <w:p w14:paraId="529A63A8" w14:textId="73A166E3" w:rsidR="00FD6755" w:rsidRPr="00F71523" w:rsidRDefault="00FD6755" w:rsidP="00FD6755">
      <w:pPr>
        <w:pStyle w:val="BodyText"/>
      </w:pPr>
      <w:r w:rsidRPr="00F71523">
        <w:t xml:space="preserve">Fulfilling the responsibilities and accountabilities across all elements of the EMF involves MMRA, </w:t>
      </w:r>
      <w:r w:rsidR="0086608F">
        <w:t>c</w:t>
      </w:r>
      <w:r w:rsidRPr="00F71523">
        <w:t xml:space="preserve">ontractors and </w:t>
      </w:r>
      <w:r w:rsidR="0086608F">
        <w:t>r</w:t>
      </w:r>
      <w:r w:rsidRPr="00F71523">
        <w:t xml:space="preserve">egulators. The </w:t>
      </w:r>
      <w:r w:rsidR="0086608F">
        <w:t>c</w:t>
      </w:r>
      <w:r w:rsidRPr="00F71523">
        <w:t xml:space="preserve">ontractors' responsibilities would be included as contractual conditions in Project </w:t>
      </w:r>
      <w:r w:rsidR="00B17076" w:rsidRPr="00F71523">
        <w:t>Contracts</w:t>
      </w:r>
      <w:r w:rsidRPr="00F71523">
        <w:t xml:space="preserve">. The </w:t>
      </w:r>
      <w:r w:rsidR="0086608F">
        <w:t>c</w:t>
      </w:r>
      <w:r w:rsidRPr="00F71523">
        <w:t>ontractors would also be responsible for activities conducted by their sub-contractors.</w:t>
      </w:r>
    </w:p>
    <w:p w14:paraId="07EE188C" w14:textId="05352634" w:rsidR="00FD6755" w:rsidRPr="00F71523" w:rsidRDefault="00FD6755" w:rsidP="00FD6755">
      <w:pPr>
        <w:pStyle w:val="BodyText"/>
      </w:pPr>
      <w:r w:rsidRPr="00F71523">
        <w:lastRenderedPageBreak/>
        <w:t>At the completion of construction and project commissioning, PTV would become</w:t>
      </w:r>
      <w:r w:rsidR="009631F9">
        <w:t> </w:t>
      </w:r>
      <w:r w:rsidRPr="00F71523">
        <w:t xml:space="preserve">responsible for the ongoing operation and maintenance of the train services and infrastructure delivered by </w:t>
      </w:r>
      <w:r w:rsidR="005822DE" w:rsidRPr="00F71523">
        <w:t>Melbourne Metro</w:t>
      </w:r>
      <w:r w:rsidR="00184CEC" w:rsidRPr="00F71523">
        <w:t xml:space="preserve">, other than any infrastructure which is to be operated and maintained by the PPP </w:t>
      </w:r>
      <w:r w:rsidR="0086608F">
        <w:t>c</w:t>
      </w:r>
      <w:r w:rsidR="00184CEC" w:rsidRPr="00F71523">
        <w:t xml:space="preserve">ontractor for the term of the PPP </w:t>
      </w:r>
      <w:r w:rsidR="00947F90">
        <w:t>c</w:t>
      </w:r>
      <w:r w:rsidR="00184CEC" w:rsidRPr="00F71523">
        <w:t>ontract</w:t>
      </w:r>
      <w:r w:rsidRPr="00F71523">
        <w:t xml:space="preserve">. </w:t>
      </w:r>
    </w:p>
    <w:p w14:paraId="543077A5" w14:textId="6B973B3D" w:rsidR="00FD6755" w:rsidRPr="00F71523" w:rsidRDefault="00FD6755" w:rsidP="00F71523">
      <w:pPr>
        <w:pStyle w:val="BodyText"/>
        <w:keepNext/>
      </w:pPr>
      <w:r w:rsidRPr="00F71523">
        <w:t xml:space="preserve">The key roles and responsibilities are shown in </w:t>
      </w:r>
      <w:r w:rsidRPr="00F71523">
        <w:fldChar w:fldCharType="begin"/>
      </w:r>
      <w:r w:rsidRPr="00F71523">
        <w:instrText xml:space="preserve"> REF _Ref444487932 \h </w:instrText>
      </w:r>
      <w:r w:rsidRPr="00F71523">
        <w:fldChar w:fldCharType="separate"/>
      </w:r>
      <w:r w:rsidR="002F5366" w:rsidRPr="00F71523">
        <w:t>Table </w:t>
      </w:r>
      <w:r w:rsidR="002F5366">
        <w:rPr>
          <w:noProof/>
          <w:cs/>
        </w:rPr>
        <w:t>‎</w:t>
      </w:r>
      <w:r w:rsidR="002F5366">
        <w:rPr>
          <w:noProof/>
        </w:rPr>
        <w:t>23</w:t>
      </w:r>
      <w:r w:rsidR="002F5366" w:rsidRPr="00F71523">
        <w:t>–</w:t>
      </w:r>
      <w:r w:rsidR="002F5366">
        <w:rPr>
          <w:noProof/>
        </w:rPr>
        <w:t>1</w:t>
      </w:r>
      <w:r w:rsidRPr="00F71523">
        <w:fldChar w:fldCharType="end"/>
      </w:r>
      <w:r w:rsidRPr="00F71523">
        <w:t xml:space="preserve">. </w:t>
      </w:r>
    </w:p>
    <w:p w14:paraId="626AC50A" w14:textId="77777777" w:rsidR="00FD6755" w:rsidRPr="00F71523" w:rsidRDefault="00FD6755" w:rsidP="00D80EEF">
      <w:pPr>
        <w:pStyle w:val="Caption"/>
      </w:pPr>
      <w:bookmarkStart w:id="11" w:name="_Ref444487932"/>
      <w:r w:rsidRPr="00F71523">
        <w:t>Table </w:t>
      </w:r>
      <w:fldSimple w:instr=" STYLEREF 1 \s ">
        <w:r w:rsidR="002F5366">
          <w:rPr>
            <w:noProof/>
            <w:cs/>
          </w:rPr>
          <w:t>‎</w:t>
        </w:r>
        <w:r w:rsidR="002F5366">
          <w:rPr>
            <w:noProof/>
          </w:rPr>
          <w:t>23</w:t>
        </w:r>
      </w:fldSimple>
      <w:r w:rsidR="009E42D8" w:rsidRPr="00F71523">
        <w:t>–</w:t>
      </w:r>
      <w:fldSimple w:instr=" SEQ Table \* ARABIC \s 1 ">
        <w:r w:rsidR="002F5366">
          <w:rPr>
            <w:noProof/>
          </w:rPr>
          <w:t>1</w:t>
        </w:r>
      </w:fldSimple>
      <w:bookmarkEnd w:id="11"/>
      <w:r w:rsidRPr="00F71523">
        <w:tab/>
        <w:t>Roles and responsibilities for environmental management</w:t>
      </w:r>
    </w:p>
    <w:tbl>
      <w:tblPr>
        <w:tblStyle w:val="MainTableStyle"/>
        <w:tblW w:w="0" w:type="auto"/>
        <w:tblLayout w:type="fixed"/>
        <w:tblLook w:val="04A0" w:firstRow="1" w:lastRow="0" w:firstColumn="1" w:lastColumn="0" w:noHBand="0" w:noVBand="1"/>
      </w:tblPr>
      <w:tblGrid>
        <w:gridCol w:w="1526"/>
        <w:gridCol w:w="5889"/>
      </w:tblGrid>
      <w:tr w:rsidR="00FD6755" w:rsidRPr="00F71523" w14:paraId="55E6CB25" w14:textId="77777777" w:rsidTr="002D20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3515F124" w14:textId="77777777" w:rsidR="00FD6755" w:rsidRPr="00F71523" w:rsidRDefault="00FD6755" w:rsidP="002D20B1">
            <w:pPr>
              <w:pStyle w:val="TableText"/>
            </w:pPr>
            <w:r w:rsidRPr="00F71523">
              <w:t>Or</w:t>
            </w:r>
            <w:r w:rsidR="004A5331" w:rsidRPr="00F71523">
              <w:t>ganisation</w:t>
            </w:r>
          </w:p>
        </w:tc>
        <w:tc>
          <w:tcPr>
            <w:tcW w:w="5889" w:type="dxa"/>
          </w:tcPr>
          <w:p w14:paraId="25D0CA1F" w14:textId="77777777" w:rsidR="00FD6755" w:rsidRPr="00F71523" w:rsidRDefault="00FD6755" w:rsidP="002D20B1">
            <w:pPr>
              <w:pStyle w:val="TableText"/>
              <w:cnfStyle w:val="100000000000" w:firstRow="1" w:lastRow="0" w:firstColumn="0" w:lastColumn="0" w:oddVBand="0" w:evenVBand="0" w:oddHBand="0" w:evenHBand="0" w:firstRowFirstColumn="0" w:firstRowLastColumn="0" w:lastRowFirstColumn="0" w:lastRowLastColumn="0"/>
            </w:pPr>
            <w:r w:rsidRPr="00F71523">
              <w:t>Responsibility</w:t>
            </w:r>
          </w:p>
        </w:tc>
      </w:tr>
      <w:tr w:rsidR="00FD6755" w:rsidRPr="00F71523" w14:paraId="5DA225B2" w14:textId="77777777" w:rsidTr="002D20B1">
        <w:trPr>
          <w:cantSplit/>
        </w:trPr>
        <w:tc>
          <w:tcPr>
            <w:cnfStyle w:val="001000000000" w:firstRow="0" w:lastRow="0" w:firstColumn="1" w:lastColumn="0" w:oddVBand="0" w:evenVBand="0" w:oddHBand="0" w:evenHBand="0" w:firstRowFirstColumn="0" w:firstRowLastColumn="0" w:lastRowFirstColumn="0" w:lastRowLastColumn="0"/>
            <w:tcW w:w="1526" w:type="dxa"/>
          </w:tcPr>
          <w:p w14:paraId="120C3A03" w14:textId="77777777" w:rsidR="00FD6755" w:rsidRPr="00F71523" w:rsidRDefault="00FD6755" w:rsidP="0066216E">
            <w:pPr>
              <w:pStyle w:val="TableText"/>
            </w:pPr>
            <w:r w:rsidRPr="00F71523">
              <w:t>Minister for Planning</w:t>
            </w:r>
          </w:p>
        </w:tc>
        <w:tc>
          <w:tcPr>
            <w:tcW w:w="5889" w:type="dxa"/>
          </w:tcPr>
          <w:p w14:paraId="7A1A4A52" w14:textId="23C8959D" w:rsidR="00FD6755" w:rsidRPr="00F71523" w:rsidRDefault="00FD6755" w:rsidP="00250B7A">
            <w:pPr>
              <w:pStyle w:val="TableBullet1"/>
              <w:cnfStyle w:val="000000000000" w:firstRow="0" w:lastRow="0" w:firstColumn="0" w:lastColumn="0" w:oddVBand="0" w:evenVBand="0" w:oddHBand="0" w:evenHBand="0" w:firstRowFirstColumn="0" w:firstRowLastColumn="0" w:lastRowFirstColumn="0" w:lastRowLastColumn="0"/>
            </w:pPr>
            <w:r w:rsidRPr="00F71523">
              <w:t xml:space="preserve">Endorse the EMF </w:t>
            </w:r>
            <w:r w:rsidR="00250B7A" w:rsidRPr="00F71523">
              <w:t>and</w:t>
            </w:r>
            <w:r w:rsidR="00250B7A">
              <w:t xml:space="preserve"> approved </w:t>
            </w:r>
            <w:r w:rsidR="00482EE3" w:rsidRPr="00F71523">
              <w:t>Environmental Performance Requirements</w:t>
            </w:r>
          </w:p>
        </w:tc>
      </w:tr>
      <w:tr w:rsidR="00FD6755" w:rsidRPr="00F71523" w14:paraId="76B31045" w14:textId="77777777" w:rsidTr="002D20B1">
        <w:trPr>
          <w:cantSplit/>
        </w:trPr>
        <w:tc>
          <w:tcPr>
            <w:cnfStyle w:val="001000000000" w:firstRow="0" w:lastRow="0" w:firstColumn="1" w:lastColumn="0" w:oddVBand="0" w:evenVBand="0" w:oddHBand="0" w:evenHBand="0" w:firstRowFirstColumn="0" w:firstRowLastColumn="0" w:lastRowFirstColumn="0" w:lastRowLastColumn="0"/>
            <w:tcW w:w="1526" w:type="dxa"/>
          </w:tcPr>
          <w:p w14:paraId="308D0BE3" w14:textId="77777777" w:rsidR="00FD6755" w:rsidRPr="00F71523" w:rsidRDefault="00FD6755" w:rsidP="00FD6755">
            <w:pPr>
              <w:pStyle w:val="TableText"/>
            </w:pPr>
            <w:r w:rsidRPr="00F71523">
              <w:t>Regulators and Agencies</w:t>
            </w:r>
          </w:p>
        </w:tc>
        <w:tc>
          <w:tcPr>
            <w:tcW w:w="5889" w:type="dxa"/>
          </w:tcPr>
          <w:p w14:paraId="2E0DBE5C" w14:textId="77777777" w:rsidR="00FD6755" w:rsidRPr="00F71523" w:rsidRDefault="00FD6755" w:rsidP="00FD6755">
            <w:pPr>
              <w:pStyle w:val="TableBullet1"/>
              <w:cnfStyle w:val="000000000000" w:firstRow="0" w:lastRow="0" w:firstColumn="0" w:lastColumn="0" w:oddVBand="0" w:evenVBand="0" w:oddHBand="0" w:evenHBand="0" w:firstRowFirstColumn="0" w:firstRowLastColumn="0" w:lastRowFirstColumn="0" w:lastRowLastColumn="0"/>
            </w:pPr>
            <w:r w:rsidRPr="00F71523">
              <w:t xml:space="preserve">Receive audit reports from MMRA and </w:t>
            </w:r>
            <w:r w:rsidR="00482EE3" w:rsidRPr="00F71523">
              <w:t xml:space="preserve">the </w:t>
            </w:r>
            <w:r w:rsidRPr="00F71523">
              <w:t>Independent Auditor as to compliance with relevant approval conditions</w:t>
            </w:r>
          </w:p>
          <w:p w14:paraId="604CA06B" w14:textId="77777777" w:rsidR="00FD6755" w:rsidRPr="00F71523" w:rsidRDefault="00FD6755" w:rsidP="00FD6755">
            <w:pPr>
              <w:pStyle w:val="TableBullet1"/>
              <w:cnfStyle w:val="000000000000" w:firstRow="0" w:lastRow="0" w:firstColumn="0" w:lastColumn="0" w:oddVBand="0" w:evenVBand="0" w:oddHBand="0" w:evenHBand="0" w:firstRowFirstColumn="0" w:firstRowLastColumn="0" w:lastRowFirstColumn="0" w:lastRowLastColumn="0"/>
            </w:pPr>
            <w:r w:rsidRPr="00F71523">
              <w:t>Administer and determine compliance with project approvals</w:t>
            </w:r>
          </w:p>
        </w:tc>
      </w:tr>
      <w:tr w:rsidR="00FD6755" w:rsidRPr="00F71523" w14:paraId="3BC048AB" w14:textId="77777777" w:rsidTr="002D20B1">
        <w:trPr>
          <w:cantSplit/>
        </w:trPr>
        <w:tc>
          <w:tcPr>
            <w:cnfStyle w:val="001000000000" w:firstRow="0" w:lastRow="0" w:firstColumn="1" w:lastColumn="0" w:oddVBand="0" w:evenVBand="0" w:oddHBand="0" w:evenHBand="0" w:firstRowFirstColumn="0" w:firstRowLastColumn="0" w:lastRowFirstColumn="0" w:lastRowLastColumn="0"/>
            <w:tcW w:w="1526" w:type="dxa"/>
          </w:tcPr>
          <w:p w14:paraId="4E841A61" w14:textId="77777777" w:rsidR="00FD6755" w:rsidRPr="00F71523" w:rsidRDefault="00FD6755" w:rsidP="00FD6755">
            <w:pPr>
              <w:pStyle w:val="TableText"/>
            </w:pPr>
            <w:r w:rsidRPr="00F71523">
              <w:t>MMRA</w:t>
            </w:r>
          </w:p>
        </w:tc>
        <w:tc>
          <w:tcPr>
            <w:tcW w:w="5889" w:type="dxa"/>
          </w:tcPr>
          <w:p w14:paraId="3CF4EA0F" w14:textId="45AAE2DD" w:rsidR="00FD6755" w:rsidRPr="00F71523" w:rsidRDefault="00FD6755" w:rsidP="00FD6755">
            <w:pPr>
              <w:pStyle w:val="TableBullet1"/>
              <w:cnfStyle w:val="000000000000" w:firstRow="0" w:lastRow="0" w:firstColumn="0" w:lastColumn="0" w:oddVBand="0" w:evenVBand="0" w:oddHBand="0" w:evenHBand="0" w:firstRowFirstColumn="0" w:firstRowLastColumn="0" w:lastRowFirstColumn="0" w:lastRowLastColumn="0"/>
            </w:pPr>
            <w:r w:rsidRPr="00F71523">
              <w:t xml:space="preserve">Obtain applicable </w:t>
            </w:r>
            <w:r w:rsidR="00E14775" w:rsidRPr="00F71523">
              <w:t xml:space="preserve">principal </w:t>
            </w:r>
            <w:r w:rsidRPr="00F71523">
              <w:t>statutory approvals</w:t>
            </w:r>
            <w:r w:rsidR="00E14775" w:rsidRPr="00F71523">
              <w:t xml:space="preserve"> including the Planning Scheme Amendment, Cultural Heritage Manag</w:t>
            </w:r>
            <w:r w:rsidR="002D20B1" w:rsidRPr="00F71523">
              <w:t>ement Plan and heritage permits</w:t>
            </w:r>
          </w:p>
          <w:p w14:paraId="1AC40DBB" w14:textId="77777777" w:rsidR="00FD6755" w:rsidRPr="00F71523" w:rsidRDefault="00FD6755" w:rsidP="00FD6755">
            <w:pPr>
              <w:pStyle w:val="TableBullet1"/>
              <w:cnfStyle w:val="000000000000" w:firstRow="0" w:lastRow="0" w:firstColumn="0" w:lastColumn="0" w:oddVBand="0" w:evenVBand="0" w:oddHBand="0" w:evenHBand="0" w:firstRowFirstColumn="0" w:firstRowLastColumn="0" w:lastRowFirstColumn="0" w:lastRowLastColumn="0"/>
            </w:pPr>
            <w:r w:rsidRPr="00F71523">
              <w:t>Establish the EMF</w:t>
            </w:r>
          </w:p>
          <w:p w14:paraId="6E4F6EF6" w14:textId="612064A7" w:rsidR="00FD6755" w:rsidRPr="00F71523" w:rsidRDefault="00FD6755" w:rsidP="00FD6755">
            <w:pPr>
              <w:pStyle w:val="TableBullet1"/>
              <w:cnfStyle w:val="000000000000" w:firstRow="0" w:lastRow="0" w:firstColumn="0" w:lastColumn="0" w:oddVBand="0" w:evenVBand="0" w:oddHBand="0" w:evenHBand="0" w:firstRowFirstColumn="0" w:firstRowLastColumn="0" w:lastRowFirstColumn="0" w:lastRowLastColumn="0"/>
            </w:pPr>
            <w:r w:rsidRPr="00F71523">
              <w:t xml:space="preserve">Develop and implement </w:t>
            </w:r>
            <w:r w:rsidR="00616BFE">
              <w:t>the MMRA</w:t>
            </w:r>
            <w:r w:rsidRPr="00F71523">
              <w:t xml:space="preserve"> EMS</w:t>
            </w:r>
            <w:r w:rsidR="00482EE3" w:rsidRPr="00F71523">
              <w:t>, in accordance with ISO 14001:2015</w:t>
            </w:r>
          </w:p>
          <w:p w14:paraId="7860BDC3" w14:textId="6EF2A70D" w:rsidR="00FD6755" w:rsidRPr="00F71523" w:rsidRDefault="00FD6755" w:rsidP="00FD6755">
            <w:pPr>
              <w:pStyle w:val="TableBullet1"/>
              <w:cnfStyle w:val="000000000000" w:firstRow="0" w:lastRow="0" w:firstColumn="0" w:lastColumn="0" w:oddVBand="0" w:evenVBand="0" w:oddHBand="0" w:evenHBand="0" w:firstRowFirstColumn="0" w:firstRowLastColumn="0" w:lastRowFirstColumn="0" w:lastRowLastColumn="0"/>
            </w:pPr>
            <w:r w:rsidRPr="00F71523">
              <w:t xml:space="preserve">Develop and monitor compliance with the </w:t>
            </w:r>
            <w:r w:rsidR="005822DE" w:rsidRPr="00F71523">
              <w:t>Environmental Performance Requirements</w:t>
            </w:r>
            <w:r w:rsidRPr="00F71523">
              <w:t xml:space="preserve"> across all Project </w:t>
            </w:r>
            <w:r w:rsidR="00B17076" w:rsidRPr="00F71523">
              <w:t>Contracts</w:t>
            </w:r>
          </w:p>
          <w:p w14:paraId="325CDF59" w14:textId="6124A0A9" w:rsidR="00FD6755" w:rsidRPr="00F71523" w:rsidRDefault="00FD6755" w:rsidP="00FD6755">
            <w:pPr>
              <w:pStyle w:val="TableBullet1"/>
              <w:cnfStyle w:val="000000000000" w:firstRow="0" w:lastRow="0" w:firstColumn="0" w:lastColumn="0" w:oddVBand="0" w:evenVBand="0" w:oddHBand="0" w:evenHBand="0" w:firstRowFirstColumn="0" w:firstRowLastColumn="0" w:lastRowFirstColumn="0" w:lastRowLastColumn="0"/>
            </w:pPr>
            <w:r w:rsidRPr="00F71523">
              <w:t xml:space="preserve">Engage an Independent Reviewer </w:t>
            </w:r>
            <w:r w:rsidR="00003F9E" w:rsidRPr="00F71523">
              <w:t xml:space="preserve">jointly with the PPP </w:t>
            </w:r>
            <w:r w:rsidR="0086608F">
              <w:t>c</w:t>
            </w:r>
            <w:r w:rsidR="00003F9E" w:rsidRPr="00F71523">
              <w:t>ontractor</w:t>
            </w:r>
          </w:p>
          <w:p w14:paraId="2FF11666" w14:textId="3F23CB63" w:rsidR="00FD6755" w:rsidRPr="00F71523" w:rsidRDefault="00FD6755" w:rsidP="00FD6755">
            <w:pPr>
              <w:pStyle w:val="TableBullet1"/>
              <w:cnfStyle w:val="000000000000" w:firstRow="0" w:lastRow="0" w:firstColumn="0" w:lastColumn="0" w:oddVBand="0" w:evenVBand="0" w:oddHBand="0" w:evenHBand="0" w:firstRowFirstColumn="0" w:firstRowLastColumn="0" w:lastRowFirstColumn="0" w:lastRowLastColumn="0"/>
            </w:pPr>
            <w:r w:rsidRPr="00F71523">
              <w:t xml:space="preserve">Together with each contractor for each of the Project </w:t>
            </w:r>
            <w:r w:rsidR="00B17076" w:rsidRPr="00F71523">
              <w:t>Contracts</w:t>
            </w:r>
            <w:r w:rsidRPr="00F71523">
              <w:t xml:space="preserve"> develop and submit the required plans to comply with the PSA conditions</w:t>
            </w:r>
          </w:p>
          <w:p w14:paraId="4EF52251" w14:textId="32C2327C" w:rsidR="00FD6755" w:rsidRPr="00F71523" w:rsidRDefault="00FD6755" w:rsidP="00FD6755">
            <w:pPr>
              <w:pStyle w:val="TableBullet1"/>
              <w:cnfStyle w:val="000000000000" w:firstRow="0" w:lastRow="0" w:firstColumn="0" w:lastColumn="0" w:oddVBand="0" w:evenVBand="0" w:oddHBand="0" w:evenHBand="0" w:firstRowFirstColumn="0" w:firstRowLastColumn="0" w:lastRowFirstColumn="0" w:lastRowLastColumn="0"/>
            </w:pPr>
            <w:r w:rsidRPr="00F71523">
              <w:t xml:space="preserve">Review and approve CEMPs and SEIPs for each Project </w:t>
            </w:r>
            <w:r w:rsidR="00003F9E" w:rsidRPr="00F71523">
              <w:t>Contract</w:t>
            </w:r>
            <w:r w:rsidR="00D064F5">
              <w:t xml:space="preserve">, and assist the Independent Reviewer with approval of the CEMP, SEIPs and OEMP for the PPP </w:t>
            </w:r>
            <w:r w:rsidR="00947F90">
              <w:t>c</w:t>
            </w:r>
            <w:r w:rsidR="00D064F5">
              <w:t>ontract</w:t>
            </w:r>
            <w:r w:rsidR="00003F9E" w:rsidRPr="00F71523">
              <w:t xml:space="preserve"> </w:t>
            </w:r>
          </w:p>
          <w:p w14:paraId="2D326068" w14:textId="55345C25" w:rsidR="00FD6755" w:rsidRPr="00F71523" w:rsidRDefault="00FD6755" w:rsidP="00FD6755">
            <w:pPr>
              <w:pStyle w:val="TableBullet1"/>
              <w:cnfStyle w:val="000000000000" w:firstRow="0" w:lastRow="0" w:firstColumn="0" w:lastColumn="0" w:oddVBand="0" w:evenVBand="0" w:oddHBand="0" w:evenHBand="0" w:firstRowFirstColumn="0" w:firstRowLastColumn="0" w:lastRowFirstColumn="0" w:lastRowLastColumn="0"/>
            </w:pPr>
            <w:r w:rsidRPr="00F71523">
              <w:t xml:space="preserve">Prior to commencement of work, verify that the </w:t>
            </w:r>
            <w:r w:rsidR="0086608F">
              <w:t>c</w:t>
            </w:r>
            <w:r w:rsidRPr="00F71523">
              <w:t xml:space="preserve">ontractor has complied with the relevant </w:t>
            </w:r>
            <w:r w:rsidR="00496F2F" w:rsidRPr="00F71523">
              <w:t>Environmental Performance Requirements</w:t>
            </w:r>
          </w:p>
          <w:p w14:paraId="00A94D9A" w14:textId="0A2EEFA2" w:rsidR="00FD6755" w:rsidRPr="00F71523" w:rsidRDefault="00FD6755" w:rsidP="00FD6755">
            <w:pPr>
              <w:pStyle w:val="TableBullet1"/>
              <w:cnfStyle w:val="000000000000" w:firstRow="0" w:lastRow="0" w:firstColumn="0" w:lastColumn="0" w:oddVBand="0" w:evenVBand="0" w:oddHBand="0" w:evenHBand="0" w:firstRowFirstColumn="0" w:firstRowLastColumn="0" w:lastRowFirstColumn="0" w:lastRowLastColumn="0"/>
            </w:pPr>
            <w:r w:rsidRPr="00F71523">
              <w:t xml:space="preserve">Review the </w:t>
            </w:r>
            <w:r w:rsidR="0086608F">
              <w:t>c</w:t>
            </w:r>
            <w:r w:rsidRPr="00F71523">
              <w:t>ontractor’s performance against the</w:t>
            </w:r>
            <w:r w:rsidR="00250B7A">
              <w:t xml:space="preserve"> approved</w:t>
            </w:r>
            <w:r w:rsidRPr="00F71523">
              <w:t xml:space="preserve"> Environmental Performance Requirements and take corrective action as necessary</w:t>
            </w:r>
          </w:p>
          <w:p w14:paraId="7A12BBEC" w14:textId="5D6ACD39" w:rsidR="00FD6755" w:rsidRPr="00F71523" w:rsidRDefault="00FD6755" w:rsidP="0086608F">
            <w:pPr>
              <w:pStyle w:val="TableBullet1"/>
              <w:cnfStyle w:val="000000000000" w:firstRow="0" w:lastRow="0" w:firstColumn="0" w:lastColumn="0" w:oddVBand="0" w:evenVBand="0" w:oddHBand="0" w:evenHBand="0" w:firstRowFirstColumn="0" w:firstRowLastColumn="0" w:lastRowFirstColumn="0" w:lastRowLastColumn="0"/>
            </w:pPr>
            <w:r w:rsidRPr="00F71523">
              <w:t xml:space="preserve">Undertake environmental audits to measure the </w:t>
            </w:r>
            <w:r w:rsidR="0086608F">
              <w:t>c</w:t>
            </w:r>
            <w:r w:rsidRPr="00F71523">
              <w:t>ontractor’s performance and compliance</w:t>
            </w:r>
          </w:p>
        </w:tc>
      </w:tr>
      <w:tr w:rsidR="00FD6755" w:rsidRPr="00F71523" w14:paraId="5F5FF9D4" w14:textId="77777777" w:rsidTr="002D20B1">
        <w:trPr>
          <w:cantSplit/>
        </w:trPr>
        <w:tc>
          <w:tcPr>
            <w:cnfStyle w:val="001000000000" w:firstRow="0" w:lastRow="0" w:firstColumn="1" w:lastColumn="0" w:oddVBand="0" w:evenVBand="0" w:oddHBand="0" w:evenHBand="0" w:firstRowFirstColumn="0" w:firstRowLastColumn="0" w:lastRowFirstColumn="0" w:lastRowLastColumn="0"/>
            <w:tcW w:w="1526" w:type="dxa"/>
          </w:tcPr>
          <w:p w14:paraId="5AB097C5" w14:textId="77777777" w:rsidR="00FD6755" w:rsidRPr="00F71523" w:rsidRDefault="00FD6755" w:rsidP="00FD6755">
            <w:pPr>
              <w:pStyle w:val="TableText"/>
            </w:pPr>
            <w:r w:rsidRPr="00F71523">
              <w:t>PTV</w:t>
            </w:r>
          </w:p>
        </w:tc>
        <w:tc>
          <w:tcPr>
            <w:tcW w:w="5889" w:type="dxa"/>
          </w:tcPr>
          <w:p w14:paraId="43BB3DA1" w14:textId="5254DDCA" w:rsidR="00FD6755" w:rsidRPr="00F71523" w:rsidRDefault="00FD6755" w:rsidP="00FD6755">
            <w:pPr>
              <w:pStyle w:val="TableBullet1"/>
              <w:cnfStyle w:val="000000000000" w:firstRow="0" w:lastRow="0" w:firstColumn="0" w:lastColumn="0" w:oddVBand="0" w:evenVBand="0" w:oddHBand="0" w:evenHBand="0" w:firstRowFirstColumn="0" w:firstRowLastColumn="0" w:lastRowFirstColumn="0" w:lastRowLastColumn="0"/>
            </w:pPr>
            <w:r w:rsidRPr="00F71523">
              <w:t xml:space="preserve">Operate the train services using the infrastructure delivered by </w:t>
            </w:r>
            <w:r w:rsidR="00496F2F" w:rsidRPr="00F71523">
              <w:t>Melbourne Metro</w:t>
            </w:r>
            <w:r w:rsidRPr="00F71523">
              <w:t>, in accordance with the</w:t>
            </w:r>
            <w:r w:rsidR="00250B7A">
              <w:t xml:space="preserve"> approved</w:t>
            </w:r>
            <w:r w:rsidRPr="00F71523">
              <w:t xml:space="preserve"> Environmental Performance Requirements</w:t>
            </w:r>
          </w:p>
          <w:p w14:paraId="013813E5" w14:textId="5F179463" w:rsidR="00FD6755" w:rsidRPr="00F71523" w:rsidRDefault="00FD6755" w:rsidP="0086608F">
            <w:pPr>
              <w:pStyle w:val="TableBullet1"/>
              <w:cnfStyle w:val="000000000000" w:firstRow="0" w:lastRow="0" w:firstColumn="0" w:lastColumn="0" w:oddVBand="0" w:evenVBand="0" w:oddHBand="0" w:evenHBand="0" w:firstRowFirstColumn="0" w:firstRowLastColumn="0" w:lastRowFirstColumn="0" w:lastRowLastColumn="0"/>
            </w:pPr>
            <w:r w:rsidRPr="00F71523">
              <w:t xml:space="preserve">Undertake maintenance of the infrastructure delivered by </w:t>
            </w:r>
            <w:r w:rsidR="00482EE3" w:rsidRPr="00F71523">
              <w:t>Melbourne Metro</w:t>
            </w:r>
            <w:r w:rsidR="00184CEC" w:rsidRPr="00F71523">
              <w:t xml:space="preserve">, other than any infrastructure which is to be operated and maintained by the PPP </w:t>
            </w:r>
            <w:r w:rsidR="0086608F">
              <w:t>c</w:t>
            </w:r>
            <w:r w:rsidR="00184CEC" w:rsidRPr="00F71523">
              <w:t xml:space="preserve">ontractor for the term of the PPP </w:t>
            </w:r>
            <w:r w:rsidR="00947F90">
              <w:t>c</w:t>
            </w:r>
            <w:r w:rsidR="00184CEC" w:rsidRPr="00F71523">
              <w:t>ontract</w:t>
            </w:r>
            <w:r w:rsidRPr="00F71523">
              <w:t xml:space="preserve"> </w:t>
            </w:r>
          </w:p>
        </w:tc>
      </w:tr>
      <w:tr w:rsidR="00FD6755" w:rsidRPr="00F71523" w14:paraId="4462AEC8" w14:textId="77777777" w:rsidTr="002D20B1">
        <w:trPr>
          <w:cantSplit/>
        </w:trPr>
        <w:tc>
          <w:tcPr>
            <w:cnfStyle w:val="001000000000" w:firstRow="0" w:lastRow="0" w:firstColumn="1" w:lastColumn="0" w:oddVBand="0" w:evenVBand="0" w:oddHBand="0" w:evenHBand="0" w:firstRowFirstColumn="0" w:firstRowLastColumn="0" w:lastRowFirstColumn="0" w:lastRowLastColumn="0"/>
            <w:tcW w:w="1526" w:type="dxa"/>
          </w:tcPr>
          <w:p w14:paraId="0000185B" w14:textId="77777777" w:rsidR="00FD6755" w:rsidRPr="00F71523" w:rsidRDefault="00FD6755" w:rsidP="00FD6755">
            <w:pPr>
              <w:pStyle w:val="TableText"/>
            </w:pPr>
            <w:r w:rsidRPr="00F71523">
              <w:lastRenderedPageBreak/>
              <w:t>Project Contractors</w:t>
            </w:r>
          </w:p>
        </w:tc>
        <w:tc>
          <w:tcPr>
            <w:tcW w:w="5889" w:type="dxa"/>
          </w:tcPr>
          <w:p w14:paraId="1EB30DF0" w14:textId="77777777" w:rsidR="00FD6755" w:rsidRPr="00F71523" w:rsidRDefault="00FD6755" w:rsidP="00D064F5">
            <w:pPr>
              <w:pStyle w:val="TableBullet1"/>
              <w:cnfStyle w:val="000000000000" w:firstRow="0" w:lastRow="0" w:firstColumn="0" w:lastColumn="0" w:oddVBand="0" w:evenVBand="0" w:oddHBand="0" w:evenHBand="0" w:firstRowFirstColumn="0" w:firstRowLastColumn="0" w:lastRowFirstColumn="0" w:lastRowLastColumn="0"/>
            </w:pPr>
            <w:r w:rsidRPr="00F71523">
              <w:t>Comply with the EMF, legislative and approval requirements</w:t>
            </w:r>
          </w:p>
          <w:p w14:paraId="562A707A" w14:textId="77777777" w:rsidR="00FD6755" w:rsidRPr="00F71523" w:rsidRDefault="00FD6755" w:rsidP="00D064F5">
            <w:pPr>
              <w:pStyle w:val="TableBullet1"/>
              <w:cnfStyle w:val="000000000000" w:firstRow="0" w:lastRow="0" w:firstColumn="0" w:lastColumn="0" w:oddVBand="0" w:evenVBand="0" w:oddHBand="0" w:evenHBand="0" w:firstRowFirstColumn="0" w:firstRowLastColumn="0" w:lastRowFirstColumn="0" w:lastRowLastColumn="0"/>
            </w:pPr>
            <w:r w:rsidRPr="00F71523">
              <w:t>Obtain any additional permits from regulatory authorities (other than the approvals that would be obtained by or jointly with MMRA)</w:t>
            </w:r>
          </w:p>
          <w:p w14:paraId="3529DA1A" w14:textId="024AC3DF" w:rsidR="00FD6755" w:rsidRPr="00F71523" w:rsidRDefault="00FD6755" w:rsidP="00D064F5">
            <w:pPr>
              <w:pStyle w:val="TableBullet1"/>
              <w:cnfStyle w:val="000000000000" w:firstRow="0" w:lastRow="0" w:firstColumn="0" w:lastColumn="0" w:oddVBand="0" w:evenVBand="0" w:oddHBand="0" w:evenHBand="0" w:firstRowFirstColumn="0" w:firstRowLastColumn="0" w:lastRowFirstColumn="0" w:lastRowLastColumn="0"/>
            </w:pPr>
            <w:r w:rsidRPr="00F71523">
              <w:t>Develop and implement a</w:t>
            </w:r>
            <w:r w:rsidR="00616BFE">
              <w:t xml:space="preserve"> project specific</w:t>
            </w:r>
            <w:r w:rsidRPr="00F71523">
              <w:t xml:space="preserve"> EMS, </w:t>
            </w:r>
            <w:r w:rsidR="00482EE3" w:rsidRPr="00F71523">
              <w:t xml:space="preserve">certified </w:t>
            </w:r>
            <w:r w:rsidRPr="00F71523">
              <w:t xml:space="preserve">to ISO 14001:2015 and </w:t>
            </w:r>
            <w:r w:rsidR="00482EE3" w:rsidRPr="00F71523">
              <w:t xml:space="preserve">compliant with </w:t>
            </w:r>
            <w:r w:rsidRPr="00F71523">
              <w:t>the MMRA</w:t>
            </w:r>
            <w:r w:rsidR="00482EE3" w:rsidRPr="00F71523">
              <w:t xml:space="preserve"> </w:t>
            </w:r>
            <w:r w:rsidRPr="00F71523">
              <w:t>EMS</w:t>
            </w:r>
          </w:p>
          <w:p w14:paraId="21A0F2DC" w14:textId="071C1044" w:rsidR="00FD6755" w:rsidRPr="00F71523" w:rsidRDefault="00FD6755" w:rsidP="00D064F5">
            <w:pPr>
              <w:pStyle w:val="TableBullet1"/>
              <w:cnfStyle w:val="000000000000" w:firstRow="0" w:lastRow="0" w:firstColumn="0" w:lastColumn="0" w:oddVBand="0" w:evenVBand="0" w:oddHBand="0" w:evenHBand="0" w:firstRowFirstColumn="0" w:firstRowLastColumn="0" w:lastRowFirstColumn="0" w:lastRowLastColumn="0"/>
            </w:pPr>
            <w:r w:rsidRPr="00F71523">
              <w:t>Prepare a CEMP</w:t>
            </w:r>
            <w:r w:rsidR="00445D4E" w:rsidRPr="00F71523">
              <w:t>,</w:t>
            </w:r>
            <w:r w:rsidRPr="00F71523">
              <w:t xml:space="preserve"> SEIPs </w:t>
            </w:r>
            <w:r w:rsidR="00445D4E" w:rsidRPr="00F71523">
              <w:t xml:space="preserve">and </w:t>
            </w:r>
            <w:r w:rsidRPr="00F71523">
              <w:t>associated work method statements</w:t>
            </w:r>
          </w:p>
          <w:p w14:paraId="3691AC7A" w14:textId="77777777" w:rsidR="00FD6755" w:rsidRPr="00F71523" w:rsidRDefault="00FD6755" w:rsidP="00D064F5">
            <w:pPr>
              <w:pStyle w:val="TableBullet1"/>
              <w:cnfStyle w:val="000000000000" w:firstRow="0" w:lastRow="0" w:firstColumn="0" w:lastColumn="0" w:oddVBand="0" w:evenVBand="0" w:oddHBand="0" w:evenHBand="0" w:firstRowFirstColumn="0" w:firstRowLastColumn="0" w:lastRowFirstColumn="0" w:lastRowLastColumn="0"/>
            </w:pPr>
            <w:r w:rsidRPr="00F71523">
              <w:t xml:space="preserve">Provide adequate resources to establish, implement, maintain and improve the CEMP, SEIPs and the EMS </w:t>
            </w:r>
          </w:p>
          <w:p w14:paraId="0D9293E6" w14:textId="77777777" w:rsidR="00496F2F" w:rsidRPr="00F71523" w:rsidRDefault="00FD6755" w:rsidP="00D064F5">
            <w:pPr>
              <w:pStyle w:val="TableBullet1"/>
              <w:cnfStyle w:val="000000000000" w:firstRow="0" w:lastRow="0" w:firstColumn="0" w:lastColumn="0" w:oddVBand="0" w:evenVBand="0" w:oddHBand="0" w:evenHBand="0" w:firstRowFirstColumn="0" w:firstRowLastColumn="0" w:lastRowFirstColumn="0" w:lastRowLastColumn="0"/>
            </w:pPr>
            <w:r w:rsidRPr="00F71523">
              <w:t xml:space="preserve">Implement and maintain compliance with the </w:t>
            </w:r>
            <w:r w:rsidR="00496F2F" w:rsidRPr="00F71523">
              <w:t>Environmental Performance Requirements</w:t>
            </w:r>
          </w:p>
          <w:p w14:paraId="4B408E49" w14:textId="77777777" w:rsidR="00FD6755" w:rsidRPr="00F71523" w:rsidRDefault="00FD6755" w:rsidP="00D064F5">
            <w:pPr>
              <w:pStyle w:val="TableBullet1"/>
              <w:cnfStyle w:val="000000000000" w:firstRow="0" w:lastRow="0" w:firstColumn="0" w:lastColumn="0" w:oddVBand="0" w:evenVBand="0" w:oddHBand="0" w:evenHBand="0" w:firstRowFirstColumn="0" w:firstRowLastColumn="0" w:lastRowFirstColumn="0" w:lastRowLastColumn="0"/>
            </w:pPr>
            <w:r w:rsidRPr="00F71523">
              <w:t>Undertake environmental audits against compliance</w:t>
            </w:r>
          </w:p>
          <w:p w14:paraId="069F550C" w14:textId="77777777" w:rsidR="00FD6755" w:rsidRPr="00F71523" w:rsidRDefault="00FD6755" w:rsidP="00D064F5">
            <w:pPr>
              <w:pStyle w:val="TableBullet1"/>
              <w:cnfStyle w:val="000000000000" w:firstRow="0" w:lastRow="0" w:firstColumn="0" w:lastColumn="0" w:oddVBand="0" w:evenVBand="0" w:oddHBand="0" w:evenHBand="0" w:firstRowFirstColumn="0" w:firstRowLastColumn="0" w:lastRowFirstColumn="0" w:lastRowLastColumn="0"/>
            </w:pPr>
            <w:r w:rsidRPr="00F71523">
              <w:t xml:space="preserve">Prior to commencement of work, ensure that all sub-contractors have complied with the relevant </w:t>
            </w:r>
            <w:r w:rsidR="00496F2F" w:rsidRPr="00F71523">
              <w:t>Environmental Performance Requirements</w:t>
            </w:r>
            <w:r w:rsidRPr="00F71523">
              <w:t xml:space="preserve"> and the CEMP</w:t>
            </w:r>
          </w:p>
          <w:p w14:paraId="298E6EA0" w14:textId="77777777" w:rsidR="00FD6755" w:rsidRPr="00F71523" w:rsidRDefault="00FD6755" w:rsidP="00D064F5">
            <w:pPr>
              <w:pStyle w:val="TableBullet1"/>
              <w:cnfStyle w:val="000000000000" w:firstRow="0" w:lastRow="0" w:firstColumn="0" w:lastColumn="0" w:oddVBand="0" w:evenVBand="0" w:oddHBand="0" w:evenHBand="0" w:firstRowFirstColumn="0" w:firstRowLastColumn="0" w:lastRowFirstColumn="0" w:lastRowLastColumn="0"/>
            </w:pPr>
            <w:r w:rsidRPr="00F71523">
              <w:t xml:space="preserve">Review of sub-contractors’ performance against the </w:t>
            </w:r>
            <w:r w:rsidR="00496F2F" w:rsidRPr="00F71523">
              <w:t>Environmental Performance Requirements</w:t>
            </w:r>
            <w:r w:rsidRPr="00F71523">
              <w:t xml:space="preserve"> and CEMP, and take corrective action as necessary</w:t>
            </w:r>
          </w:p>
          <w:p w14:paraId="41503DB3" w14:textId="47A1EB1D" w:rsidR="00D064F5" w:rsidRDefault="00D064F5" w:rsidP="00D064F5">
            <w:pPr>
              <w:pStyle w:val="TableBullet1"/>
              <w:cnfStyle w:val="000000000000" w:firstRow="0" w:lastRow="0" w:firstColumn="0" w:lastColumn="0" w:oddVBand="0" w:evenVBand="0" w:oddHBand="0" w:evenHBand="0" w:firstRowFirstColumn="0" w:firstRowLastColumn="0" w:lastRowFirstColumn="0" w:lastRowLastColumn="0"/>
            </w:pPr>
            <w:r>
              <w:t xml:space="preserve">PPP </w:t>
            </w:r>
            <w:r w:rsidR="00B91C36">
              <w:t>c</w:t>
            </w:r>
            <w:r>
              <w:t>ontractor: Prepare an OEMP and associated work method statements, and provide adequate resources to establish, implement, maintain and improve the OEMP</w:t>
            </w:r>
          </w:p>
          <w:p w14:paraId="32C9491D" w14:textId="29C587EF" w:rsidR="00003F9E" w:rsidRPr="00F71523" w:rsidRDefault="00003F9E" w:rsidP="00D064F5">
            <w:pPr>
              <w:pStyle w:val="TableBullet1"/>
              <w:cnfStyle w:val="000000000000" w:firstRow="0" w:lastRow="0" w:firstColumn="0" w:lastColumn="0" w:oddVBand="0" w:evenVBand="0" w:oddHBand="0" w:evenHBand="0" w:firstRowFirstColumn="0" w:firstRowLastColumn="0" w:lastRowFirstColumn="0" w:lastRowLastColumn="0"/>
            </w:pPr>
            <w:r w:rsidRPr="00F71523">
              <w:t xml:space="preserve">PPP </w:t>
            </w:r>
            <w:r w:rsidR="00B91C36">
              <w:t>c</w:t>
            </w:r>
            <w:r w:rsidRPr="00F71523">
              <w:t>ontractor: Appoint an Independent Environmental Auditor</w:t>
            </w:r>
          </w:p>
          <w:p w14:paraId="5836AB9E" w14:textId="0948FAE3" w:rsidR="00184CEC" w:rsidRPr="00F71523" w:rsidRDefault="00184CEC" w:rsidP="00B91C36">
            <w:pPr>
              <w:pStyle w:val="TableBullet1"/>
              <w:cnfStyle w:val="000000000000" w:firstRow="0" w:lastRow="0" w:firstColumn="0" w:lastColumn="0" w:oddVBand="0" w:evenVBand="0" w:oddHBand="0" w:evenHBand="0" w:firstRowFirstColumn="0" w:firstRowLastColumn="0" w:lastRowFirstColumn="0" w:lastRowLastColumn="0"/>
            </w:pPr>
            <w:r w:rsidRPr="00F71523">
              <w:t xml:space="preserve">PPP </w:t>
            </w:r>
            <w:r w:rsidR="00B91C36">
              <w:t>c</w:t>
            </w:r>
            <w:r w:rsidRPr="00F71523">
              <w:t xml:space="preserve">ontactor: Undertake operation and maintenance of the infrastructure delivered by Melbourne Metro </w:t>
            </w:r>
            <w:r w:rsidR="00B91C36">
              <w:t xml:space="preserve">that </w:t>
            </w:r>
            <w:r w:rsidRPr="00F71523">
              <w:t xml:space="preserve">is to be operated and maintained by the PPP </w:t>
            </w:r>
            <w:r w:rsidR="00B91C36">
              <w:t>c</w:t>
            </w:r>
            <w:r w:rsidRPr="00F71523">
              <w:t>ontractor f</w:t>
            </w:r>
            <w:r w:rsidR="002D20B1" w:rsidRPr="00F71523">
              <w:t xml:space="preserve">or the term of the PPP </w:t>
            </w:r>
            <w:r w:rsidR="00947F90">
              <w:t>c</w:t>
            </w:r>
            <w:r w:rsidR="002D20B1" w:rsidRPr="00F71523">
              <w:t>ontract</w:t>
            </w:r>
            <w:r w:rsidR="00D064F5">
              <w:t xml:space="preserve"> (tunnels and stations)</w:t>
            </w:r>
          </w:p>
        </w:tc>
      </w:tr>
      <w:tr w:rsidR="00FD6755" w:rsidRPr="00F71523" w14:paraId="50FB038E" w14:textId="77777777" w:rsidTr="002D20B1">
        <w:trPr>
          <w:cantSplit/>
        </w:trPr>
        <w:tc>
          <w:tcPr>
            <w:cnfStyle w:val="001000000000" w:firstRow="0" w:lastRow="0" w:firstColumn="1" w:lastColumn="0" w:oddVBand="0" w:evenVBand="0" w:oddHBand="0" w:evenHBand="0" w:firstRowFirstColumn="0" w:firstRowLastColumn="0" w:lastRowFirstColumn="0" w:lastRowLastColumn="0"/>
            <w:tcW w:w="1526" w:type="dxa"/>
          </w:tcPr>
          <w:p w14:paraId="18D7F517" w14:textId="4FCD84C6" w:rsidR="00FD6755" w:rsidRPr="00F71523" w:rsidRDefault="00FD6755" w:rsidP="00482EE3">
            <w:pPr>
              <w:pStyle w:val="TableText"/>
            </w:pPr>
            <w:r w:rsidRPr="00F71523">
              <w:t xml:space="preserve">Independent Reviewer (For PPP </w:t>
            </w:r>
            <w:r w:rsidR="00947F90">
              <w:t>c</w:t>
            </w:r>
            <w:r w:rsidRPr="00F71523">
              <w:t>ontract)</w:t>
            </w:r>
          </w:p>
        </w:tc>
        <w:tc>
          <w:tcPr>
            <w:tcW w:w="5889" w:type="dxa"/>
          </w:tcPr>
          <w:p w14:paraId="2FE2434E" w14:textId="1A6B7424" w:rsidR="00003F9E" w:rsidRPr="00F71523" w:rsidRDefault="00003F9E" w:rsidP="00003F9E">
            <w:pPr>
              <w:pStyle w:val="TableBullet1"/>
              <w:cnfStyle w:val="000000000000" w:firstRow="0" w:lastRow="0" w:firstColumn="0" w:lastColumn="0" w:oddVBand="0" w:evenVBand="0" w:oddHBand="0" w:evenHBand="0" w:firstRowFirstColumn="0" w:firstRowLastColumn="0" w:lastRowFirstColumn="0" w:lastRowLastColumn="0"/>
            </w:pPr>
            <w:r w:rsidRPr="00F71523">
              <w:t xml:space="preserve">Review and approve </w:t>
            </w:r>
            <w:r w:rsidR="00184CEC" w:rsidRPr="00F71523">
              <w:t>the CEMP,</w:t>
            </w:r>
            <w:r w:rsidRPr="00F71523">
              <w:t xml:space="preserve"> SEIPs </w:t>
            </w:r>
            <w:r w:rsidR="00184CEC" w:rsidRPr="00F71523">
              <w:t xml:space="preserve">and the OEMP </w:t>
            </w:r>
            <w:r w:rsidR="002D20B1" w:rsidRPr="00F71523">
              <w:t xml:space="preserve">for the PPP </w:t>
            </w:r>
            <w:r w:rsidR="00947F90">
              <w:t>c</w:t>
            </w:r>
            <w:r w:rsidR="002D20B1" w:rsidRPr="00F71523">
              <w:t>ontract</w:t>
            </w:r>
          </w:p>
          <w:p w14:paraId="163CD9E9" w14:textId="2CF11CAB" w:rsidR="00003F9E" w:rsidRPr="00F71523" w:rsidRDefault="00003F9E" w:rsidP="00003F9E">
            <w:pPr>
              <w:pStyle w:val="TableBullet1"/>
              <w:cnfStyle w:val="000000000000" w:firstRow="0" w:lastRow="0" w:firstColumn="0" w:lastColumn="0" w:oddVBand="0" w:evenVBand="0" w:oddHBand="0" w:evenHBand="0" w:firstRowFirstColumn="0" w:firstRowLastColumn="0" w:lastRowFirstColumn="0" w:lastRowLastColumn="0"/>
            </w:pPr>
            <w:r w:rsidRPr="00F71523">
              <w:t xml:space="preserve">Prior to commencement of work, verify that the PPP </w:t>
            </w:r>
            <w:r w:rsidR="00B91C36">
              <w:t>c</w:t>
            </w:r>
            <w:r w:rsidRPr="00F71523">
              <w:t>ontractor has complied with the relevant Environmental Performance Requirements</w:t>
            </w:r>
          </w:p>
          <w:p w14:paraId="37807991" w14:textId="38E5A729" w:rsidR="00003F9E" w:rsidRPr="00F71523" w:rsidRDefault="00003F9E" w:rsidP="00003F9E">
            <w:pPr>
              <w:pStyle w:val="TableBullet1"/>
              <w:cnfStyle w:val="000000000000" w:firstRow="0" w:lastRow="0" w:firstColumn="0" w:lastColumn="0" w:oddVBand="0" w:evenVBand="0" w:oddHBand="0" w:evenHBand="0" w:firstRowFirstColumn="0" w:firstRowLastColumn="0" w:lastRowFirstColumn="0" w:lastRowLastColumn="0"/>
            </w:pPr>
            <w:r w:rsidRPr="00F71523">
              <w:t xml:space="preserve">Review the PPP </w:t>
            </w:r>
            <w:r w:rsidR="00B91C36">
              <w:t>c</w:t>
            </w:r>
            <w:r w:rsidRPr="00F71523">
              <w:t>ontractor’s performance against the Environmental Performance Requirements and take corrective action as necessary</w:t>
            </w:r>
          </w:p>
          <w:p w14:paraId="33EC1DBE" w14:textId="129B1747" w:rsidR="00FD6755" w:rsidRPr="00F71523" w:rsidRDefault="00FD6755" w:rsidP="00FD6755">
            <w:pPr>
              <w:pStyle w:val="TableBullet1"/>
              <w:cnfStyle w:val="000000000000" w:firstRow="0" w:lastRow="0" w:firstColumn="0" w:lastColumn="0" w:oddVBand="0" w:evenVBand="0" w:oddHBand="0" w:evenHBand="0" w:firstRowFirstColumn="0" w:firstRowLastColumn="0" w:lastRowFirstColumn="0" w:lastRowLastColumn="0"/>
            </w:pPr>
            <w:r w:rsidRPr="00F71523">
              <w:t xml:space="preserve">Prepare reports on the </w:t>
            </w:r>
            <w:r w:rsidR="00184CEC" w:rsidRPr="00F71523">
              <w:t xml:space="preserve">PPP </w:t>
            </w:r>
            <w:r w:rsidR="00B91C36">
              <w:t>c</w:t>
            </w:r>
            <w:r w:rsidRPr="00F71523">
              <w:t xml:space="preserve">ontractor’s compliance with the EMF and provide these to MMRA and the </w:t>
            </w:r>
            <w:r w:rsidR="00B91C36">
              <w:t>c</w:t>
            </w:r>
            <w:r w:rsidRPr="00F71523">
              <w:t>ontractor</w:t>
            </w:r>
          </w:p>
          <w:p w14:paraId="043DC6A9" w14:textId="2D643C70" w:rsidR="00FD6755" w:rsidRPr="00F71523" w:rsidRDefault="00FD6755" w:rsidP="00B91C36">
            <w:pPr>
              <w:pStyle w:val="TableBullet1"/>
              <w:cnfStyle w:val="000000000000" w:firstRow="0" w:lastRow="0" w:firstColumn="0" w:lastColumn="0" w:oddVBand="0" w:evenVBand="0" w:oddHBand="0" w:evenHBand="0" w:firstRowFirstColumn="0" w:firstRowLastColumn="0" w:lastRowFirstColumn="0" w:lastRowLastColumn="0"/>
            </w:pPr>
            <w:r w:rsidRPr="00F71523">
              <w:t xml:space="preserve">Prepare a quarterly report summarising the </w:t>
            </w:r>
            <w:r w:rsidR="00184CEC" w:rsidRPr="00F71523">
              <w:t xml:space="preserve">PPP </w:t>
            </w:r>
            <w:r w:rsidR="00B91C36">
              <w:t>c</w:t>
            </w:r>
            <w:r w:rsidRPr="00F71523">
              <w:t xml:space="preserve">ontractor’s compliance with the EMF and provide to MMRA and the </w:t>
            </w:r>
            <w:r w:rsidR="00B91C36">
              <w:t>c</w:t>
            </w:r>
            <w:r w:rsidRPr="00F71523">
              <w:t>ontractor</w:t>
            </w:r>
          </w:p>
        </w:tc>
      </w:tr>
      <w:tr w:rsidR="00FD6755" w:rsidRPr="00F71523" w14:paraId="2308404C" w14:textId="77777777" w:rsidTr="002D20B1">
        <w:trPr>
          <w:cantSplit/>
        </w:trPr>
        <w:tc>
          <w:tcPr>
            <w:cnfStyle w:val="001000000000" w:firstRow="0" w:lastRow="0" w:firstColumn="1" w:lastColumn="0" w:oddVBand="0" w:evenVBand="0" w:oddHBand="0" w:evenHBand="0" w:firstRowFirstColumn="0" w:firstRowLastColumn="0" w:lastRowFirstColumn="0" w:lastRowLastColumn="0"/>
            <w:tcW w:w="1526" w:type="dxa"/>
          </w:tcPr>
          <w:p w14:paraId="48C44756" w14:textId="275359ED" w:rsidR="00FD6755" w:rsidRPr="00F71523" w:rsidRDefault="00FD6755" w:rsidP="00482EE3">
            <w:pPr>
              <w:pStyle w:val="TableText"/>
            </w:pPr>
            <w:r w:rsidRPr="00F71523">
              <w:t xml:space="preserve">Independent </w:t>
            </w:r>
            <w:r w:rsidR="00003F9E" w:rsidRPr="00F71523">
              <w:t xml:space="preserve">Environmental </w:t>
            </w:r>
            <w:r w:rsidRPr="00F71523">
              <w:t xml:space="preserve">Auditor (For PPP </w:t>
            </w:r>
            <w:r w:rsidR="00947F90">
              <w:t>c</w:t>
            </w:r>
            <w:r w:rsidRPr="00F71523">
              <w:t>ontract)</w:t>
            </w:r>
          </w:p>
        </w:tc>
        <w:tc>
          <w:tcPr>
            <w:tcW w:w="5889" w:type="dxa"/>
          </w:tcPr>
          <w:p w14:paraId="2CF18589" w14:textId="796F703F" w:rsidR="00003F9E" w:rsidRPr="00F71523" w:rsidRDefault="00003F9E" w:rsidP="00FD6755">
            <w:pPr>
              <w:pStyle w:val="TableBullet1"/>
              <w:cnfStyle w:val="000000000000" w:firstRow="0" w:lastRow="0" w:firstColumn="0" w:lastColumn="0" w:oddVBand="0" w:evenVBand="0" w:oddHBand="0" w:evenHBand="0" w:firstRowFirstColumn="0" w:firstRowLastColumn="0" w:lastRowFirstColumn="0" w:lastRowLastColumn="0"/>
            </w:pPr>
            <w:r w:rsidRPr="00F71523">
              <w:t xml:space="preserve">Prior to commencement of work, verify that the PPP </w:t>
            </w:r>
            <w:r w:rsidR="00B91C36">
              <w:t>c</w:t>
            </w:r>
            <w:r w:rsidRPr="00F71523">
              <w:t>ontractor has complied with the relevant Environmental Performance Requirements</w:t>
            </w:r>
          </w:p>
          <w:p w14:paraId="489CA3B3" w14:textId="43321FBE" w:rsidR="00FD6755" w:rsidRPr="00F71523" w:rsidRDefault="00FD6755" w:rsidP="00FD6755">
            <w:pPr>
              <w:pStyle w:val="TableBullet1"/>
              <w:cnfStyle w:val="000000000000" w:firstRow="0" w:lastRow="0" w:firstColumn="0" w:lastColumn="0" w:oddVBand="0" w:evenVBand="0" w:oddHBand="0" w:evenHBand="0" w:firstRowFirstColumn="0" w:firstRowLastColumn="0" w:lastRowFirstColumn="0" w:lastRowLastColumn="0"/>
            </w:pPr>
            <w:r w:rsidRPr="00F71523">
              <w:t xml:space="preserve">Conduct audits of the </w:t>
            </w:r>
            <w:r w:rsidR="00184CEC" w:rsidRPr="00F71523">
              <w:t xml:space="preserve">PPP </w:t>
            </w:r>
            <w:r w:rsidR="00B91C36">
              <w:t>c</w:t>
            </w:r>
            <w:r w:rsidRPr="00F71523">
              <w:t>ontractor’s works to assess compliance with the CEMP</w:t>
            </w:r>
            <w:r w:rsidR="00003F9E" w:rsidRPr="00F71523">
              <w:t xml:space="preserve">, </w:t>
            </w:r>
            <w:r w:rsidR="00184CEC" w:rsidRPr="00F71523">
              <w:t xml:space="preserve">OEMP, </w:t>
            </w:r>
            <w:r w:rsidR="00003F9E" w:rsidRPr="00F71523">
              <w:t>EMF and Environmental Performance Requirements</w:t>
            </w:r>
          </w:p>
          <w:p w14:paraId="3C40D615" w14:textId="74F8836D" w:rsidR="00003F9E" w:rsidRPr="00F71523" w:rsidRDefault="00003F9E" w:rsidP="00FD6755">
            <w:pPr>
              <w:pStyle w:val="TableBullet1"/>
              <w:cnfStyle w:val="000000000000" w:firstRow="0" w:lastRow="0" w:firstColumn="0" w:lastColumn="0" w:oddVBand="0" w:evenVBand="0" w:oddHBand="0" w:evenHBand="0" w:firstRowFirstColumn="0" w:firstRowLastColumn="0" w:lastRowFirstColumn="0" w:lastRowLastColumn="0"/>
            </w:pPr>
            <w:r w:rsidRPr="00F71523">
              <w:t xml:space="preserve">Review the PPP </w:t>
            </w:r>
            <w:r w:rsidR="00B91C36">
              <w:t>c</w:t>
            </w:r>
            <w:r w:rsidRPr="00F71523">
              <w:t>ontractor’s performance against the Environmental Performance Requirements and take corrective action as necessary</w:t>
            </w:r>
          </w:p>
          <w:p w14:paraId="1E61A51E" w14:textId="77777777" w:rsidR="00FD6755" w:rsidRPr="00F71523" w:rsidRDefault="00FD6755" w:rsidP="00FD6755">
            <w:pPr>
              <w:pStyle w:val="TableBullet1"/>
              <w:cnfStyle w:val="000000000000" w:firstRow="0" w:lastRow="0" w:firstColumn="0" w:lastColumn="0" w:oddVBand="0" w:evenVBand="0" w:oddHBand="0" w:evenHBand="0" w:firstRowFirstColumn="0" w:firstRowLastColumn="0" w:lastRowFirstColumn="0" w:lastRowLastColumn="0"/>
            </w:pPr>
            <w:r w:rsidRPr="00F71523">
              <w:t>Prepare audit reports containing the results of audits</w:t>
            </w:r>
          </w:p>
        </w:tc>
      </w:tr>
    </w:tbl>
    <w:p w14:paraId="0E9779A1" w14:textId="77777777" w:rsidR="00FD6755" w:rsidRPr="00F71523" w:rsidRDefault="00FD6755" w:rsidP="00FD6755">
      <w:pPr>
        <w:pStyle w:val="Heading2"/>
      </w:pPr>
      <w:bookmarkStart w:id="12" w:name="_Ref447512824"/>
      <w:bookmarkStart w:id="13" w:name="_Toc450895087"/>
      <w:r w:rsidRPr="00F71523">
        <w:lastRenderedPageBreak/>
        <w:t>Risk and Impact Assessment</w:t>
      </w:r>
      <w:bookmarkEnd w:id="12"/>
      <w:bookmarkEnd w:id="13"/>
      <w:r w:rsidRPr="00F71523">
        <w:t xml:space="preserve"> </w:t>
      </w:r>
    </w:p>
    <w:p w14:paraId="6421DD0B" w14:textId="53D78913" w:rsidR="00FD6755" w:rsidRPr="00F71523" w:rsidRDefault="00FD6755" w:rsidP="00FD6755">
      <w:pPr>
        <w:pStyle w:val="BodyText"/>
      </w:pPr>
      <w:r w:rsidRPr="00F71523">
        <w:t xml:space="preserve">Environmental risks and impacts have been identified and assessed through the specialist investigations for the EES and a detailed environmental risk assessment process. As described in Chapter 4 of the EES, the objective of the environmental risk assessment </w:t>
      </w:r>
      <w:r w:rsidR="00003F9E" w:rsidRPr="00F71523">
        <w:t xml:space="preserve">is </w:t>
      </w:r>
      <w:r w:rsidRPr="00F71523">
        <w:t xml:space="preserve">to identify key social, environmental and business risks associated with construction and operation of the </w:t>
      </w:r>
      <w:r w:rsidR="00445D4E" w:rsidRPr="00F71523">
        <w:t>project</w:t>
      </w:r>
      <w:r w:rsidRPr="00F71523">
        <w:t xml:space="preserve">, and to develop management and mitigation measures to reduce these risks. </w:t>
      </w:r>
      <w:r w:rsidR="00496F2F" w:rsidRPr="00F71523">
        <w:t xml:space="preserve">Technical </w:t>
      </w:r>
      <w:r w:rsidRPr="00F71523">
        <w:t xml:space="preserve">Appendix B </w:t>
      </w:r>
      <w:r w:rsidRPr="00F71523">
        <w:rPr>
          <w:rStyle w:val="CharacterStyle-Italic"/>
        </w:rPr>
        <w:t xml:space="preserve">Environmental Risk Assessment </w:t>
      </w:r>
      <w:r w:rsidR="00496F2F" w:rsidRPr="00F71523">
        <w:rPr>
          <w:rStyle w:val="CharacterStyle-Italic"/>
        </w:rPr>
        <w:t>Report</w:t>
      </w:r>
      <w:r w:rsidR="00496F2F" w:rsidRPr="00F71523">
        <w:t xml:space="preserve"> contains</w:t>
      </w:r>
      <w:r w:rsidRPr="00F71523">
        <w:t xml:space="preserve"> further detail on the risk assessment and the complete risk register developed for the EES. </w:t>
      </w:r>
    </w:p>
    <w:p w14:paraId="0229DABF" w14:textId="77777777" w:rsidR="00FD6755" w:rsidRPr="00F71523" w:rsidRDefault="00FD6755" w:rsidP="00FD6755">
      <w:pPr>
        <w:pStyle w:val="BodyText"/>
      </w:pPr>
      <w:r w:rsidRPr="00F71523">
        <w:t>The environmental risk assessment developed for the EES forms a key component of the EMF. This risk assessment would be 'live' and updated periodically to reflect the project status and any new information arising.</w:t>
      </w:r>
    </w:p>
    <w:p w14:paraId="1AB98C82" w14:textId="5B37D3BB" w:rsidR="00FD6755" w:rsidRPr="00F71523" w:rsidRDefault="00FD6755" w:rsidP="00FD6755">
      <w:pPr>
        <w:pStyle w:val="BodyText"/>
      </w:pPr>
      <w:r w:rsidRPr="00F71523">
        <w:t xml:space="preserve">As part of their EMS, the </w:t>
      </w:r>
      <w:r w:rsidR="00226DB5">
        <w:t>c</w:t>
      </w:r>
      <w:r w:rsidRPr="00F71523">
        <w:t xml:space="preserve">ontractors would be required to develop a detailed environmental risk assessment based on the detailed design of the project and consider the risks identified in the EES. The risk assessment would be required to be consistent with AS/NZS ISO 31000:2009 </w:t>
      </w:r>
      <w:r w:rsidRPr="00F71523">
        <w:rPr>
          <w:rStyle w:val="CharacterStyle-Italic"/>
        </w:rPr>
        <w:t>Risk management</w:t>
      </w:r>
      <w:r w:rsidR="004E78F0" w:rsidRPr="00F71523">
        <w:rPr>
          <w:rStyle w:val="CharacterStyle-Italic"/>
        </w:rPr>
        <w:t xml:space="preserve"> – </w:t>
      </w:r>
      <w:r w:rsidRPr="00F71523">
        <w:rPr>
          <w:rStyle w:val="CharacterStyle-Italic"/>
        </w:rPr>
        <w:t>principles and guidelines</w:t>
      </w:r>
      <w:r w:rsidRPr="00F71523">
        <w:t xml:space="preserve">. The </w:t>
      </w:r>
      <w:r w:rsidR="00A0220B">
        <w:t>c</w:t>
      </w:r>
      <w:r w:rsidRPr="00F71523">
        <w:t>ontractors would be required to maintain a current risk register</w:t>
      </w:r>
      <w:r w:rsidR="00616BFE">
        <w:t xml:space="preserve"> which would be ‘live’</w:t>
      </w:r>
      <w:r w:rsidRPr="00F71523">
        <w:t>, adopting regular reviews and updating the register in response to changes to design</w:t>
      </w:r>
      <w:r w:rsidR="00D064F5">
        <w:t>,</w:t>
      </w:r>
      <w:r w:rsidRPr="00F71523">
        <w:t xml:space="preserve"> construction </w:t>
      </w:r>
      <w:r w:rsidR="00D064F5">
        <w:t xml:space="preserve">or operational </w:t>
      </w:r>
      <w:r w:rsidRPr="00F71523">
        <w:t xml:space="preserve">activities, work methods, </w:t>
      </w:r>
      <w:r w:rsidR="00616BFE">
        <w:t xml:space="preserve">new technology, </w:t>
      </w:r>
      <w:r w:rsidRPr="00F71523">
        <w:t>legislation and policy, or the occurrence of incidents or complaints.</w:t>
      </w:r>
    </w:p>
    <w:p w14:paraId="5B5016C4" w14:textId="77777777" w:rsidR="00FD6755" w:rsidRPr="00F71523" w:rsidRDefault="00FD6755" w:rsidP="00FD6755">
      <w:pPr>
        <w:pStyle w:val="Heading2"/>
      </w:pPr>
      <w:bookmarkStart w:id="14" w:name="_Ref447512835"/>
      <w:bookmarkStart w:id="15" w:name="_Toc450895088"/>
      <w:r w:rsidRPr="00F71523">
        <w:t>Environmental Performance Requirements</w:t>
      </w:r>
      <w:bookmarkEnd w:id="14"/>
      <w:bookmarkEnd w:id="15"/>
      <w:r w:rsidRPr="00F71523">
        <w:t xml:space="preserve"> </w:t>
      </w:r>
    </w:p>
    <w:p w14:paraId="2A864F3F" w14:textId="79A81381" w:rsidR="00482EE3" w:rsidRPr="00F71523" w:rsidRDefault="00482EE3" w:rsidP="0066216E">
      <w:pPr>
        <w:pStyle w:val="BodyText"/>
      </w:pPr>
      <w:r w:rsidRPr="00F71523">
        <w:t xml:space="preserve">Melbourne Metro will be delivered in accordance with </w:t>
      </w:r>
      <w:r w:rsidR="004A24BF">
        <w:t xml:space="preserve">approved </w:t>
      </w:r>
      <w:r w:rsidRPr="00F71523">
        <w:t>Environmental Performance Requirements</w:t>
      </w:r>
      <w:r w:rsidR="004A24BF">
        <w:t>. Environmental Performance Requirements</w:t>
      </w:r>
      <w:r w:rsidRPr="00F71523">
        <w:t xml:space="preserve"> define the project-wide environmental outcomes that must be achieved during design, construction and operation </w:t>
      </w:r>
      <w:r w:rsidR="00445D4E" w:rsidRPr="00F71523">
        <w:t xml:space="preserve">of Melbourne Metro </w:t>
      </w:r>
      <w:r w:rsidRPr="00F71523">
        <w:t xml:space="preserve">(regardless of the design solutions adopted). </w:t>
      </w:r>
    </w:p>
    <w:p w14:paraId="7D9AE8E4" w14:textId="719A6F02" w:rsidR="00482EE3" w:rsidRPr="00F71523" w:rsidRDefault="00482EE3" w:rsidP="00482EE3">
      <w:pPr>
        <w:pStyle w:val="BodyText"/>
      </w:pPr>
      <w:r w:rsidRPr="00F71523">
        <w:t xml:space="preserve">This performance-based approach </w:t>
      </w:r>
      <w:r w:rsidR="00FF561B" w:rsidRPr="00F71523">
        <w:t xml:space="preserve">of the Environmental Performance Requirements </w:t>
      </w:r>
      <w:r w:rsidRPr="00F71523">
        <w:t>aims to achieve outcomes that provide a net community benefit, while allowing for a delivery model with sufficient flexibility to encourage innovation by the private sector to determine how any recommended Environmental Performance Requirements would be achieved.</w:t>
      </w:r>
      <w:r w:rsidR="003360E4" w:rsidRPr="00F71523">
        <w:t xml:space="preserve"> </w:t>
      </w:r>
    </w:p>
    <w:p w14:paraId="4A09CE28" w14:textId="0297771D" w:rsidR="00410104" w:rsidRPr="00F71523" w:rsidRDefault="003360E4" w:rsidP="00482EE3">
      <w:pPr>
        <w:pStyle w:val="BodyText"/>
      </w:pPr>
      <w:r w:rsidRPr="00F71523">
        <w:t>Many Environmental Performance Requirements require consultation to be undertaken with relevant stakeholders.</w:t>
      </w:r>
      <w:r w:rsidR="00410104" w:rsidRPr="00F71523">
        <w:t xml:space="preserve"> The extent of consultation and</w:t>
      </w:r>
      <w:r w:rsidR="00A724C2" w:rsidRPr="00F71523">
        <w:t xml:space="preserve"> outcomes would be documented</w:t>
      </w:r>
      <w:r w:rsidR="00410104" w:rsidRPr="00F71523">
        <w:t xml:space="preserve"> to demonstrate compliance with the Environmental Performance Requirements.</w:t>
      </w:r>
      <w:r w:rsidR="0038795A">
        <w:t xml:space="preserve"> In instances where an Environmental Performance Requirement necessitates the involvement of a ‘responsible authority</w:t>
      </w:r>
      <w:r w:rsidR="000B422A">
        <w:t>’</w:t>
      </w:r>
      <w:r w:rsidR="0038795A">
        <w:t xml:space="preserve">, this is defined as the relevant responsible authority for the requirement specified. The responsible authority may be the Minister for Planning, local </w:t>
      </w:r>
      <w:r w:rsidR="000B422A">
        <w:t>c</w:t>
      </w:r>
      <w:r w:rsidR="0038795A">
        <w:t>ouncil, Melbourne Water, VicRoads, etc.</w:t>
      </w:r>
    </w:p>
    <w:p w14:paraId="3AE57E32" w14:textId="77777777" w:rsidR="00482EE3" w:rsidRPr="00F71523" w:rsidRDefault="00482EE3" w:rsidP="00482EE3">
      <w:pPr>
        <w:pStyle w:val="BodyText"/>
      </w:pPr>
      <w:r w:rsidRPr="00F71523">
        <w:lastRenderedPageBreak/>
        <w:t xml:space="preserve">Proposed mitigation measures identified in this EES to avoid, reduce or offset environmental impacts form the basis of the recommended Environmental Performance Requirements for Melbourne Metro. These measures have been recommended by specialists through the EES assessment process. </w:t>
      </w:r>
    </w:p>
    <w:p w14:paraId="11271850" w14:textId="27267E39" w:rsidR="00FD6755" w:rsidRPr="00F71523" w:rsidRDefault="00FD6755" w:rsidP="00FD6755">
      <w:pPr>
        <w:pStyle w:val="BodyText"/>
      </w:pPr>
      <w:r w:rsidRPr="00F71523">
        <w:t xml:space="preserve">The approach adopted </w:t>
      </w:r>
      <w:r w:rsidR="00FF561B" w:rsidRPr="00F71523">
        <w:t xml:space="preserve">to </w:t>
      </w:r>
      <w:r w:rsidRPr="00F71523">
        <w:t xml:space="preserve">assess environmental risks and impacts and develop the Environmental Performance Requirements is described in Chapter 4 </w:t>
      </w:r>
      <w:r w:rsidRPr="00F71523">
        <w:rPr>
          <w:rStyle w:val="CharacterStyle-Italic"/>
        </w:rPr>
        <w:t>EES Assessment Framework and Approach</w:t>
      </w:r>
      <w:r w:rsidRPr="00F71523">
        <w:t xml:space="preserve">. Specific requirements are discussed in the relevant sections of Chapters </w:t>
      </w:r>
      <w:r w:rsidR="00226DB5">
        <w:t>8</w:t>
      </w:r>
      <w:r w:rsidRPr="00F71523">
        <w:t xml:space="preserve"> to 22 of </w:t>
      </w:r>
      <w:r w:rsidR="00FF561B" w:rsidRPr="00F71523">
        <w:t xml:space="preserve">this </w:t>
      </w:r>
      <w:r w:rsidRPr="00F71523">
        <w:t>EES.</w:t>
      </w:r>
    </w:p>
    <w:p w14:paraId="23DC67DE" w14:textId="18D7359B" w:rsidR="00D377B9" w:rsidRDefault="00FD6755" w:rsidP="00FD6755">
      <w:pPr>
        <w:pStyle w:val="BodyText"/>
      </w:pPr>
      <w:r w:rsidRPr="00F71523">
        <w:t xml:space="preserve">The </w:t>
      </w:r>
      <w:r w:rsidR="00457BDE">
        <w:t xml:space="preserve">recommended </w:t>
      </w:r>
      <w:r w:rsidRPr="00F71523">
        <w:t xml:space="preserve">Environmental Performance Requirements are presented in </w:t>
      </w:r>
      <w:r w:rsidR="00482EE3" w:rsidRPr="00F71523">
        <w:fldChar w:fldCharType="begin"/>
      </w:r>
      <w:r w:rsidR="00482EE3" w:rsidRPr="00F71523">
        <w:instrText xml:space="preserve"> REF _Ref446419212 \h </w:instrText>
      </w:r>
      <w:r w:rsidR="00482EE3" w:rsidRPr="00F71523">
        <w:fldChar w:fldCharType="separate"/>
      </w:r>
      <w:r w:rsidR="002F5366" w:rsidRPr="00F71523">
        <w:t>Table </w:t>
      </w:r>
      <w:r w:rsidR="002F5366">
        <w:rPr>
          <w:noProof/>
          <w:cs/>
        </w:rPr>
        <w:t>‎</w:t>
      </w:r>
      <w:r w:rsidR="002F5366">
        <w:rPr>
          <w:noProof/>
        </w:rPr>
        <w:t>23</w:t>
      </w:r>
      <w:r w:rsidR="002F5366" w:rsidRPr="00F71523">
        <w:t>–</w:t>
      </w:r>
      <w:r w:rsidR="002F5366">
        <w:rPr>
          <w:noProof/>
        </w:rPr>
        <w:t>2</w:t>
      </w:r>
      <w:r w:rsidR="00482EE3" w:rsidRPr="00F71523">
        <w:fldChar w:fldCharType="end"/>
      </w:r>
      <w:r w:rsidRPr="00F71523">
        <w:t>. They cover the following subject areas:</w:t>
      </w:r>
    </w:p>
    <w:p w14:paraId="2C2CAEA3" w14:textId="77777777" w:rsidR="007E71B2" w:rsidRDefault="007E71B2" w:rsidP="00FD6755">
      <w:pPr>
        <w:pStyle w:val="BodyText"/>
        <w:sectPr w:rsidR="007E71B2" w:rsidSect="002B5936">
          <w:footerReference w:type="even" r:id="rId13"/>
          <w:footerReference w:type="default" r:id="rId14"/>
          <w:headerReference w:type="first" r:id="rId15"/>
          <w:footerReference w:type="first" r:id="rId16"/>
          <w:footnotePr>
            <w:numFmt w:val="chicago"/>
            <w:numRestart w:val="eachPage"/>
          </w:footnotePr>
          <w:type w:val="oddPage"/>
          <w:pgSz w:w="11906" w:h="16838" w:code="9"/>
          <w:pgMar w:top="1701" w:right="1418" w:bottom="1701" w:left="3289" w:header="567" w:footer="567" w:gutter="0"/>
          <w:pgNumType w:start="1" w:chapStyle="1" w:chapSep="enDash"/>
          <w:cols w:space="708"/>
          <w:formProt w:val="0"/>
          <w:docGrid w:linePitch="360"/>
        </w:sectPr>
      </w:pPr>
    </w:p>
    <w:p w14:paraId="53D04BC3" w14:textId="77777777" w:rsidR="007E71B2" w:rsidRPr="00F71523" w:rsidRDefault="007E71B2" w:rsidP="007E71B2">
      <w:pPr>
        <w:pStyle w:val="BodyBullet1"/>
      </w:pPr>
      <w:r w:rsidRPr="00F71523">
        <w:lastRenderedPageBreak/>
        <w:t>Aboriginal cultural heritage</w:t>
      </w:r>
    </w:p>
    <w:p w14:paraId="78F767C8" w14:textId="77777777" w:rsidR="007E71B2" w:rsidRPr="00F71523" w:rsidRDefault="007E71B2" w:rsidP="007E71B2">
      <w:pPr>
        <w:pStyle w:val="BodyBullet1"/>
      </w:pPr>
      <w:r w:rsidRPr="00F71523">
        <w:t>Air quality</w:t>
      </w:r>
    </w:p>
    <w:p w14:paraId="46554BBB" w14:textId="77777777" w:rsidR="007E71B2" w:rsidRPr="00F71523" w:rsidRDefault="007E71B2" w:rsidP="007E71B2">
      <w:pPr>
        <w:pStyle w:val="BodyBullet1"/>
      </w:pPr>
      <w:r w:rsidRPr="00F71523">
        <w:t>Aquatic ecology and river health</w:t>
      </w:r>
    </w:p>
    <w:p w14:paraId="51472A50" w14:textId="77777777" w:rsidR="007E71B2" w:rsidRPr="00F71523" w:rsidRDefault="007E71B2" w:rsidP="007E71B2">
      <w:pPr>
        <w:pStyle w:val="BodyBullet1"/>
      </w:pPr>
      <w:r w:rsidRPr="00F71523">
        <w:t>Arboriculture</w:t>
      </w:r>
    </w:p>
    <w:p w14:paraId="322F0FB0" w14:textId="77777777" w:rsidR="007E71B2" w:rsidRPr="00F71523" w:rsidRDefault="007E71B2" w:rsidP="007E71B2">
      <w:pPr>
        <w:pStyle w:val="BodyBullet1"/>
      </w:pPr>
      <w:r w:rsidRPr="00F71523">
        <w:t>Business</w:t>
      </w:r>
    </w:p>
    <w:p w14:paraId="5279977F" w14:textId="77777777" w:rsidR="007E71B2" w:rsidRPr="00F71523" w:rsidRDefault="007E71B2" w:rsidP="007E71B2">
      <w:pPr>
        <w:pStyle w:val="BodyBullet1"/>
      </w:pPr>
      <w:r w:rsidRPr="00F71523">
        <w:t>Contaminated land and spoil management</w:t>
      </w:r>
    </w:p>
    <w:p w14:paraId="1DB5C4B2" w14:textId="77777777" w:rsidR="007E71B2" w:rsidRPr="00F71523" w:rsidRDefault="007E71B2" w:rsidP="007E71B2">
      <w:pPr>
        <w:pStyle w:val="BodyBullet1"/>
      </w:pPr>
      <w:r w:rsidRPr="00F71523">
        <w:t>Greenhouse gas emissions</w:t>
      </w:r>
    </w:p>
    <w:p w14:paraId="6147A72B" w14:textId="77777777" w:rsidR="007E71B2" w:rsidRPr="00F71523" w:rsidRDefault="007E71B2" w:rsidP="007E71B2">
      <w:pPr>
        <w:pStyle w:val="BodyBullet1"/>
      </w:pPr>
      <w:r w:rsidRPr="00F71523">
        <w:t>Groundwater</w:t>
      </w:r>
    </w:p>
    <w:p w14:paraId="311411C1" w14:textId="14E519E7" w:rsidR="007E71B2" w:rsidRDefault="007E71B2" w:rsidP="007E71B2">
      <w:pPr>
        <w:pStyle w:val="BodyBullet1"/>
      </w:pPr>
      <w:r w:rsidRPr="00F71523">
        <w:t>Ground movement</w:t>
      </w:r>
    </w:p>
    <w:p w14:paraId="73435768" w14:textId="77777777" w:rsidR="007E71B2" w:rsidRPr="00F71523" w:rsidRDefault="007E71B2" w:rsidP="007E71B2">
      <w:pPr>
        <w:pStyle w:val="BodyBullet1"/>
      </w:pPr>
      <w:r w:rsidRPr="00F71523">
        <w:lastRenderedPageBreak/>
        <w:t>Historical cultural heritage</w:t>
      </w:r>
    </w:p>
    <w:p w14:paraId="797D1D47" w14:textId="77777777" w:rsidR="007E71B2" w:rsidRPr="00F71523" w:rsidRDefault="007E71B2" w:rsidP="007E71B2">
      <w:pPr>
        <w:pStyle w:val="BodyBullet1"/>
      </w:pPr>
      <w:r w:rsidRPr="00F71523">
        <w:t>Land use and planning</w:t>
      </w:r>
    </w:p>
    <w:p w14:paraId="4FD91E4F" w14:textId="77777777" w:rsidR="007E71B2" w:rsidRPr="00F71523" w:rsidRDefault="007E71B2" w:rsidP="007E71B2">
      <w:pPr>
        <w:pStyle w:val="BodyBullet1"/>
      </w:pPr>
      <w:r w:rsidRPr="00F71523">
        <w:t xml:space="preserve">Landscape and visual </w:t>
      </w:r>
    </w:p>
    <w:p w14:paraId="576C9DBB" w14:textId="77777777" w:rsidR="007E71B2" w:rsidRPr="00F71523" w:rsidRDefault="007E71B2" w:rsidP="007E71B2">
      <w:pPr>
        <w:pStyle w:val="BodyBullet1"/>
      </w:pPr>
      <w:r w:rsidRPr="00F71523">
        <w:t>Noise and vibration</w:t>
      </w:r>
    </w:p>
    <w:p w14:paraId="7CEBF163" w14:textId="77777777" w:rsidR="007E71B2" w:rsidRPr="00F71523" w:rsidRDefault="007E71B2" w:rsidP="007E71B2">
      <w:pPr>
        <w:pStyle w:val="BodyBullet1"/>
      </w:pPr>
      <w:r w:rsidRPr="00F71523">
        <w:t>Surface water</w:t>
      </w:r>
    </w:p>
    <w:p w14:paraId="029856BC" w14:textId="77777777" w:rsidR="007E71B2" w:rsidRPr="00F71523" w:rsidRDefault="007E71B2" w:rsidP="007E71B2">
      <w:pPr>
        <w:pStyle w:val="BodyBullet1"/>
      </w:pPr>
      <w:r w:rsidRPr="00F71523">
        <w:t>Social and community</w:t>
      </w:r>
    </w:p>
    <w:p w14:paraId="29440FD6" w14:textId="77777777" w:rsidR="007E71B2" w:rsidRPr="00F71523" w:rsidRDefault="007E71B2" w:rsidP="007E71B2">
      <w:pPr>
        <w:pStyle w:val="BodyBullet1"/>
      </w:pPr>
      <w:r w:rsidRPr="00F71523">
        <w:t>Terrestrial flora and fauna</w:t>
      </w:r>
    </w:p>
    <w:p w14:paraId="33205EA9" w14:textId="77777777" w:rsidR="007E71B2" w:rsidRPr="00F71523" w:rsidRDefault="007E71B2" w:rsidP="007E71B2">
      <w:pPr>
        <w:pStyle w:val="BodyBullet1"/>
      </w:pPr>
      <w:r w:rsidRPr="00F71523">
        <w:t>Transport</w:t>
      </w:r>
    </w:p>
    <w:p w14:paraId="341F815E" w14:textId="7BDC42AC" w:rsidR="007E71B2" w:rsidRDefault="007E71B2" w:rsidP="007E71B2">
      <w:pPr>
        <w:pStyle w:val="BodyBullet1"/>
      </w:pPr>
      <w:r w:rsidRPr="00F71523">
        <w:t>Urban design.</w:t>
      </w:r>
    </w:p>
    <w:p w14:paraId="2E6C5E73" w14:textId="77777777" w:rsidR="007E71B2" w:rsidRDefault="007E71B2" w:rsidP="00FD6755">
      <w:pPr>
        <w:pStyle w:val="BodyText"/>
      </w:pPr>
    </w:p>
    <w:p w14:paraId="79C320E4" w14:textId="77777777" w:rsidR="007E71B2" w:rsidRDefault="007E71B2" w:rsidP="00FD6755">
      <w:pPr>
        <w:pStyle w:val="BodyText"/>
        <w:sectPr w:rsidR="007E71B2" w:rsidSect="007E71B2">
          <w:footnotePr>
            <w:numFmt w:val="chicago"/>
            <w:numRestart w:val="eachPage"/>
          </w:footnotePr>
          <w:type w:val="continuous"/>
          <w:pgSz w:w="11906" w:h="16838" w:code="9"/>
          <w:pgMar w:top="1701" w:right="1418" w:bottom="1701" w:left="3289" w:header="567" w:footer="567" w:gutter="0"/>
          <w:pgNumType w:start="1" w:chapStyle="1" w:chapSep="enDash"/>
          <w:cols w:num="2" w:space="709"/>
          <w:formProt w:val="0"/>
          <w:docGrid w:linePitch="360"/>
        </w:sectPr>
      </w:pPr>
    </w:p>
    <w:p w14:paraId="47397155" w14:textId="721C6A59" w:rsidR="00FF561B" w:rsidRPr="00F71523" w:rsidRDefault="00FF561B" w:rsidP="00FF561B">
      <w:pPr>
        <w:pStyle w:val="BodyText"/>
      </w:pPr>
      <w:r w:rsidRPr="00F71523">
        <w:lastRenderedPageBreak/>
        <w:t>The EMF, including all recommended Environmental Performance Requirements</w:t>
      </w:r>
      <w:r w:rsidR="00445D4E" w:rsidRPr="00F71523">
        <w:t>,</w:t>
      </w:r>
      <w:r w:rsidRPr="00F71523">
        <w:t xml:space="preserve"> </w:t>
      </w:r>
      <w:r w:rsidR="004A24BF">
        <w:t>would</w:t>
      </w:r>
      <w:r w:rsidR="004A24BF" w:rsidRPr="00F71523">
        <w:t xml:space="preserve"> </w:t>
      </w:r>
      <w:r w:rsidRPr="00F71523">
        <w:t xml:space="preserve">be implemented through </w:t>
      </w:r>
      <w:r w:rsidR="003360E4" w:rsidRPr="00F71523">
        <w:t xml:space="preserve">Project </w:t>
      </w:r>
      <w:r w:rsidR="00B17076" w:rsidRPr="00F71523">
        <w:t>Contracts</w:t>
      </w:r>
      <w:r w:rsidRPr="00F71523">
        <w:t xml:space="preserve"> for the delivery of Melbourne Metro. Under the proposed planning scheme controls for Melbourne Metro, the EMF and Environmental Performance Requirements </w:t>
      </w:r>
      <w:r w:rsidR="004A24BF">
        <w:t xml:space="preserve">would </w:t>
      </w:r>
      <w:r w:rsidRPr="00F71523">
        <w:t>also need to be approved by the Minister for Planning.</w:t>
      </w:r>
    </w:p>
    <w:p w14:paraId="63417B62" w14:textId="398B01D2" w:rsidR="00D377B9" w:rsidRPr="00F71523" w:rsidRDefault="00D377B9" w:rsidP="00D377B9">
      <w:pPr>
        <w:pStyle w:val="BodyText"/>
      </w:pPr>
      <w:r w:rsidRPr="00F71523">
        <w:t>The EMF and the Environmental Performance Requirements w</w:t>
      </w:r>
      <w:r w:rsidR="00226DB5">
        <w:t xml:space="preserve">ill </w:t>
      </w:r>
      <w:r w:rsidRPr="00F71523">
        <w:t>be updated by MMRA prior to awarding the contract</w:t>
      </w:r>
      <w:r w:rsidR="00FF561B" w:rsidRPr="00F71523">
        <w:t>s</w:t>
      </w:r>
      <w:r w:rsidRPr="00F71523">
        <w:t xml:space="preserve"> to ensure all approval conditions </w:t>
      </w:r>
      <w:r w:rsidR="00482EE3" w:rsidRPr="00F71523">
        <w:t>of the</w:t>
      </w:r>
      <w:r w:rsidR="00FF561B" w:rsidRPr="00F71523">
        <w:t xml:space="preserve"> </w:t>
      </w:r>
      <w:r w:rsidR="00482EE3" w:rsidRPr="00F71523">
        <w:t xml:space="preserve">planning controls applied under the Planning Scheme Amendment as </w:t>
      </w:r>
      <w:r w:rsidRPr="00F71523">
        <w:t>specified by the Minister for Planning are captured.</w:t>
      </w:r>
      <w:r w:rsidR="00482EE3" w:rsidRPr="00F71523">
        <w:t xml:space="preserve"> </w:t>
      </w:r>
    </w:p>
    <w:p w14:paraId="62275A3C" w14:textId="77777777" w:rsidR="00D377B9" w:rsidRPr="00F71523" w:rsidRDefault="00D377B9" w:rsidP="00FD6755">
      <w:pPr>
        <w:pStyle w:val="BodyText"/>
        <w:sectPr w:rsidR="00D377B9" w:rsidRPr="00F71523" w:rsidSect="007E71B2">
          <w:footnotePr>
            <w:numFmt w:val="chicago"/>
            <w:numRestart w:val="eachPage"/>
          </w:footnotePr>
          <w:type w:val="continuous"/>
          <w:pgSz w:w="11906" w:h="16838" w:code="9"/>
          <w:pgMar w:top="1701" w:right="1418" w:bottom="1701" w:left="3289" w:header="567" w:footer="567" w:gutter="0"/>
          <w:pgNumType w:start="1" w:chapStyle="1" w:chapSep="enDash"/>
          <w:cols w:space="708"/>
          <w:formProt w:val="0"/>
          <w:docGrid w:linePitch="360"/>
        </w:sectPr>
      </w:pPr>
    </w:p>
    <w:p w14:paraId="1ABD9567" w14:textId="33D1F279" w:rsidR="00D377B9" w:rsidRPr="00F71523" w:rsidRDefault="00D377B9" w:rsidP="007E71B2">
      <w:pPr>
        <w:pStyle w:val="Caption"/>
        <w:spacing w:before="0"/>
        <w:rPr>
          <w:rStyle w:val="CharacterStyle-Highlight"/>
        </w:rPr>
      </w:pPr>
      <w:bookmarkStart w:id="16" w:name="_Ref446419212"/>
      <w:r w:rsidRPr="00F71523">
        <w:lastRenderedPageBreak/>
        <w:t>Table </w:t>
      </w:r>
      <w:fldSimple w:instr=" STYLEREF 1 \s ">
        <w:r w:rsidR="002F5366">
          <w:rPr>
            <w:noProof/>
            <w:cs/>
          </w:rPr>
          <w:t>‎</w:t>
        </w:r>
        <w:r w:rsidR="002F5366">
          <w:rPr>
            <w:noProof/>
          </w:rPr>
          <w:t>23</w:t>
        </w:r>
      </w:fldSimple>
      <w:r w:rsidR="009E42D8" w:rsidRPr="00F71523">
        <w:t>–</w:t>
      </w:r>
      <w:fldSimple w:instr=" SEQ Table \* ARABIC \s 1 ">
        <w:r w:rsidR="002F5366">
          <w:rPr>
            <w:noProof/>
          </w:rPr>
          <w:t>2</w:t>
        </w:r>
      </w:fldSimple>
      <w:bookmarkEnd w:id="16"/>
      <w:r w:rsidRPr="00F71523">
        <w:tab/>
      </w:r>
      <w:r w:rsidR="00457BDE">
        <w:t xml:space="preserve">Recommended </w:t>
      </w:r>
      <w:r w:rsidRPr="00F71523">
        <w:t>Environmental Performance Requirements</w:t>
      </w:r>
    </w:p>
    <w:tbl>
      <w:tblPr>
        <w:tblStyle w:val="MainTableStyle"/>
        <w:tblW w:w="14567" w:type="dxa"/>
        <w:tblLayout w:type="fixed"/>
        <w:tblLook w:val="0420" w:firstRow="1" w:lastRow="0" w:firstColumn="0" w:lastColumn="0" w:noHBand="0" w:noVBand="1"/>
      </w:tblPr>
      <w:tblGrid>
        <w:gridCol w:w="2046"/>
        <w:gridCol w:w="800"/>
        <w:gridCol w:w="7894"/>
        <w:gridCol w:w="1168"/>
        <w:gridCol w:w="1276"/>
        <w:gridCol w:w="1383"/>
      </w:tblGrid>
      <w:tr w:rsidR="00953369" w:rsidRPr="00F71523" w14:paraId="0B548073" w14:textId="77777777" w:rsidTr="00CB066E">
        <w:trPr>
          <w:cnfStyle w:val="100000000000" w:firstRow="1" w:lastRow="0" w:firstColumn="0" w:lastColumn="0" w:oddVBand="0" w:evenVBand="0" w:oddHBand="0" w:evenHBand="0" w:firstRowFirstColumn="0" w:firstRowLastColumn="0" w:lastRowFirstColumn="0" w:lastRowLastColumn="0"/>
        </w:trPr>
        <w:tc>
          <w:tcPr>
            <w:tcW w:w="2046" w:type="dxa"/>
            <w:hideMark/>
          </w:tcPr>
          <w:p w14:paraId="76194F94" w14:textId="77777777" w:rsidR="00147A19" w:rsidRPr="00F71523" w:rsidRDefault="00147A19" w:rsidP="002D20B1">
            <w:pPr>
              <w:pStyle w:val="TableText"/>
            </w:pPr>
            <w:r w:rsidRPr="00F71523">
              <w:t>Draft EES Evaluation Objective</w:t>
            </w:r>
          </w:p>
        </w:tc>
        <w:tc>
          <w:tcPr>
            <w:tcW w:w="800" w:type="dxa"/>
            <w:hideMark/>
          </w:tcPr>
          <w:p w14:paraId="440EE5B0" w14:textId="77777777" w:rsidR="00147A19" w:rsidRPr="00F71523" w:rsidRDefault="00147A19" w:rsidP="00953369">
            <w:pPr>
              <w:pStyle w:val="TableText"/>
              <w:jc w:val="center"/>
            </w:pPr>
            <w:r w:rsidRPr="00F71523">
              <w:t>EPR no.</w:t>
            </w:r>
          </w:p>
        </w:tc>
        <w:tc>
          <w:tcPr>
            <w:tcW w:w="7894" w:type="dxa"/>
            <w:hideMark/>
          </w:tcPr>
          <w:p w14:paraId="0A8E73C6" w14:textId="77777777" w:rsidR="00147A19" w:rsidRPr="00F71523" w:rsidRDefault="00147A19" w:rsidP="002D20B1">
            <w:pPr>
              <w:pStyle w:val="TableText"/>
            </w:pPr>
            <w:r w:rsidRPr="00F71523">
              <w:t>Environmental Performance Requirement</w:t>
            </w:r>
          </w:p>
        </w:tc>
        <w:tc>
          <w:tcPr>
            <w:tcW w:w="1168" w:type="dxa"/>
            <w:hideMark/>
          </w:tcPr>
          <w:p w14:paraId="15FC1673" w14:textId="77777777" w:rsidR="00147A19" w:rsidRPr="00F71523" w:rsidRDefault="00147A19" w:rsidP="00457BDE">
            <w:pPr>
              <w:pStyle w:val="TableText"/>
            </w:pPr>
            <w:r w:rsidRPr="00F71523">
              <w:t>Precinct</w:t>
            </w:r>
          </w:p>
        </w:tc>
        <w:tc>
          <w:tcPr>
            <w:tcW w:w="1276" w:type="dxa"/>
            <w:hideMark/>
          </w:tcPr>
          <w:p w14:paraId="02F5F101" w14:textId="77777777" w:rsidR="00147A19" w:rsidRPr="00F71523" w:rsidRDefault="00147A19" w:rsidP="00457BDE">
            <w:pPr>
              <w:pStyle w:val="TableText"/>
            </w:pPr>
            <w:r w:rsidRPr="00F71523">
              <w:t>Timing</w:t>
            </w:r>
          </w:p>
        </w:tc>
        <w:tc>
          <w:tcPr>
            <w:tcW w:w="1383" w:type="dxa"/>
            <w:hideMark/>
          </w:tcPr>
          <w:p w14:paraId="302B61D2" w14:textId="77777777" w:rsidR="00147A19" w:rsidRPr="00F71523" w:rsidRDefault="00147A19" w:rsidP="00953369">
            <w:pPr>
              <w:pStyle w:val="TableText"/>
              <w:jc w:val="center"/>
            </w:pPr>
            <w:r w:rsidRPr="00F71523">
              <w:t>Risk No.</w:t>
            </w:r>
          </w:p>
        </w:tc>
      </w:tr>
      <w:tr w:rsidR="00656E3A" w:rsidRPr="00F71523" w14:paraId="2D0CB083" w14:textId="77777777" w:rsidTr="00CB066E">
        <w:trPr>
          <w:cantSplit/>
        </w:trPr>
        <w:tc>
          <w:tcPr>
            <w:tcW w:w="14567" w:type="dxa"/>
            <w:gridSpan w:val="6"/>
            <w:shd w:val="clear" w:color="auto" w:fill="F2F2F2" w:themeFill="background1" w:themeFillShade="F2"/>
            <w:hideMark/>
          </w:tcPr>
          <w:p w14:paraId="43D06703" w14:textId="77777777" w:rsidR="008445FF" w:rsidRPr="00F71523" w:rsidRDefault="008445FF" w:rsidP="00457BDE">
            <w:pPr>
              <w:pStyle w:val="TableText"/>
              <w:keepNext/>
              <w:keepLines/>
              <w:rPr>
                <w:rStyle w:val="CharacterStyle-Bold"/>
              </w:rPr>
            </w:pPr>
            <w:r w:rsidRPr="00F71523">
              <w:rPr>
                <w:rStyle w:val="CharacterStyle-Bold"/>
              </w:rPr>
              <w:t>Environmental Management Framework</w:t>
            </w:r>
          </w:p>
        </w:tc>
      </w:tr>
      <w:tr w:rsidR="003C175B" w:rsidRPr="00F71523" w14:paraId="06ADD68C" w14:textId="77777777" w:rsidTr="00CB066E">
        <w:trPr>
          <w:cantSplit/>
        </w:trPr>
        <w:tc>
          <w:tcPr>
            <w:tcW w:w="2046" w:type="dxa"/>
            <w:vMerge w:val="restart"/>
            <w:hideMark/>
          </w:tcPr>
          <w:p w14:paraId="5ADC63EF" w14:textId="77777777" w:rsidR="000A4BD7" w:rsidRPr="00F71523" w:rsidRDefault="000A4BD7" w:rsidP="00CB1C25">
            <w:pPr>
              <w:pStyle w:val="TableText"/>
            </w:pPr>
            <w:r w:rsidRPr="00F71523">
              <w:t xml:space="preserve">Environmental Management Framework: To provide a transparent framework with clear accountabilities for managing environmental effects and hazards associated with construction and operation phases of the project, in order to achieve acceptable environmental outcomes </w:t>
            </w:r>
          </w:p>
        </w:tc>
        <w:tc>
          <w:tcPr>
            <w:tcW w:w="800" w:type="dxa"/>
          </w:tcPr>
          <w:p w14:paraId="53F2B991" w14:textId="383159EA" w:rsidR="000A4BD7" w:rsidRPr="00F71523" w:rsidRDefault="000A4BD7" w:rsidP="00953369">
            <w:pPr>
              <w:pStyle w:val="TableText"/>
              <w:jc w:val="center"/>
            </w:pPr>
            <w:r w:rsidRPr="00F71523">
              <w:t>EM1</w:t>
            </w:r>
          </w:p>
        </w:tc>
        <w:tc>
          <w:tcPr>
            <w:tcW w:w="7894" w:type="dxa"/>
          </w:tcPr>
          <w:p w14:paraId="4AA41C68" w14:textId="4728BA43" w:rsidR="000A4BD7" w:rsidRPr="00F71523" w:rsidRDefault="000A4BD7" w:rsidP="00BD7B1F">
            <w:pPr>
              <w:pStyle w:val="TableText"/>
            </w:pPr>
            <w:r w:rsidRPr="00F71523">
              <w:t xml:space="preserve">Develop a program to set out the process and timing for development of an Environmental Management System, Construction Environmental Management Plan (CEMP), Site Environment Implementation Plans, Operations </w:t>
            </w:r>
            <w:r w:rsidR="00512F08" w:rsidRPr="00F71523">
              <w:t>E</w:t>
            </w:r>
            <w:r w:rsidR="00512F08">
              <w:t>nvironmental Management Plan</w:t>
            </w:r>
            <w:r w:rsidR="00512F08" w:rsidRPr="00F71523">
              <w:t xml:space="preserve"> </w:t>
            </w:r>
            <w:r w:rsidRPr="00F71523">
              <w:t>(OEMP) and other plans as required by the Environmental Performance Requirements and</w:t>
            </w:r>
            <w:r w:rsidR="000F7F64">
              <w:t xml:space="preserve"> </w:t>
            </w:r>
            <w:r w:rsidRPr="00F71523">
              <w:t xml:space="preserve">as relevant to any stage of the </w:t>
            </w:r>
            <w:r w:rsidR="00226DB5">
              <w:t>p</w:t>
            </w:r>
            <w:r w:rsidRPr="00F71523">
              <w:t xml:space="preserve">roject. </w:t>
            </w:r>
          </w:p>
          <w:p w14:paraId="21C5BF2D" w14:textId="6E4A34FC" w:rsidR="000A4BD7" w:rsidRPr="00F71523" w:rsidRDefault="000A4BD7" w:rsidP="00226DB5">
            <w:pPr>
              <w:pStyle w:val="TableText"/>
            </w:pPr>
            <w:r w:rsidRPr="00F71523">
              <w:t>The program must include consultation with Councils, Heritage Victoria, the Roads Corporation, Melbourne Water, Public Transport Victoria, and the Environment Protection Authority and other stakeholders as relevant.</w:t>
            </w:r>
          </w:p>
        </w:tc>
        <w:tc>
          <w:tcPr>
            <w:tcW w:w="1168" w:type="dxa"/>
          </w:tcPr>
          <w:p w14:paraId="3A43F079" w14:textId="3953394F" w:rsidR="000A4BD7" w:rsidRPr="00F71523" w:rsidRDefault="000A4BD7" w:rsidP="00457BDE">
            <w:pPr>
              <w:pStyle w:val="TableText"/>
            </w:pPr>
            <w:r w:rsidRPr="00F71523">
              <w:t>All</w:t>
            </w:r>
          </w:p>
        </w:tc>
        <w:tc>
          <w:tcPr>
            <w:tcW w:w="1276" w:type="dxa"/>
          </w:tcPr>
          <w:p w14:paraId="5B6D249A" w14:textId="605814A0" w:rsidR="000A4BD7" w:rsidRPr="00F71523" w:rsidRDefault="000F7F64" w:rsidP="00457BDE">
            <w:pPr>
              <w:pStyle w:val="TableText"/>
            </w:pPr>
            <w:r>
              <w:t>Design/ construction</w:t>
            </w:r>
            <w:r w:rsidR="000A4BD7" w:rsidRPr="00F71523">
              <w:t>/ operation</w:t>
            </w:r>
          </w:p>
        </w:tc>
        <w:tc>
          <w:tcPr>
            <w:tcW w:w="1383" w:type="dxa"/>
          </w:tcPr>
          <w:p w14:paraId="05220F33" w14:textId="1AF364CD" w:rsidR="000A4BD7" w:rsidRPr="00F71523" w:rsidRDefault="0089374D" w:rsidP="00953369">
            <w:pPr>
              <w:pStyle w:val="TableText"/>
              <w:jc w:val="center"/>
            </w:pPr>
            <w:r>
              <w:t>-</w:t>
            </w:r>
          </w:p>
        </w:tc>
      </w:tr>
      <w:tr w:rsidR="003C175B" w:rsidRPr="00F71523" w14:paraId="1EDE64CB" w14:textId="77777777" w:rsidTr="00CB066E">
        <w:trPr>
          <w:cantSplit/>
        </w:trPr>
        <w:tc>
          <w:tcPr>
            <w:tcW w:w="2046" w:type="dxa"/>
            <w:vMerge/>
          </w:tcPr>
          <w:p w14:paraId="560C631E" w14:textId="77777777" w:rsidR="000A4BD7" w:rsidRPr="00F71523" w:rsidRDefault="000A4BD7" w:rsidP="00CB1C25">
            <w:pPr>
              <w:pStyle w:val="TableText"/>
            </w:pPr>
          </w:p>
        </w:tc>
        <w:tc>
          <w:tcPr>
            <w:tcW w:w="800" w:type="dxa"/>
          </w:tcPr>
          <w:p w14:paraId="344360D2" w14:textId="031D898E" w:rsidR="000A4BD7" w:rsidRPr="00F71523" w:rsidRDefault="000A4BD7" w:rsidP="00953369">
            <w:pPr>
              <w:pStyle w:val="TableText"/>
              <w:jc w:val="center"/>
            </w:pPr>
            <w:r w:rsidRPr="00F71523">
              <w:t>EM2</w:t>
            </w:r>
          </w:p>
        </w:tc>
        <w:tc>
          <w:tcPr>
            <w:tcW w:w="7894" w:type="dxa"/>
          </w:tcPr>
          <w:p w14:paraId="016208AF" w14:textId="61FBDC19" w:rsidR="000A4BD7" w:rsidRPr="00F71523" w:rsidRDefault="000A4BD7" w:rsidP="00BD7B1F">
            <w:pPr>
              <w:pStyle w:val="TableText"/>
            </w:pPr>
            <w:r w:rsidRPr="00F71523">
              <w:t xml:space="preserve">Prepare and implement an Environmental Management System that is certified to ISO 14001:2015 </w:t>
            </w:r>
            <w:r w:rsidRPr="00F71523">
              <w:rPr>
                <w:i/>
              </w:rPr>
              <w:t>Environmental Management Systems – requirements with guidance for use</w:t>
            </w:r>
            <w:r w:rsidRPr="00F71523">
              <w:t xml:space="preserve"> for construction</w:t>
            </w:r>
            <w:r w:rsidR="00491EB3">
              <w:t xml:space="preserve"> and operation</w:t>
            </w:r>
            <w:r w:rsidRPr="00F71523">
              <w:t>.</w:t>
            </w:r>
          </w:p>
          <w:p w14:paraId="3B796D4B" w14:textId="007E85C5" w:rsidR="000A4BD7" w:rsidRPr="00F71523" w:rsidRDefault="000A4BD7" w:rsidP="00CB1C25">
            <w:pPr>
              <w:pStyle w:val="TableText"/>
            </w:pPr>
            <w:r w:rsidRPr="00F71523">
              <w:t xml:space="preserve">Prepare a Construction Environmental Management Plan (CEMP), Site Environment Implementation Plans, Operations </w:t>
            </w:r>
            <w:r w:rsidR="00512F08" w:rsidRPr="00F71523">
              <w:t>E</w:t>
            </w:r>
            <w:r w:rsidR="00512F08">
              <w:t>nvironmental Management Plan</w:t>
            </w:r>
            <w:r w:rsidR="00512F08" w:rsidRPr="00F71523">
              <w:t xml:space="preserve"> </w:t>
            </w:r>
            <w:r w:rsidRPr="00F71523">
              <w:t xml:space="preserve">(OEMP) and other plans as required by the Environmental Performance Requirements and as relevant to any stage of the </w:t>
            </w:r>
            <w:r w:rsidR="00226DB5">
              <w:t>p</w:t>
            </w:r>
            <w:r w:rsidRPr="00F71523">
              <w:t>roject.</w:t>
            </w:r>
          </w:p>
          <w:p w14:paraId="76460056" w14:textId="08045D27" w:rsidR="000A4BD7" w:rsidRPr="00F71523" w:rsidRDefault="000A4BD7" w:rsidP="00CB1C25">
            <w:pPr>
              <w:pStyle w:val="TableText"/>
            </w:pPr>
            <w:r w:rsidRPr="00F71523">
              <w:t>The CEMP should be prepared in accordance with EPA Publication 480, Environmental Guidelines for Major Construction Sites (EPA 1996).</w:t>
            </w:r>
          </w:p>
        </w:tc>
        <w:tc>
          <w:tcPr>
            <w:tcW w:w="1168" w:type="dxa"/>
          </w:tcPr>
          <w:p w14:paraId="7687E085" w14:textId="64785355" w:rsidR="000A4BD7" w:rsidRPr="00F71523" w:rsidRDefault="000A4BD7" w:rsidP="00457BDE">
            <w:pPr>
              <w:pStyle w:val="TableText"/>
            </w:pPr>
            <w:r w:rsidRPr="00F71523">
              <w:t>All</w:t>
            </w:r>
          </w:p>
        </w:tc>
        <w:tc>
          <w:tcPr>
            <w:tcW w:w="1276" w:type="dxa"/>
          </w:tcPr>
          <w:p w14:paraId="55BD4321" w14:textId="32D4462C" w:rsidR="000A4BD7" w:rsidRPr="00F71523" w:rsidRDefault="000F7F64" w:rsidP="00457BDE">
            <w:pPr>
              <w:pStyle w:val="TableText"/>
            </w:pPr>
            <w:r>
              <w:t>Design/ construction</w:t>
            </w:r>
            <w:r w:rsidR="000A4BD7" w:rsidRPr="00F71523">
              <w:t>/ operation</w:t>
            </w:r>
          </w:p>
        </w:tc>
        <w:tc>
          <w:tcPr>
            <w:tcW w:w="1383" w:type="dxa"/>
          </w:tcPr>
          <w:p w14:paraId="58C529B8" w14:textId="066EBF34" w:rsidR="000A4BD7" w:rsidRPr="00F71523" w:rsidRDefault="0089374D" w:rsidP="00953369">
            <w:pPr>
              <w:pStyle w:val="TableText"/>
              <w:jc w:val="center"/>
            </w:pPr>
            <w:r>
              <w:t>-</w:t>
            </w:r>
          </w:p>
        </w:tc>
      </w:tr>
      <w:tr w:rsidR="003C175B" w:rsidRPr="00F71523" w14:paraId="7E481AF2" w14:textId="77777777" w:rsidTr="00CB066E">
        <w:trPr>
          <w:cantSplit/>
        </w:trPr>
        <w:tc>
          <w:tcPr>
            <w:tcW w:w="2046" w:type="dxa"/>
            <w:vMerge/>
          </w:tcPr>
          <w:p w14:paraId="59B8443D" w14:textId="77777777" w:rsidR="000A4BD7" w:rsidRPr="00F71523" w:rsidRDefault="000A4BD7" w:rsidP="00CB1C25">
            <w:pPr>
              <w:pStyle w:val="TableText"/>
            </w:pPr>
          </w:p>
        </w:tc>
        <w:tc>
          <w:tcPr>
            <w:tcW w:w="800" w:type="dxa"/>
          </w:tcPr>
          <w:p w14:paraId="0D1EAE2F" w14:textId="5F4F0E86" w:rsidR="000A4BD7" w:rsidRPr="00F71523" w:rsidRDefault="000A4BD7" w:rsidP="00953369">
            <w:pPr>
              <w:pStyle w:val="TableText"/>
              <w:jc w:val="center"/>
            </w:pPr>
            <w:r w:rsidRPr="00F71523">
              <w:t>EM3</w:t>
            </w:r>
          </w:p>
        </w:tc>
        <w:tc>
          <w:tcPr>
            <w:tcW w:w="7894" w:type="dxa"/>
          </w:tcPr>
          <w:p w14:paraId="6D0CF945" w14:textId="10DE797C" w:rsidR="000A4BD7" w:rsidRPr="00F71523" w:rsidRDefault="000A4BD7" w:rsidP="00BD7B1F">
            <w:pPr>
              <w:pStyle w:val="TableText"/>
            </w:pPr>
            <w:r w:rsidRPr="00F71523">
              <w:t xml:space="preserve">Appoint an Independent Environmental Auditor (for PPP </w:t>
            </w:r>
            <w:r w:rsidR="00947F90">
              <w:t>c</w:t>
            </w:r>
            <w:r w:rsidRPr="00F71523">
              <w:t>ontract only) to undertake environmental audits of compliance with the approved CEMP, Environmental Performance Requirements and approval conditions.</w:t>
            </w:r>
          </w:p>
        </w:tc>
        <w:tc>
          <w:tcPr>
            <w:tcW w:w="1168" w:type="dxa"/>
          </w:tcPr>
          <w:p w14:paraId="25C3AEC0" w14:textId="5E141941" w:rsidR="000A4BD7" w:rsidRPr="00F71523" w:rsidRDefault="000A4BD7" w:rsidP="00457BDE">
            <w:pPr>
              <w:pStyle w:val="TableText"/>
            </w:pPr>
            <w:r w:rsidRPr="00F71523">
              <w:t>All</w:t>
            </w:r>
          </w:p>
        </w:tc>
        <w:tc>
          <w:tcPr>
            <w:tcW w:w="1276" w:type="dxa"/>
          </w:tcPr>
          <w:p w14:paraId="5F13B7C4" w14:textId="4419AF26" w:rsidR="000A4BD7" w:rsidRPr="00F71523" w:rsidRDefault="000A4BD7" w:rsidP="00457BDE">
            <w:pPr>
              <w:pStyle w:val="TableText"/>
            </w:pPr>
            <w:r w:rsidRPr="00F71523">
              <w:t>Construction</w:t>
            </w:r>
          </w:p>
        </w:tc>
        <w:tc>
          <w:tcPr>
            <w:tcW w:w="1383" w:type="dxa"/>
          </w:tcPr>
          <w:p w14:paraId="127DC701" w14:textId="61A9E03E" w:rsidR="000A4BD7" w:rsidRPr="00F71523" w:rsidRDefault="0089374D" w:rsidP="00953369">
            <w:pPr>
              <w:pStyle w:val="TableText"/>
              <w:jc w:val="center"/>
            </w:pPr>
            <w:r>
              <w:t>-</w:t>
            </w:r>
          </w:p>
        </w:tc>
      </w:tr>
      <w:tr w:rsidR="003C175B" w:rsidRPr="00F71523" w14:paraId="01CF9E6B" w14:textId="77777777" w:rsidTr="00CB066E">
        <w:trPr>
          <w:cantSplit/>
        </w:trPr>
        <w:tc>
          <w:tcPr>
            <w:tcW w:w="14567" w:type="dxa"/>
            <w:gridSpan w:val="6"/>
            <w:shd w:val="clear" w:color="auto" w:fill="F2F2F2" w:themeFill="background1" w:themeFillShade="F2"/>
          </w:tcPr>
          <w:p w14:paraId="7C486ECD" w14:textId="4ED0C2D3" w:rsidR="003C175B" w:rsidRPr="00F71523" w:rsidRDefault="003C175B" w:rsidP="00457BDE">
            <w:pPr>
              <w:pStyle w:val="TableText"/>
              <w:keepNext/>
              <w:keepLines/>
              <w:pageBreakBefore/>
              <w:rPr>
                <w:rStyle w:val="CharacterStyle-Bold"/>
              </w:rPr>
            </w:pPr>
            <w:r w:rsidRPr="00F71523">
              <w:rPr>
                <w:rStyle w:val="CharacterStyle-Bold"/>
              </w:rPr>
              <w:lastRenderedPageBreak/>
              <w:t>Transport</w:t>
            </w:r>
          </w:p>
        </w:tc>
      </w:tr>
      <w:tr w:rsidR="003C175B" w:rsidRPr="00F71523" w14:paraId="55A371BD" w14:textId="77777777" w:rsidTr="00CB066E">
        <w:trPr>
          <w:cantSplit/>
        </w:trPr>
        <w:tc>
          <w:tcPr>
            <w:tcW w:w="2046" w:type="dxa"/>
          </w:tcPr>
          <w:p w14:paraId="14FD30BC" w14:textId="77777777" w:rsidR="005D77BF" w:rsidRPr="00F71523" w:rsidRDefault="005D77BF" w:rsidP="00CB1C25">
            <w:pPr>
              <w:pStyle w:val="TableText"/>
            </w:pPr>
            <w:r w:rsidRPr="00F71523">
              <w:t>Transport connectivity – To enable a significant increase in the capacity of the metropolitan rail network and provide multimodal connections, while adequately managing effects of the works on the broader transport network, both during and after the construction of the project</w:t>
            </w:r>
          </w:p>
        </w:tc>
        <w:tc>
          <w:tcPr>
            <w:tcW w:w="800" w:type="dxa"/>
          </w:tcPr>
          <w:p w14:paraId="5043692D" w14:textId="76ED1ED1" w:rsidR="005D77BF" w:rsidRPr="00F71523" w:rsidRDefault="005D77BF" w:rsidP="00953369">
            <w:pPr>
              <w:pStyle w:val="TableText"/>
              <w:jc w:val="center"/>
            </w:pPr>
            <w:r w:rsidRPr="00F71523">
              <w:t>T1</w:t>
            </w:r>
          </w:p>
        </w:tc>
        <w:tc>
          <w:tcPr>
            <w:tcW w:w="7894" w:type="dxa"/>
          </w:tcPr>
          <w:p w14:paraId="4526BBC3" w14:textId="153367E3" w:rsidR="005D77BF" w:rsidRPr="00F71523" w:rsidRDefault="005D77BF" w:rsidP="00CB1C25">
            <w:pPr>
              <w:pStyle w:val="TableText"/>
              <w:rPr>
                <w:b/>
              </w:rPr>
            </w:pPr>
            <w:r w:rsidRPr="00F71523">
              <w:rPr>
                <w:b/>
              </w:rPr>
              <w:t xml:space="preserve">Road </w:t>
            </w:r>
            <w:r w:rsidR="00226DB5">
              <w:rPr>
                <w:b/>
              </w:rPr>
              <w:t>T</w:t>
            </w:r>
            <w:r w:rsidRPr="00F71523">
              <w:rPr>
                <w:b/>
              </w:rPr>
              <w:t>ransport (Construction Phase)</w:t>
            </w:r>
          </w:p>
          <w:p w14:paraId="79FE0E90" w14:textId="70253D76" w:rsidR="005D77BF" w:rsidRPr="00F71523" w:rsidRDefault="005D77BF" w:rsidP="00CB1C25">
            <w:pPr>
              <w:pStyle w:val="TableText"/>
            </w:pPr>
            <w:r w:rsidRPr="00F71523">
              <w:t xml:space="preserve">Develop and implement a </w:t>
            </w:r>
            <w:r w:rsidR="002E2A82">
              <w:t xml:space="preserve">transport </w:t>
            </w:r>
            <w:r w:rsidRPr="00F71523">
              <w:t>management plan(s) in consultation with the relevant road management authorities to minimise disruption to traffic, car parking, pedestrian and bicycle movements during construction, including but not limited to:</w:t>
            </w:r>
          </w:p>
          <w:p w14:paraId="2281ABA4" w14:textId="5D0979FF" w:rsidR="005D77BF" w:rsidRPr="00F71523" w:rsidRDefault="005D77BF" w:rsidP="00CB1C25">
            <w:pPr>
              <w:pStyle w:val="TableBullet1"/>
            </w:pPr>
            <w:r w:rsidRPr="00F71523">
              <w:t>Management of any temporary or permanent full or partial closure of traffic lanes including (but not limited to):</w:t>
            </w:r>
          </w:p>
          <w:p w14:paraId="63A279D5" w14:textId="77777777" w:rsidR="005D77BF" w:rsidRPr="00F71523" w:rsidRDefault="005D77BF" w:rsidP="00CB1C25">
            <w:pPr>
              <w:pStyle w:val="TableBullet2"/>
            </w:pPr>
            <w:r w:rsidRPr="00F71523">
              <w:t>Childers Street, Kensington</w:t>
            </w:r>
          </w:p>
          <w:p w14:paraId="6B28D69D" w14:textId="0F3D602F" w:rsidR="005D77BF" w:rsidRPr="00F71523" w:rsidRDefault="005D77BF" w:rsidP="00CB1C25">
            <w:pPr>
              <w:pStyle w:val="TableBullet2"/>
            </w:pPr>
            <w:r w:rsidRPr="00F71523">
              <w:t>Royal Parade, Grattan Street and Barry Street, Parkville</w:t>
            </w:r>
          </w:p>
          <w:p w14:paraId="18BE3701" w14:textId="77777777" w:rsidR="005D77BF" w:rsidRPr="00F71523" w:rsidRDefault="005D77BF" w:rsidP="00CB1C25">
            <w:pPr>
              <w:pStyle w:val="TableBullet2"/>
            </w:pPr>
            <w:r w:rsidRPr="00F71523">
              <w:t xml:space="preserve">Franklin Street, </w:t>
            </w:r>
            <w:proofErr w:type="spellStart"/>
            <w:r w:rsidRPr="00F71523">
              <w:t>A’Beckett</w:t>
            </w:r>
            <w:proofErr w:type="spellEnd"/>
            <w:r w:rsidRPr="00F71523">
              <w:t xml:space="preserve"> Street and Little La Trobe Street at CBD North</w:t>
            </w:r>
          </w:p>
          <w:p w14:paraId="5450DF7A" w14:textId="4518BD28" w:rsidR="005D77BF" w:rsidRPr="00F71523" w:rsidRDefault="005D77BF" w:rsidP="00CB1C25">
            <w:pPr>
              <w:pStyle w:val="TableBullet2"/>
            </w:pPr>
            <w:r w:rsidRPr="00F71523">
              <w:t>Flinders Street and Flinders Lane at CBD South</w:t>
            </w:r>
          </w:p>
          <w:p w14:paraId="3D9A3B6A" w14:textId="77777777" w:rsidR="005D77BF" w:rsidRPr="00F71523" w:rsidRDefault="005D77BF" w:rsidP="00CB1C25">
            <w:pPr>
              <w:pStyle w:val="TableBullet2"/>
            </w:pPr>
            <w:r w:rsidRPr="00F71523">
              <w:t>Linlithgow Avenue, Melbourne</w:t>
            </w:r>
          </w:p>
          <w:p w14:paraId="60E62128" w14:textId="77777777" w:rsidR="005D77BF" w:rsidRPr="00F71523" w:rsidRDefault="005D77BF" w:rsidP="00CB1C25">
            <w:pPr>
              <w:pStyle w:val="TableBullet2"/>
            </w:pPr>
            <w:r w:rsidRPr="00F71523">
              <w:t>St Kilda Road, Domain Road, Albert Road at Domain</w:t>
            </w:r>
          </w:p>
          <w:p w14:paraId="7792D897" w14:textId="77777777" w:rsidR="005D77BF" w:rsidRPr="00F71523" w:rsidRDefault="005D77BF" w:rsidP="00CB1C25">
            <w:pPr>
              <w:pStyle w:val="TableBullet2"/>
            </w:pPr>
            <w:r w:rsidRPr="00F71523">
              <w:t>Toorak Road at Fawkner Park</w:t>
            </w:r>
          </w:p>
          <w:p w14:paraId="578C099F" w14:textId="77777777" w:rsidR="005D77BF" w:rsidRPr="00F71523" w:rsidRDefault="005D77BF" w:rsidP="00CB1C25">
            <w:pPr>
              <w:pStyle w:val="TableBullet2"/>
            </w:pPr>
            <w:r w:rsidRPr="00F71523">
              <w:t>Osborne Street, William Street in South Yarra</w:t>
            </w:r>
          </w:p>
          <w:p w14:paraId="2E541DA3" w14:textId="6B5D7AED" w:rsidR="005D77BF" w:rsidRPr="00F71523" w:rsidRDefault="005D77BF" w:rsidP="00CB1C25">
            <w:pPr>
              <w:pStyle w:val="TableBullet1"/>
            </w:pPr>
            <w:r w:rsidRPr="00F71523">
              <w:t>Monitoring of travel behaviour changes caused by construction works, including pre-construction baseline data and periodic reporting on behaviour change. Use this data as an input to the design of transport networks following construction</w:t>
            </w:r>
          </w:p>
          <w:p w14:paraId="37F2D0B3" w14:textId="7C41B614" w:rsidR="005D77BF" w:rsidRPr="00F71523" w:rsidRDefault="005D77BF" w:rsidP="00CB1C25">
            <w:pPr>
              <w:pStyle w:val="TableBullet1"/>
            </w:pPr>
            <w:r w:rsidRPr="00F71523">
              <w:t>Traffic management plan(s) must be developed recognising other projects operating concurrently, where relevant</w:t>
            </w:r>
          </w:p>
          <w:p w14:paraId="41DEF70C" w14:textId="77777777" w:rsidR="005D77BF" w:rsidRPr="00F71523" w:rsidRDefault="005D77BF" w:rsidP="00CB1C25">
            <w:pPr>
              <w:pStyle w:val="TableBullet1"/>
            </w:pPr>
            <w:r w:rsidRPr="00F71523">
              <w:t>Provision for a minimum of one lane for traffic in each direction on St Kilda Road to be maintained throughout the construction within the Domain station precinct</w:t>
            </w:r>
          </w:p>
          <w:p w14:paraId="21B85104" w14:textId="7A96A3E2" w:rsidR="005D77BF" w:rsidRPr="00F71523" w:rsidRDefault="005D77BF" w:rsidP="00CB1C25">
            <w:pPr>
              <w:pStyle w:val="TableBullet1"/>
            </w:pPr>
            <w:r w:rsidRPr="00F71523">
              <w:t>Potential routes for construction vehicles travelling to and from all Melbourne Metro construction work sites, recognising sensitive receptors</w:t>
            </w:r>
          </w:p>
          <w:p w14:paraId="1E5C092B" w14:textId="6BF49736" w:rsidR="005D77BF" w:rsidRPr="00F71523" w:rsidRDefault="005D77BF" w:rsidP="008D5412">
            <w:pPr>
              <w:pStyle w:val="TableBullet1"/>
            </w:pPr>
            <w:r w:rsidRPr="00F71523">
              <w:t>Provision of suitable routes for vehicles to maintain connectivity for road users to JJ Holland Park, South Kensington station and to the medical and educational facilities adjacent to the Parkville construction work site</w:t>
            </w:r>
          </w:p>
        </w:tc>
        <w:tc>
          <w:tcPr>
            <w:tcW w:w="1168" w:type="dxa"/>
          </w:tcPr>
          <w:p w14:paraId="4BD88BF7" w14:textId="77777777" w:rsidR="005D77BF" w:rsidRPr="00F71523" w:rsidRDefault="005D77BF" w:rsidP="00457BDE">
            <w:pPr>
              <w:pStyle w:val="TableText"/>
            </w:pPr>
            <w:r w:rsidRPr="00F71523">
              <w:t>All</w:t>
            </w:r>
          </w:p>
        </w:tc>
        <w:tc>
          <w:tcPr>
            <w:tcW w:w="1276" w:type="dxa"/>
          </w:tcPr>
          <w:p w14:paraId="4D7E584C" w14:textId="77777777" w:rsidR="005D77BF" w:rsidRPr="00F71523" w:rsidRDefault="005D77BF" w:rsidP="00457BDE">
            <w:pPr>
              <w:pStyle w:val="TableText"/>
            </w:pPr>
            <w:r w:rsidRPr="00F71523">
              <w:t>Construction</w:t>
            </w:r>
          </w:p>
        </w:tc>
        <w:tc>
          <w:tcPr>
            <w:tcW w:w="1383" w:type="dxa"/>
          </w:tcPr>
          <w:p w14:paraId="030E4616" w14:textId="674184E3" w:rsidR="005D77BF" w:rsidRPr="00F71523" w:rsidRDefault="001E2D15" w:rsidP="00C712B8">
            <w:pPr>
              <w:pStyle w:val="TableText"/>
              <w:jc w:val="center"/>
            </w:pPr>
            <w:r w:rsidRPr="00F71523">
              <w:t xml:space="preserve">T001 </w:t>
            </w:r>
            <w:r w:rsidR="00C712B8">
              <w:t>to</w:t>
            </w:r>
            <w:r w:rsidRPr="00F71523">
              <w:t xml:space="preserve"> T007</w:t>
            </w:r>
          </w:p>
        </w:tc>
      </w:tr>
      <w:tr w:rsidR="008D5412" w:rsidRPr="00F71523" w14:paraId="4A23F18D" w14:textId="77777777" w:rsidTr="00CB066E">
        <w:trPr>
          <w:cantSplit/>
        </w:trPr>
        <w:tc>
          <w:tcPr>
            <w:tcW w:w="2046" w:type="dxa"/>
          </w:tcPr>
          <w:p w14:paraId="4D9F3DE2" w14:textId="77777777" w:rsidR="008D5412" w:rsidRPr="00F71523" w:rsidRDefault="008D5412" w:rsidP="008D5412">
            <w:pPr>
              <w:pStyle w:val="TableText"/>
              <w:pageBreakBefore/>
            </w:pPr>
          </w:p>
        </w:tc>
        <w:tc>
          <w:tcPr>
            <w:tcW w:w="800" w:type="dxa"/>
          </w:tcPr>
          <w:p w14:paraId="7115D94C" w14:textId="77777777" w:rsidR="008D5412" w:rsidRPr="00F71523" w:rsidRDefault="008D5412" w:rsidP="00953369">
            <w:pPr>
              <w:pStyle w:val="TableText"/>
              <w:jc w:val="center"/>
            </w:pPr>
          </w:p>
        </w:tc>
        <w:tc>
          <w:tcPr>
            <w:tcW w:w="7894" w:type="dxa"/>
          </w:tcPr>
          <w:p w14:paraId="2159EF3A" w14:textId="77777777" w:rsidR="008D5412" w:rsidRPr="00F71523" w:rsidRDefault="008D5412" w:rsidP="008D5412">
            <w:pPr>
              <w:pStyle w:val="TableBullet1"/>
            </w:pPr>
            <w:r w:rsidRPr="00F71523">
              <w:t>Provision of alternative routes for trucks accessing the 50 Lloyd Street Business Estate, Kensington</w:t>
            </w:r>
          </w:p>
          <w:p w14:paraId="123B3A3F" w14:textId="5FB3DB71" w:rsidR="008D5412" w:rsidRPr="00F71523" w:rsidRDefault="008D5412" w:rsidP="008D5412">
            <w:pPr>
              <w:pStyle w:val="TableBullet1"/>
            </w:pPr>
            <w:r w:rsidRPr="00F71523">
              <w:t xml:space="preserve">Provision of alternate parking where possible to </w:t>
            </w:r>
            <w:r w:rsidR="002E2A82">
              <w:t xml:space="preserve">replace parking </w:t>
            </w:r>
            <w:proofErr w:type="spellStart"/>
            <w:r w:rsidRPr="00F71523">
              <w:t>lost</w:t>
            </w:r>
            <w:proofErr w:type="spellEnd"/>
            <w:r w:rsidRPr="00F71523">
              <w:t xml:space="preserve"> from Childers Street, Laurens Street, Grattan Street, Domain Road, St Kilda Road and Albert Road during construction and preventing parking at undesignated locations on local roads</w:t>
            </w:r>
          </w:p>
          <w:p w14:paraId="053642E1" w14:textId="77777777" w:rsidR="008D5412" w:rsidRPr="00F71523" w:rsidRDefault="008D5412" w:rsidP="008D5412">
            <w:pPr>
              <w:pStyle w:val="TableBullet1"/>
            </w:pPr>
            <w:r w:rsidRPr="00F71523">
              <w:t>Provision of car parking for construction workers where possible</w:t>
            </w:r>
          </w:p>
          <w:p w14:paraId="0DB069DD" w14:textId="11F65665" w:rsidR="008D5412" w:rsidRPr="00F71523" w:rsidRDefault="008D5412" w:rsidP="008D5412">
            <w:pPr>
              <w:pStyle w:val="TableBullet1"/>
            </w:pPr>
            <w:r w:rsidRPr="00F71523">
              <w:t xml:space="preserve">Provision of suitable routes for cyclists and pedestrians to maintain connectivity and safety for roads and shared paths </w:t>
            </w:r>
            <w:r w:rsidR="002E2A82">
              <w:t>to</w:t>
            </w:r>
            <w:r w:rsidR="002E2A82" w:rsidRPr="00F71523">
              <w:t xml:space="preserve"> </w:t>
            </w:r>
            <w:r w:rsidRPr="00F71523">
              <w:t>provide continued access, including (but not limited to): Childers Street, JJ Holland Park, South Kensington station, Laurens Street, Grattan Street, Swanston Street, Franklin Street, Flinders Street, St Kilda Road, Albert Road, Domain Road, Toorak Road and Fawkner Park</w:t>
            </w:r>
          </w:p>
          <w:p w14:paraId="43D9F8A2" w14:textId="38BE9D14" w:rsidR="008D5412" w:rsidRPr="00F71523" w:rsidRDefault="008D5412" w:rsidP="008D5412">
            <w:pPr>
              <w:pStyle w:val="TableBullet1"/>
            </w:pPr>
            <w:r w:rsidRPr="00F71523">
              <w:t>Provision of complementary improvements to Kings Way, Canterbury Road and other roads to accommodate additional traffic that may use these roads</w:t>
            </w:r>
            <w:r w:rsidR="002E2A82">
              <w:t xml:space="preserve"> and </w:t>
            </w:r>
            <w:r w:rsidR="002E2A82" w:rsidRPr="00F71523">
              <w:t>to assist traffic flow in St Kilda Road for the duration of the works</w:t>
            </w:r>
          </w:p>
          <w:p w14:paraId="1C244548" w14:textId="77777777" w:rsidR="008D5412" w:rsidRPr="00F71523" w:rsidRDefault="008D5412" w:rsidP="008D5412">
            <w:pPr>
              <w:pStyle w:val="TableBullet1"/>
            </w:pPr>
            <w:r w:rsidRPr="00F71523">
              <w:t>In consultation with emergency services, develop suitable measures to ensure emergency service access is not inhibited as a result of Melbourne Metro construction worksites</w:t>
            </w:r>
          </w:p>
          <w:p w14:paraId="6E3E1C69" w14:textId="36829A3F" w:rsidR="008D5412" w:rsidRPr="00F71523" w:rsidRDefault="008D5412" w:rsidP="008D5412">
            <w:pPr>
              <w:pStyle w:val="TableBullet1"/>
            </w:pPr>
            <w:r w:rsidRPr="00F71523">
              <w:t>Special arrangements for delivery or removal of large loads.</w:t>
            </w:r>
          </w:p>
        </w:tc>
        <w:tc>
          <w:tcPr>
            <w:tcW w:w="1168" w:type="dxa"/>
          </w:tcPr>
          <w:p w14:paraId="5FD4E63F" w14:textId="77777777" w:rsidR="008D5412" w:rsidRPr="00F71523" w:rsidRDefault="008D5412" w:rsidP="00457BDE">
            <w:pPr>
              <w:pStyle w:val="TableText"/>
            </w:pPr>
          </w:p>
        </w:tc>
        <w:tc>
          <w:tcPr>
            <w:tcW w:w="1276" w:type="dxa"/>
          </w:tcPr>
          <w:p w14:paraId="0591F3B4" w14:textId="77777777" w:rsidR="008D5412" w:rsidRPr="00F71523" w:rsidRDefault="008D5412" w:rsidP="00457BDE">
            <w:pPr>
              <w:pStyle w:val="TableText"/>
            </w:pPr>
          </w:p>
        </w:tc>
        <w:tc>
          <w:tcPr>
            <w:tcW w:w="1383" w:type="dxa"/>
          </w:tcPr>
          <w:p w14:paraId="4B3EFAAF" w14:textId="77777777" w:rsidR="008D5412" w:rsidRPr="00F71523" w:rsidRDefault="008D5412" w:rsidP="00953369">
            <w:pPr>
              <w:pStyle w:val="TableText"/>
              <w:jc w:val="center"/>
            </w:pPr>
          </w:p>
        </w:tc>
      </w:tr>
      <w:tr w:rsidR="00CE4C0A" w:rsidRPr="00F71523" w14:paraId="02B7A2A7" w14:textId="77777777" w:rsidTr="00CB066E">
        <w:trPr>
          <w:cantSplit/>
        </w:trPr>
        <w:tc>
          <w:tcPr>
            <w:tcW w:w="2046" w:type="dxa"/>
            <w:vMerge w:val="restart"/>
            <w:hideMark/>
          </w:tcPr>
          <w:p w14:paraId="7A4F3EE5" w14:textId="77777777" w:rsidR="00CE4C0A" w:rsidRPr="00F71523" w:rsidRDefault="00CE4C0A" w:rsidP="00CB066E">
            <w:pPr>
              <w:pStyle w:val="TableText"/>
              <w:widowControl w:val="0"/>
            </w:pPr>
          </w:p>
        </w:tc>
        <w:tc>
          <w:tcPr>
            <w:tcW w:w="800" w:type="dxa"/>
            <w:hideMark/>
          </w:tcPr>
          <w:p w14:paraId="4D2CC2DD" w14:textId="77777777" w:rsidR="00CE4C0A" w:rsidRPr="00F71523" w:rsidRDefault="00CE4C0A" w:rsidP="00CB066E">
            <w:pPr>
              <w:pStyle w:val="TableText"/>
              <w:widowControl w:val="0"/>
              <w:jc w:val="center"/>
            </w:pPr>
            <w:r w:rsidRPr="00F71523">
              <w:t>T2</w:t>
            </w:r>
          </w:p>
        </w:tc>
        <w:tc>
          <w:tcPr>
            <w:tcW w:w="7894" w:type="dxa"/>
            <w:hideMark/>
          </w:tcPr>
          <w:p w14:paraId="493C72E0" w14:textId="77777777" w:rsidR="00CE4C0A" w:rsidRPr="00F71523" w:rsidRDefault="00CE4C0A" w:rsidP="00CB066E">
            <w:pPr>
              <w:pStyle w:val="TableText"/>
              <w:widowControl w:val="0"/>
              <w:rPr>
                <w:b/>
              </w:rPr>
            </w:pPr>
            <w:r w:rsidRPr="00F71523">
              <w:rPr>
                <w:b/>
              </w:rPr>
              <w:t>Public Transport (Construction Phase)</w:t>
            </w:r>
          </w:p>
          <w:p w14:paraId="2F0FC601" w14:textId="039CCF00" w:rsidR="00CE4C0A" w:rsidRPr="00F71523" w:rsidRDefault="00CE4C0A" w:rsidP="00CB066E">
            <w:pPr>
              <w:pStyle w:val="TableBullet1"/>
              <w:widowControl w:val="0"/>
            </w:pPr>
            <w:r w:rsidRPr="00F71523">
              <w:t xml:space="preserve">Develop and implement a plan for occupying railway land and tracks at the western portal, eastern portal and </w:t>
            </w:r>
            <w:r>
              <w:t>w</w:t>
            </w:r>
            <w:r w:rsidRPr="00F71523">
              <w:t xml:space="preserve">estern </w:t>
            </w:r>
            <w:proofErr w:type="spellStart"/>
            <w:r w:rsidRPr="00F71523">
              <w:t>turnback</w:t>
            </w:r>
            <w:proofErr w:type="spellEnd"/>
            <w:r w:rsidRPr="00F71523">
              <w:t xml:space="preserve"> that minimises the disruption to railway services during construction. Plan to be developed to the satisfaction of </w:t>
            </w:r>
            <w:proofErr w:type="spellStart"/>
            <w:r w:rsidRPr="00F71523">
              <w:t>VicTrack</w:t>
            </w:r>
            <w:proofErr w:type="spellEnd"/>
            <w:r w:rsidRPr="00F71523">
              <w:t xml:space="preserve"> and MTM</w:t>
            </w:r>
          </w:p>
          <w:p w14:paraId="0B2BEAE9" w14:textId="31BDF876" w:rsidR="00CE4C0A" w:rsidRPr="00F71523" w:rsidRDefault="00CE4C0A" w:rsidP="00CB066E">
            <w:pPr>
              <w:pStyle w:val="TableBullet1"/>
              <w:widowControl w:val="0"/>
            </w:pPr>
            <w:r w:rsidRPr="00F71523">
              <w:t>Provide suitable routes for pedestrians to maintain con</w:t>
            </w:r>
            <w:r>
              <w:t>n</w:t>
            </w:r>
            <w:r w:rsidRPr="00F71523">
              <w:t>ectivity, including DDA access</w:t>
            </w:r>
            <w:r>
              <w:t>,</w:t>
            </w:r>
            <w:r w:rsidRPr="00F71523">
              <w:t xml:space="preserve"> for users of South Kensington station, Melbourne Central </w:t>
            </w:r>
            <w:r>
              <w:t>s</w:t>
            </w:r>
            <w:r w:rsidRPr="00F71523">
              <w:t>tation, Flinders Street Station and around all construction sites generally</w:t>
            </w:r>
          </w:p>
          <w:p w14:paraId="2EDF9841" w14:textId="77777777" w:rsidR="00CE4C0A" w:rsidRPr="00F71523" w:rsidRDefault="00CE4C0A" w:rsidP="00CB066E">
            <w:pPr>
              <w:pStyle w:val="TableBullet1"/>
              <w:widowControl w:val="0"/>
            </w:pPr>
            <w:r w:rsidRPr="00F71523">
              <w:t>Develop and implement measures to minimise disruption to the tram and bus networks resulting from the construction of Melbourne Metro in consultation with the relevant road management authorities and to the satisfaction of PTV, including (but not limited to):</w:t>
            </w:r>
          </w:p>
          <w:p w14:paraId="52E0C483" w14:textId="77777777" w:rsidR="00CE4C0A" w:rsidRPr="00F71523" w:rsidRDefault="00CE4C0A" w:rsidP="00CB066E">
            <w:pPr>
              <w:pStyle w:val="TableBullet2"/>
              <w:widowControl w:val="0"/>
            </w:pPr>
            <w:r w:rsidRPr="00F71523">
              <w:t>Options to divert the 401, 402, 403, 505 and 546 bus services</w:t>
            </w:r>
          </w:p>
          <w:p w14:paraId="13DFB9B2" w14:textId="77777777" w:rsidR="00CE4C0A" w:rsidRPr="00F71523" w:rsidRDefault="00CE4C0A" w:rsidP="00CB066E">
            <w:pPr>
              <w:pStyle w:val="TableBullet2"/>
              <w:widowControl w:val="0"/>
            </w:pPr>
            <w:r w:rsidRPr="00F71523">
              <w:t>Tram routes on La Trobe Street and Swanston Street</w:t>
            </w:r>
          </w:p>
          <w:p w14:paraId="08E3AEEB" w14:textId="77777777" w:rsidR="00CE4C0A" w:rsidRPr="00F71523" w:rsidRDefault="00CE4C0A" w:rsidP="00CB066E">
            <w:pPr>
              <w:pStyle w:val="TableBullet2"/>
              <w:widowControl w:val="0"/>
            </w:pPr>
            <w:r w:rsidRPr="00F71523">
              <w:t>Tram routes on Flinders Street and Swanston Street</w:t>
            </w:r>
          </w:p>
          <w:p w14:paraId="21BA2B44" w14:textId="77777777" w:rsidR="00CE4C0A" w:rsidRPr="00F71523" w:rsidRDefault="00CE4C0A" w:rsidP="00CB066E">
            <w:pPr>
              <w:pStyle w:val="TableBullet2"/>
              <w:widowControl w:val="0"/>
            </w:pPr>
            <w:r w:rsidRPr="00F71523">
              <w:t>Tram operations on Toorak Road and the diversion of the No. 8 tram route</w:t>
            </w:r>
          </w:p>
          <w:p w14:paraId="7E1A8486" w14:textId="77777777" w:rsidR="00CE4C0A" w:rsidRPr="00F71523" w:rsidRDefault="00CE4C0A" w:rsidP="00CB066E">
            <w:pPr>
              <w:pStyle w:val="TableBullet2"/>
              <w:widowControl w:val="0"/>
            </w:pPr>
            <w:r w:rsidRPr="00F71523">
              <w:t>Periodic closures of Royal Parade tram route</w:t>
            </w:r>
          </w:p>
          <w:p w14:paraId="26D57EA5" w14:textId="77777777" w:rsidR="00CE4C0A" w:rsidRPr="00F71523" w:rsidRDefault="00CE4C0A" w:rsidP="00CB066E">
            <w:pPr>
              <w:pStyle w:val="TableBullet2"/>
              <w:widowControl w:val="0"/>
            </w:pPr>
            <w:r w:rsidRPr="00F71523">
              <w:t>Tram routes on St Kilda Road</w:t>
            </w:r>
          </w:p>
          <w:p w14:paraId="328A66FF" w14:textId="378623CB" w:rsidR="00CE4C0A" w:rsidRPr="00F71523" w:rsidRDefault="00CE4C0A" w:rsidP="00CB066E">
            <w:pPr>
              <w:pStyle w:val="TableBullet2"/>
              <w:widowControl w:val="0"/>
            </w:pPr>
            <w:r w:rsidRPr="00F71523">
              <w:t>Disruption to other tram routes through Domain tram stop</w:t>
            </w:r>
          </w:p>
          <w:p w14:paraId="5A5B0B0E" w14:textId="0ED30F51" w:rsidR="00CE4C0A" w:rsidRPr="00F71523" w:rsidRDefault="00CE4C0A" w:rsidP="00CB066E">
            <w:pPr>
              <w:pStyle w:val="TableBullet2"/>
              <w:widowControl w:val="0"/>
            </w:pPr>
            <w:r w:rsidRPr="00F71523">
              <w:t>Bus replacement services for disrupted rail customers.</w:t>
            </w:r>
          </w:p>
        </w:tc>
        <w:tc>
          <w:tcPr>
            <w:tcW w:w="1168" w:type="dxa"/>
            <w:hideMark/>
          </w:tcPr>
          <w:p w14:paraId="71C3F405" w14:textId="77777777" w:rsidR="00CE4C0A" w:rsidRPr="00F71523" w:rsidRDefault="00CE4C0A" w:rsidP="00457BDE">
            <w:pPr>
              <w:pStyle w:val="TableText"/>
              <w:widowControl w:val="0"/>
            </w:pPr>
            <w:r w:rsidRPr="00F71523">
              <w:t>All</w:t>
            </w:r>
          </w:p>
        </w:tc>
        <w:tc>
          <w:tcPr>
            <w:tcW w:w="1276" w:type="dxa"/>
            <w:hideMark/>
          </w:tcPr>
          <w:p w14:paraId="05755F27" w14:textId="77777777" w:rsidR="00CE4C0A" w:rsidRPr="00F71523" w:rsidRDefault="00CE4C0A" w:rsidP="00457BDE">
            <w:pPr>
              <w:pStyle w:val="TableText"/>
              <w:widowControl w:val="0"/>
            </w:pPr>
            <w:r w:rsidRPr="00F71523">
              <w:t>Construction</w:t>
            </w:r>
          </w:p>
        </w:tc>
        <w:tc>
          <w:tcPr>
            <w:tcW w:w="1383" w:type="dxa"/>
          </w:tcPr>
          <w:p w14:paraId="02D00E0C" w14:textId="2699DBD2" w:rsidR="00CE4C0A" w:rsidRPr="00F71523" w:rsidRDefault="00CE4C0A" w:rsidP="00CB066E">
            <w:pPr>
              <w:pStyle w:val="TableText"/>
              <w:widowControl w:val="0"/>
              <w:jc w:val="center"/>
            </w:pPr>
            <w:r w:rsidRPr="00F71523">
              <w:t xml:space="preserve">T001 </w:t>
            </w:r>
            <w:r>
              <w:t xml:space="preserve">to T005, </w:t>
            </w:r>
            <w:r w:rsidRPr="00F71523">
              <w:t>T008</w:t>
            </w:r>
          </w:p>
        </w:tc>
      </w:tr>
      <w:tr w:rsidR="00CE4C0A" w:rsidRPr="00F71523" w14:paraId="0D580AAF" w14:textId="77777777" w:rsidTr="00CB066E">
        <w:trPr>
          <w:cantSplit/>
        </w:trPr>
        <w:tc>
          <w:tcPr>
            <w:tcW w:w="2046" w:type="dxa"/>
            <w:vMerge/>
            <w:hideMark/>
          </w:tcPr>
          <w:p w14:paraId="59E78E4D" w14:textId="77777777" w:rsidR="00CE4C0A" w:rsidRPr="00F71523" w:rsidRDefault="00CE4C0A" w:rsidP="00CB1C25">
            <w:pPr>
              <w:pStyle w:val="TableText"/>
            </w:pPr>
          </w:p>
        </w:tc>
        <w:tc>
          <w:tcPr>
            <w:tcW w:w="800" w:type="dxa"/>
            <w:hideMark/>
          </w:tcPr>
          <w:p w14:paraId="234B0233" w14:textId="77777777" w:rsidR="00CE4C0A" w:rsidRPr="00F71523" w:rsidRDefault="00CE4C0A" w:rsidP="00953369">
            <w:pPr>
              <w:pStyle w:val="TableText"/>
              <w:jc w:val="center"/>
            </w:pPr>
            <w:r w:rsidRPr="00F71523">
              <w:t>T3</w:t>
            </w:r>
          </w:p>
        </w:tc>
        <w:tc>
          <w:tcPr>
            <w:tcW w:w="7894" w:type="dxa"/>
            <w:hideMark/>
          </w:tcPr>
          <w:p w14:paraId="0FA035BF" w14:textId="77777777" w:rsidR="00CE4C0A" w:rsidRPr="00F71523" w:rsidRDefault="00CE4C0A" w:rsidP="00CB1C25">
            <w:pPr>
              <w:pStyle w:val="TableText"/>
              <w:rPr>
                <w:b/>
              </w:rPr>
            </w:pPr>
            <w:r w:rsidRPr="00F71523">
              <w:rPr>
                <w:b/>
              </w:rPr>
              <w:t>Active Transport (Construction Phase)</w:t>
            </w:r>
          </w:p>
          <w:p w14:paraId="103AA45A" w14:textId="501FDA6C" w:rsidR="00CE4C0A" w:rsidRPr="00F71523" w:rsidRDefault="00CE4C0A" w:rsidP="00CB1C25">
            <w:pPr>
              <w:pStyle w:val="TableBullet1"/>
            </w:pPr>
            <w:r w:rsidRPr="00F71523">
              <w:t xml:space="preserve">Develop and implement </w:t>
            </w:r>
            <w:r>
              <w:t>transport</w:t>
            </w:r>
            <w:r w:rsidRPr="00F71523">
              <w:t xml:space="preserve"> management measures in consultation with relevant authorities for cyclists and pedestrians to maintain connectivity throughout construction for road and shared path users including (but not limited to): JJ Holland Park, South Kensington station, Laurens Street, Grattan Street, Franklin Street (including RMIT facilities), Swanston Street, Flinders Street, St Kilda Road, Domain Road, Domain Parklands, Albert Road, Toorak Road, Fawkner Park, Osborne Street, William Street and Chapel Street</w:t>
            </w:r>
          </w:p>
          <w:p w14:paraId="34BFBA82" w14:textId="77777777" w:rsidR="00CE4C0A" w:rsidRPr="00F71523" w:rsidRDefault="00CE4C0A" w:rsidP="00CB1C25">
            <w:pPr>
              <w:pStyle w:val="TableBullet1"/>
            </w:pPr>
            <w:r w:rsidRPr="00F71523">
              <w:t>Implement active control at construction work site access points to maintain safety by avoiding potential conflicts between trucks, pedestrians and cyclists</w:t>
            </w:r>
          </w:p>
          <w:p w14:paraId="3A62CE57" w14:textId="710B3CA5" w:rsidR="00CE4C0A" w:rsidRPr="00F71523" w:rsidRDefault="00CE4C0A" w:rsidP="002E2A82">
            <w:pPr>
              <w:pStyle w:val="TableBullet1"/>
            </w:pPr>
            <w:r w:rsidRPr="00F71523">
              <w:t>In consultation with the City of Melbourne, provide suitable routes for cyclists and pedestrians throughout construction to</w:t>
            </w:r>
            <w:r>
              <w:t xml:space="preserve"> and</w:t>
            </w:r>
            <w:r w:rsidRPr="00F71523">
              <w:t xml:space="preserve"> maintain connectivity for road and shared path users </w:t>
            </w:r>
            <w:r>
              <w:t xml:space="preserve">around </w:t>
            </w:r>
            <w:r w:rsidRPr="00F71523">
              <w:t>JJ Holland Park and South Kensington station.</w:t>
            </w:r>
          </w:p>
        </w:tc>
        <w:tc>
          <w:tcPr>
            <w:tcW w:w="1168" w:type="dxa"/>
            <w:hideMark/>
          </w:tcPr>
          <w:p w14:paraId="7B92B386" w14:textId="77777777" w:rsidR="00CE4C0A" w:rsidRPr="00F71523" w:rsidRDefault="00CE4C0A" w:rsidP="00457BDE">
            <w:pPr>
              <w:pStyle w:val="TableText"/>
            </w:pPr>
            <w:r w:rsidRPr="00F71523">
              <w:t>All</w:t>
            </w:r>
          </w:p>
        </w:tc>
        <w:tc>
          <w:tcPr>
            <w:tcW w:w="1276" w:type="dxa"/>
            <w:hideMark/>
          </w:tcPr>
          <w:p w14:paraId="45FE064D" w14:textId="77777777" w:rsidR="00CE4C0A" w:rsidRPr="00F71523" w:rsidRDefault="00CE4C0A" w:rsidP="00457BDE">
            <w:pPr>
              <w:pStyle w:val="TableText"/>
            </w:pPr>
            <w:r w:rsidRPr="00F71523">
              <w:t>Construction</w:t>
            </w:r>
          </w:p>
        </w:tc>
        <w:tc>
          <w:tcPr>
            <w:tcW w:w="1383" w:type="dxa"/>
          </w:tcPr>
          <w:p w14:paraId="3D44A418" w14:textId="28A998CD" w:rsidR="00CE4C0A" w:rsidRPr="00F71523" w:rsidRDefault="00CE4C0A" w:rsidP="00C712B8">
            <w:pPr>
              <w:pStyle w:val="TableText"/>
              <w:jc w:val="center"/>
            </w:pPr>
            <w:r w:rsidRPr="00F71523">
              <w:t xml:space="preserve">T001 </w:t>
            </w:r>
            <w:r>
              <w:t>to</w:t>
            </w:r>
            <w:r w:rsidRPr="00F71523">
              <w:t xml:space="preserve"> T005</w:t>
            </w:r>
          </w:p>
        </w:tc>
      </w:tr>
      <w:tr w:rsidR="00CE4C0A" w:rsidRPr="00F71523" w14:paraId="6C9BEB3C" w14:textId="77777777" w:rsidTr="00CB066E">
        <w:trPr>
          <w:cantSplit/>
        </w:trPr>
        <w:tc>
          <w:tcPr>
            <w:tcW w:w="2046" w:type="dxa"/>
            <w:vMerge w:val="restart"/>
            <w:hideMark/>
          </w:tcPr>
          <w:p w14:paraId="059E8683" w14:textId="77777777" w:rsidR="00CE4C0A" w:rsidRPr="00F71523" w:rsidRDefault="00CE4C0A" w:rsidP="00CB1C25">
            <w:pPr>
              <w:pStyle w:val="TableText"/>
            </w:pPr>
          </w:p>
        </w:tc>
        <w:tc>
          <w:tcPr>
            <w:tcW w:w="800" w:type="dxa"/>
            <w:hideMark/>
          </w:tcPr>
          <w:p w14:paraId="2D9B0624" w14:textId="77777777" w:rsidR="00CE4C0A" w:rsidRPr="00F71523" w:rsidRDefault="00CE4C0A" w:rsidP="00953369">
            <w:pPr>
              <w:pStyle w:val="TableText"/>
              <w:jc w:val="center"/>
            </w:pPr>
            <w:r w:rsidRPr="00F71523">
              <w:t>T4</w:t>
            </w:r>
          </w:p>
        </w:tc>
        <w:tc>
          <w:tcPr>
            <w:tcW w:w="7894" w:type="dxa"/>
            <w:hideMark/>
          </w:tcPr>
          <w:p w14:paraId="2F474F8C" w14:textId="77777777" w:rsidR="00CE4C0A" w:rsidRPr="00F71523" w:rsidRDefault="00CE4C0A" w:rsidP="00CB1C25">
            <w:pPr>
              <w:pStyle w:val="TableText"/>
              <w:rPr>
                <w:b/>
              </w:rPr>
            </w:pPr>
            <w:r w:rsidRPr="00F71523">
              <w:rPr>
                <w:b/>
              </w:rPr>
              <w:t>Travel Demand Strategy</w:t>
            </w:r>
          </w:p>
          <w:p w14:paraId="5DC377BD" w14:textId="572276DB" w:rsidR="00CE4C0A" w:rsidRPr="00F71523" w:rsidRDefault="00CE4C0A" w:rsidP="00226DB5">
            <w:pPr>
              <w:pStyle w:val="TableBullet1"/>
            </w:pPr>
            <w:r w:rsidRPr="00F71523">
              <w:t xml:space="preserve">In advance of construction works, MMRA to develop and implement a travel demand management strategy and appropriate tools to promote specific transport behaviour changes in response to road, bicycle and pedestrian paths closures/modifications and to reduce traffic congestion around construction sites, particularly in the vicinity of the Parkville and Domain </w:t>
            </w:r>
            <w:r>
              <w:t>p</w:t>
            </w:r>
            <w:r w:rsidRPr="00F71523">
              <w:t>recincts where road closures and restrictions are proposed. The strategy must be consistent with the MMRA Community and Stakeholder Engagement Plan.</w:t>
            </w:r>
          </w:p>
        </w:tc>
        <w:tc>
          <w:tcPr>
            <w:tcW w:w="1168" w:type="dxa"/>
            <w:hideMark/>
          </w:tcPr>
          <w:p w14:paraId="2ED56B3F" w14:textId="77777777" w:rsidR="00CE4C0A" w:rsidRPr="00F71523" w:rsidRDefault="00CE4C0A" w:rsidP="00457BDE">
            <w:pPr>
              <w:pStyle w:val="TableText"/>
            </w:pPr>
            <w:r w:rsidRPr="00F71523">
              <w:t>All</w:t>
            </w:r>
          </w:p>
        </w:tc>
        <w:tc>
          <w:tcPr>
            <w:tcW w:w="1276" w:type="dxa"/>
            <w:hideMark/>
          </w:tcPr>
          <w:p w14:paraId="4C8024B5" w14:textId="77777777" w:rsidR="00CE4C0A" w:rsidRPr="00F71523" w:rsidRDefault="00CE4C0A" w:rsidP="00457BDE">
            <w:pPr>
              <w:pStyle w:val="TableText"/>
            </w:pPr>
            <w:r w:rsidRPr="00F71523">
              <w:t>Construction</w:t>
            </w:r>
          </w:p>
        </w:tc>
        <w:tc>
          <w:tcPr>
            <w:tcW w:w="1383" w:type="dxa"/>
          </w:tcPr>
          <w:p w14:paraId="6B0CFEE8" w14:textId="72D9A2B2" w:rsidR="00CE4C0A" w:rsidRPr="00F71523" w:rsidRDefault="00CE4C0A" w:rsidP="00C712B8">
            <w:pPr>
              <w:pStyle w:val="TableText"/>
              <w:jc w:val="center"/>
            </w:pPr>
            <w:r w:rsidRPr="00F71523">
              <w:t xml:space="preserve">T001 </w:t>
            </w:r>
            <w:r>
              <w:t>to</w:t>
            </w:r>
            <w:r w:rsidRPr="00F71523">
              <w:t xml:space="preserve"> T007</w:t>
            </w:r>
          </w:p>
        </w:tc>
      </w:tr>
      <w:tr w:rsidR="00CE4C0A" w:rsidRPr="00F71523" w14:paraId="6D586BD7" w14:textId="77777777" w:rsidTr="00CB066E">
        <w:tc>
          <w:tcPr>
            <w:tcW w:w="2046" w:type="dxa"/>
            <w:vMerge/>
            <w:hideMark/>
          </w:tcPr>
          <w:p w14:paraId="349C5ECC" w14:textId="77777777" w:rsidR="00CE4C0A" w:rsidRPr="00F71523" w:rsidRDefault="00CE4C0A" w:rsidP="00CB066E">
            <w:pPr>
              <w:pStyle w:val="TableText"/>
              <w:widowControl w:val="0"/>
            </w:pPr>
          </w:p>
        </w:tc>
        <w:tc>
          <w:tcPr>
            <w:tcW w:w="800" w:type="dxa"/>
            <w:hideMark/>
          </w:tcPr>
          <w:p w14:paraId="6DED97A4" w14:textId="77777777" w:rsidR="00CE4C0A" w:rsidRPr="00F71523" w:rsidRDefault="00CE4C0A" w:rsidP="00CB066E">
            <w:pPr>
              <w:pStyle w:val="TableText"/>
              <w:widowControl w:val="0"/>
              <w:jc w:val="center"/>
            </w:pPr>
            <w:r w:rsidRPr="00F71523">
              <w:t>T5</w:t>
            </w:r>
          </w:p>
        </w:tc>
        <w:tc>
          <w:tcPr>
            <w:tcW w:w="7894" w:type="dxa"/>
            <w:hideMark/>
          </w:tcPr>
          <w:p w14:paraId="4EDF5F1F" w14:textId="6036A592" w:rsidR="00CE4C0A" w:rsidRPr="00F71523" w:rsidRDefault="00CE4C0A" w:rsidP="00CB066E">
            <w:pPr>
              <w:pStyle w:val="TableText"/>
              <w:widowControl w:val="0"/>
              <w:rPr>
                <w:b/>
              </w:rPr>
            </w:pPr>
            <w:r w:rsidRPr="00F71523">
              <w:rPr>
                <w:b/>
              </w:rPr>
              <w:t xml:space="preserve">Road </w:t>
            </w:r>
            <w:r>
              <w:rPr>
                <w:b/>
              </w:rPr>
              <w:t>T</w:t>
            </w:r>
            <w:r w:rsidRPr="00F71523">
              <w:rPr>
                <w:b/>
              </w:rPr>
              <w:t>ransport (Operational Phase)</w:t>
            </w:r>
          </w:p>
          <w:p w14:paraId="6A50FB81" w14:textId="77777777" w:rsidR="00CE4C0A" w:rsidRPr="00F71523" w:rsidRDefault="00CE4C0A" w:rsidP="00CB066E">
            <w:pPr>
              <w:pStyle w:val="TableBullet1"/>
              <w:widowControl w:val="0"/>
            </w:pPr>
            <w:r w:rsidRPr="00F71523">
              <w:t xml:space="preserve">Design all </w:t>
            </w:r>
            <w:proofErr w:type="spellStart"/>
            <w:r w:rsidRPr="00F71523">
              <w:t>roadworks</w:t>
            </w:r>
            <w:proofErr w:type="spellEnd"/>
            <w:r w:rsidRPr="00F71523">
              <w:t xml:space="preserve"> and shared path works to relevant design standards to maintain safety of movement in consultation with the relevant road management authorities as required</w:t>
            </w:r>
          </w:p>
          <w:p w14:paraId="3FCD7C80" w14:textId="1C9C42DA" w:rsidR="00CE4C0A" w:rsidRPr="00F71523" w:rsidRDefault="00CE4C0A" w:rsidP="00CB066E">
            <w:pPr>
              <w:pStyle w:val="TableBullet1"/>
              <w:widowControl w:val="0"/>
            </w:pPr>
            <w:r w:rsidRPr="00F71523">
              <w:t>Develop and implement a plan to reinstate car parking on Childers Street</w:t>
            </w:r>
            <w:r>
              <w:t>, Kensington</w:t>
            </w:r>
            <w:r w:rsidRPr="00F71523">
              <w:t xml:space="preserve"> and Laurens Street, </w:t>
            </w:r>
            <w:r>
              <w:t>North Melbourne</w:t>
            </w:r>
            <w:r w:rsidRPr="00F71523">
              <w:t xml:space="preserve"> in consultation with the relevant road management authorities that:</w:t>
            </w:r>
          </w:p>
          <w:p w14:paraId="492DFEE9" w14:textId="5D90147A" w:rsidR="00CE4C0A" w:rsidRPr="00F71523" w:rsidRDefault="00CE4C0A" w:rsidP="00CB066E">
            <w:pPr>
              <w:pStyle w:val="TableBullet2"/>
              <w:widowControl w:val="0"/>
            </w:pPr>
            <w:r w:rsidRPr="00F71523">
              <w:t>Minimises the permanent loss of parking where possible</w:t>
            </w:r>
          </w:p>
          <w:p w14:paraId="04990445" w14:textId="77777777" w:rsidR="00CE4C0A" w:rsidRPr="00F71523" w:rsidRDefault="00CE4C0A" w:rsidP="00CB066E">
            <w:pPr>
              <w:pStyle w:val="TableBullet2"/>
              <w:widowControl w:val="0"/>
            </w:pPr>
            <w:r w:rsidRPr="00F71523">
              <w:t>Ensures re-instated car parking does not encroach on JJ Holland Park</w:t>
            </w:r>
          </w:p>
          <w:p w14:paraId="7D457373" w14:textId="31BD66D5" w:rsidR="00CE4C0A" w:rsidRPr="00F71523" w:rsidRDefault="00CE4C0A" w:rsidP="00CB066E">
            <w:pPr>
              <w:pStyle w:val="TableBullet2"/>
              <w:widowControl w:val="0"/>
            </w:pPr>
            <w:r w:rsidRPr="00F71523">
              <w:t xml:space="preserve">Considers opportunities for </w:t>
            </w:r>
            <w:r>
              <w:t>replacement</w:t>
            </w:r>
            <w:r w:rsidRPr="00F71523">
              <w:t xml:space="preserve"> of any net loss of parking at nearby locations</w:t>
            </w:r>
          </w:p>
          <w:p w14:paraId="6C6AFF4E" w14:textId="77777777" w:rsidR="00CE4C0A" w:rsidRPr="00F71523" w:rsidRDefault="00CE4C0A" w:rsidP="00CB066E">
            <w:pPr>
              <w:pStyle w:val="TableBullet2"/>
              <w:widowControl w:val="0"/>
            </w:pPr>
            <w:r w:rsidRPr="00F71523">
              <w:t>Reduces the risk of overflow parking in local streets from South Kensington station and activities at JJ Holland Park</w:t>
            </w:r>
          </w:p>
          <w:p w14:paraId="5FD14F57" w14:textId="77777777" w:rsidR="00CE4C0A" w:rsidRPr="00F71523" w:rsidRDefault="00CE4C0A" w:rsidP="00CB066E">
            <w:pPr>
              <w:pStyle w:val="TableBullet2"/>
              <w:widowControl w:val="0"/>
            </w:pPr>
            <w:r w:rsidRPr="00F71523">
              <w:t>Replaces loading zones to service the needs of the existing businesses in the precinct where disrupted during construction</w:t>
            </w:r>
          </w:p>
          <w:p w14:paraId="7BDDAE1E" w14:textId="4A1ED7B7" w:rsidR="00CE4C0A" w:rsidRPr="00F71523" w:rsidRDefault="00CE4C0A" w:rsidP="00CB066E">
            <w:pPr>
              <w:pStyle w:val="TableBullet1"/>
              <w:widowControl w:val="0"/>
            </w:pPr>
            <w:r w:rsidRPr="00F71523">
              <w:t>Develop and implement a plan for the reinstatement of Grattan Street, Parkville in consultation with the relevant road management authorities that includes:</w:t>
            </w:r>
          </w:p>
          <w:p w14:paraId="026DBC39" w14:textId="77777777" w:rsidR="00CE4C0A" w:rsidRPr="00F71523" w:rsidRDefault="00CE4C0A" w:rsidP="00CB066E">
            <w:pPr>
              <w:pStyle w:val="TableBullet2"/>
              <w:widowControl w:val="0"/>
            </w:pPr>
            <w:r w:rsidRPr="00F71523">
              <w:t>Optimal replacement of car parking spaces along Grattan Street to service the needs of the hospitals and the university, including the retention or replacement of specific short-term and DDA compliant parking</w:t>
            </w:r>
          </w:p>
          <w:p w14:paraId="46DA8BFB" w14:textId="77777777" w:rsidR="00CE4C0A" w:rsidRPr="00F71523" w:rsidRDefault="00CE4C0A" w:rsidP="00CB066E">
            <w:pPr>
              <w:pStyle w:val="TableBullet2"/>
              <w:widowControl w:val="0"/>
            </w:pPr>
            <w:r w:rsidRPr="00F71523">
              <w:t>Optimal design of the road network around Grattan Street associated with the changed demands and network changes on Grattan Street and Royal Parade/Elizabeth Street</w:t>
            </w:r>
          </w:p>
          <w:p w14:paraId="4938FBA5" w14:textId="77777777" w:rsidR="00CE4C0A" w:rsidRPr="00F71523" w:rsidRDefault="00CE4C0A" w:rsidP="00CB066E">
            <w:pPr>
              <w:pStyle w:val="TableBullet1"/>
              <w:widowControl w:val="0"/>
            </w:pPr>
            <w:r w:rsidRPr="00F71523">
              <w:t>Develop and implement a plan for the future use of the Franklin Street road reserve in consultation with the relevant road management authorities that includes:</w:t>
            </w:r>
          </w:p>
          <w:p w14:paraId="2A1AC328" w14:textId="77777777" w:rsidR="00CE4C0A" w:rsidRPr="00F71523" w:rsidRDefault="00CE4C0A" w:rsidP="00CB066E">
            <w:pPr>
              <w:pStyle w:val="TableBullet2"/>
              <w:widowControl w:val="0"/>
            </w:pPr>
            <w:r w:rsidRPr="00F71523">
              <w:t>Optimising the design of the road network following the closure of Franklin Street between Swanston Street and Bowen Street</w:t>
            </w:r>
          </w:p>
          <w:p w14:paraId="20C9FF5C" w14:textId="77777777" w:rsidR="00CE4C0A" w:rsidRDefault="00CE4C0A" w:rsidP="00CB066E">
            <w:pPr>
              <w:pStyle w:val="TableBullet2"/>
              <w:widowControl w:val="0"/>
            </w:pPr>
            <w:r w:rsidRPr="00F71523">
              <w:lastRenderedPageBreak/>
              <w:t>Monitoring the change in travel patterns around the area associated with the closure of Franklin Street</w:t>
            </w:r>
          </w:p>
          <w:p w14:paraId="1E41D1AA" w14:textId="77777777" w:rsidR="00CE4C0A" w:rsidRPr="00F71523" w:rsidRDefault="00CE4C0A" w:rsidP="00CE4C0A">
            <w:pPr>
              <w:pStyle w:val="TableBullet1"/>
              <w:widowControl w:val="0"/>
            </w:pPr>
            <w:r w:rsidRPr="00F71523">
              <w:t>Optimise the design of the reinstated St Kilda Road and apply the road users hierarchy in consultation with the relevant road management authorities to:</w:t>
            </w:r>
          </w:p>
          <w:p w14:paraId="5E151CA1" w14:textId="77777777" w:rsidR="00CE4C0A" w:rsidRPr="00F71523" w:rsidRDefault="00CE4C0A" w:rsidP="00CE4C0A">
            <w:pPr>
              <w:pStyle w:val="TableBullet2"/>
              <w:widowControl w:val="0"/>
            </w:pPr>
            <w:r w:rsidRPr="00F71523">
              <w:t>Reduce delays and congestion</w:t>
            </w:r>
          </w:p>
          <w:p w14:paraId="0A892012" w14:textId="77777777" w:rsidR="00CE4C0A" w:rsidRDefault="00CE4C0A" w:rsidP="00CB066E">
            <w:pPr>
              <w:pStyle w:val="TableBullet2"/>
              <w:widowControl w:val="0"/>
            </w:pPr>
            <w:r w:rsidRPr="00F71523">
              <w:t>Maintain safe operations through the precinct</w:t>
            </w:r>
          </w:p>
          <w:p w14:paraId="00024E8E" w14:textId="49A016A6" w:rsidR="00CE4C0A" w:rsidRPr="00F71523" w:rsidRDefault="00CE4C0A" w:rsidP="00CB066E">
            <w:pPr>
              <w:pStyle w:val="TableBullet2"/>
              <w:widowControl w:val="0"/>
            </w:pPr>
            <w:r w:rsidRPr="00F71523">
              <w:t>Determine the optimal parking provision in the area and replace any lost parking where possible.</w:t>
            </w:r>
          </w:p>
        </w:tc>
        <w:tc>
          <w:tcPr>
            <w:tcW w:w="1168" w:type="dxa"/>
            <w:hideMark/>
          </w:tcPr>
          <w:p w14:paraId="738C406D" w14:textId="77777777" w:rsidR="00CE4C0A" w:rsidRPr="00F71523" w:rsidRDefault="00CE4C0A" w:rsidP="00457BDE">
            <w:pPr>
              <w:pStyle w:val="TableText"/>
              <w:widowControl w:val="0"/>
            </w:pPr>
            <w:r w:rsidRPr="00F71523">
              <w:lastRenderedPageBreak/>
              <w:t>All</w:t>
            </w:r>
          </w:p>
        </w:tc>
        <w:tc>
          <w:tcPr>
            <w:tcW w:w="1276" w:type="dxa"/>
            <w:hideMark/>
          </w:tcPr>
          <w:p w14:paraId="66908132" w14:textId="77777777" w:rsidR="00CE4C0A" w:rsidRPr="00F71523" w:rsidRDefault="00CE4C0A" w:rsidP="00457BDE">
            <w:pPr>
              <w:pStyle w:val="TableText"/>
              <w:widowControl w:val="0"/>
            </w:pPr>
            <w:r w:rsidRPr="00F71523">
              <w:t>Operation</w:t>
            </w:r>
          </w:p>
        </w:tc>
        <w:tc>
          <w:tcPr>
            <w:tcW w:w="1383" w:type="dxa"/>
          </w:tcPr>
          <w:p w14:paraId="50B93CA5" w14:textId="3A54CB22" w:rsidR="00CE4C0A" w:rsidRPr="00F71523" w:rsidRDefault="00CE4C0A" w:rsidP="00CB066E">
            <w:pPr>
              <w:pStyle w:val="TableText"/>
              <w:widowControl w:val="0"/>
              <w:jc w:val="center"/>
            </w:pPr>
            <w:r w:rsidRPr="00F71523">
              <w:t xml:space="preserve">T009 </w:t>
            </w:r>
            <w:r>
              <w:t>to</w:t>
            </w:r>
            <w:r w:rsidRPr="00F71523">
              <w:t xml:space="preserve"> T011</w:t>
            </w:r>
          </w:p>
        </w:tc>
      </w:tr>
      <w:tr w:rsidR="00562F1E" w:rsidRPr="00F71523" w14:paraId="01DF7C01" w14:textId="77777777" w:rsidTr="00CB066E">
        <w:trPr>
          <w:cantSplit/>
        </w:trPr>
        <w:tc>
          <w:tcPr>
            <w:tcW w:w="2046" w:type="dxa"/>
            <w:vMerge/>
            <w:hideMark/>
          </w:tcPr>
          <w:p w14:paraId="742E1881" w14:textId="77777777" w:rsidR="00562F1E" w:rsidRPr="00F71523" w:rsidRDefault="00562F1E" w:rsidP="00CB1C25">
            <w:pPr>
              <w:pStyle w:val="TableText"/>
            </w:pPr>
          </w:p>
        </w:tc>
        <w:tc>
          <w:tcPr>
            <w:tcW w:w="800" w:type="dxa"/>
            <w:hideMark/>
          </w:tcPr>
          <w:p w14:paraId="276F0161" w14:textId="77777777" w:rsidR="00562F1E" w:rsidRPr="00F71523" w:rsidRDefault="00562F1E" w:rsidP="00953369">
            <w:pPr>
              <w:pStyle w:val="TableText"/>
              <w:jc w:val="center"/>
            </w:pPr>
            <w:r w:rsidRPr="00F71523">
              <w:t>T6</w:t>
            </w:r>
          </w:p>
        </w:tc>
        <w:tc>
          <w:tcPr>
            <w:tcW w:w="7894" w:type="dxa"/>
            <w:hideMark/>
          </w:tcPr>
          <w:p w14:paraId="6894AB18" w14:textId="77777777" w:rsidR="00562F1E" w:rsidRPr="00F71523" w:rsidRDefault="00562F1E" w:rsidP="00562F1E">
            <w:pPr>
              <w:pStyle w:val="TableText"/>
              <w:rPr>
                <w:b/>
              </w:rPr>
            </w:pPr>
            <w:r w:rsidRPr="00F71523">
              <w:rPr>
                <w:b/>
              </w:rPr>
              <w:t>Public Transport (Operational Phase)</w:t>
            </w:r>
          </w:p>
          <w:p w14:paraId="2A74B526" w14:textId="687B543A" w:rsidR="00562F1E" w:rsidRPr="00F71523" w:rsidRDefault="00562F1E" w:rsidP="00CB1C25">
            <w:pPr>
              <w:pStyle w:val="TableBullet1"/>
            </w:pPr>
            <w:r w:rsidRPr="00F71523">
              <w:t>Review, with PTV, the bus services in the areas around Arden, Parkville, CBD North, CBD South and Domain stations including a review of the route 401 bus frequency that will have reduced demand following implementation of Melbourne Metro</w:t>
            </w:r>
          </w:p>
          <w:p w14:paraId="3C28E337" w14:textId="7E6CE0AD" w:rsidR="00562F1E" w:rsidRPr="00F71523" w:rsidRDefault="00562F1E" w:rsidP="00CB1C25">
            <w:pPr>
              <w:pStyle w:val="TableBullet1"/>
            </w:pPr>
            <w:r w:rsidRPr="00F71523">
              <w:t>Optimise the design of Melbourne Metro stations to ensure integration with existing and planned future uses and so that they will provide connections:</w:t>
            </w:r>
          </w:p>
          <w:p w14:paraId="07A19BB6" w14:textId="08817BA7" w:rsidR="00562F1E" w:rsidRPr="00F71523" w:rsidRDefault="00562F1E" w:rsidP="00CB1C25">
            <w:pPr>
              <w:pStyle w:val="TableBullet2"/>
            </w:pPr>
            <w:r w:rsidRPr="00F71523">
              <w:t>Between the new Parkville station and the new tram stop on Royal Parade</w:t>
            </w:r>
          </w:p>
          <w:p w14:paraId="5DDF49B7" w14:textId="77777777" w:rsidR="00562F1E" w:rsidRPr="00F71523" w:rsidRDefault="00562F1E" w:rsidP="00CB1C25">
            <w:pPr>
              <w:pStyle w:val="TableBullet2"/>
            </w:pPr>
            <w:r w:rsidRPr="00F71523">
              <w:t>For interchange between the new CBD North station and the existing tram and bus services along La Trobe Street and Swanston Street</w:t>
            </w:r>
          </w:p>
          <w:p w14:paraId="5A1BDEF3" w14:textId="77777777" w:rsidR="00562F1E" w:rsidRPr="00F71523" w:rsidRDefault="00562F1E" w:rsidP="00CB1C25">
            <w:pPr>
              <w:pStyle w:val="TableBullet2"/>
            </w:pPr>
            <w:r w:rsidRPr="00F71523">
              <w:t>For interchange between the new CBD South station and the existing tram services along Flinders Street and Swanston Street</w:t>
            </w:r>
          </w:p>
          <w:p w14:paraId="7A44F893" w14:textId="77777777" w:rsidR="00562F1E" w:rsidRPr="00F71523" w:rsidRDefault="00562F1E" w:rsidP="00CB1C25">
            <w:pPr>
              <w:pStyle w:val="TableBullet2"/>
            </w:pPr>
            <w:r w:rsidRPr="00F71523">
              <w:t>Between the new Domain station and the new island platform trams stop in the centre of St Kilda Road and connections to the tram services along Domain Road</w:t>
            </w:r>
          </w:p>
          <w:p w14:paraId="4301199C" w14:textId="77777777" w:rsidR="00562F1E" w:rsidRPr="00F71523" w:rsidRDefault="00562F1E" w:rsidP="00CB1C25">
            <w:pPr>
              <w:pStyle w:val="TableBullet1"/>
            </w:pPr>
            <w:r w:rsidRPr="00F71523">
              <w:t>Review, with PTV and Yarra Trams, the bus and tram services in the area to optimise the functionality of the CBD North and South stations and to reduce the reliance on the Swanston Street tram corridor.</w:t>
            </w:r>
          </w:p>
        </w:tc>
        <w:tc>
          <w:tcPr>
            <w:tcW w:w="1168" w:type="dxa"/>
            <w:hideMark/>
          </w:tcPr>
          <w:p w14:paraId="1C405967" w14:textId="77777777" w:rsidR="00562F1E" w:rsidRPr="00F71523" w:rsidRDefault="00562F1E" w:rsidP="00457BDE">
            <w:pPr>
              <w:pStyle w:val="TableText"/>
            </w:pPr>
            <w:r w:rsidRPr="00F71523">
              <w:t>All</w:t>
            </w:r>
          </w:p>
        </w:tc>
        <w:tc>
          <w:tcPr>
            <w:tcW w:w="1276" w:type="dxa"/>
            <w:hideMark/>
          </w:tcPr>
          <w:p w14:paraId="6BB29530" w14:textId="77777777" w:rsidR="00562F1E" w:rsidRPr="00F71523" w:rsidRDefault="00562F1E" w:rsidP="00457BDE">
            <w:pPr>
              <w:pStyle w:val="TableText"/>
            </w:pPr>
            <w:r w:rsidRPr="00F71523">
              <w:t>Operation</w:t>
            </w:r>
          </w:p>
        </w:tc>
        <w:tc>
          <w:tcPr>
            <w:tcW w:w="1383" w:type="dxa"/>
          </w:tcPr>
          <w:p w14:paraId="3D124B4C" w14:textId="385579A2" w:rsidR="00562F1E" w:rsidRPr="00F71523" w:rsidRDefault="00562F1E" w:rsidP="00C712B8">
            <w:pPr>
              <w:pStyle w:val="TableText"/>
              <w:jc w:val="center"/>
            </w:pPr>
            <w:r w:rsidRPr="00F71523">
              <w:t xml:space="preserve">T009 </w:t>
            </w:r>
            <w:r w:rsidR="00C712B8">
              <w:t>to</w:t>
            </w:r>
            <w:r w:rsidRPr="00F71523">
              <w:t xml:space="preserve"> T010</w:t>
            </w:r>
          </w:p>
        </w:tc>
      </w:tr>
      <w:tr w:rsidR="003C175B" w:rsidRPr="00F71523" w14:paraId="64E54DEE" w14:textId="77777777" w:rsidTr="00CB066E">
        <w:trPr>
          <w:cantSplit/>
        </w:trPr>
        <w:tc>
          <w:tcPr>
            <w:tcW w:w="2046" w:type="dxa"/>
            <w:hideMark/>
          </w:tcPr>
          <w:p w14:paraId="75A4DA39" w14:textId="77777777" w:rsidR="001E2D15" w:rsidRPr="00F71523" w:rsidRDefault="001E2D15" w:rsidP="00CB1C25">
            <w:pPr>
              <w:pStyle w:val="TableText"/>
            </w:pPr>
          </w:p>
        </w:tc>
        <w:tc>
          <w:tcPr>
            <w:tcW w:w="800" w:type="dxa"/>
            <w:hideMark/>
          </w:tcPr>
          <w:p w14:paraId="5054AED3" w14:textId="77777777" w:rsidR="001E2D15" w:rsidRPr="00F71523" w:rsidRDefault="001E2D15" w:rsidP="00953369">
            <w:pPr>
              <w:pStyle w:val="TableText"/>
              <w:jc w:val="center"/>
            </w:pPr>
            <w:r w:rsidRPr="00F71523">
              <w:t>T7</w:t>
            </w:r>
          </w:p>
        </w:tc>
        <w:tc>
          <w:tcPr>
            <w:tcW w:w="7894" w:type="dxa"/>
            <w:hideMark/>
          </w:tcPr>
          <w:p w14:paraId="5BC3B7A2" w14:textId="1F89E777" w:rsidR="001E2D15" w:rsidRPr="00F71523" w:rsidRDefault="001E2D15" w:rsidP="00CB1C25">
            <w:pPr>
              <w:pStyle w:val="TableText"/>
            </w:pPr>
            <w:r w:rsidRPr="00F71523">
              <w:rPr>
                <w:b/>
              </w:rPr>
              <w:t>Active Transport (Operational phase)</w:t>
            </w:r>
          </w:p>
          <w:p w14:paraId="7E6899AA" w14:textId="1C17DF66" w:rsidR="001E2D15" w:rsidRPr="00F71523" w:rsidRDefault="001E2D15" w:rsidP="00CB1C25">
            <w:pPr>
              <w:pStyle w:val="TableBullet1"/>
            </w:pPr>
            <w:r w:rsidRPr="00F71523">
              <w:t>Develop and implement a permanent shared use path along the northern side of Childers Street, Kensington in conjunction with the relevant road management authority and the land manager prior to the removal of the shared use path on the southern side</w:t>
            </w:r>
          </w:p>
          <w:p w14:paraId="0DDC0A78" w14:textId="7E1AF54A" w:rsidR="001E2D15" w:rsidRPr="0092027E" w:rsidRDefault="001E2D15" w:rsidP="00CB1C25">
            <w:pPr>
              <w:pStyle w:val="TableBullet1"/>
            </w:pPr>
            <w:r w:rsidRPr="0092027E">
              <w:t xml:space="preserve">Where practicable to do so, re-instate on-road bicycle lanes and bicycle parking provisions removed during construction in cooperation with the relevant road management authority and the local council </w:t>
            </w:r>
          </w:p>
          <w:p w14:paraId="4D8A4CDF" w14:textId="1C465542" w:rsidR="001E2D15" w:rsidRPr="00F71523" w:rsidRDefault="001E2D15" w:rsidP="00040FF1">
            <w:pPr>
              <w:pStyle w:val="TableBullet1"/>
            </w:pPr>
            <w:r w:rsidRPr="00F71523">
              <w:t xml:space="preserve">Review the provision of safe and effective bicycle lanes in and around </w:t>
            </w:r>
            <w:r w:rsidR="0092027E">
              <w:t>the Melbourne Metro station sites</w:t>
            </w:r>
            <w:r w:rsidRPr="00F71523">
              <w:t xml:space="preserve"> in cooperation with the road authority and the local council </w:t>
            </w:r>
          </w:p>
          <w:p w14:paraId="4DB3F874" w14:textId="0C7B6A4B" w:rsidR="001E2D15" w:rsidRPr="00F71523" w:rsidRDefault="001E2D15" w:rsidP="00CB1C25">
            <w:pPr>
              <w:pStyle w:val="TableBullet1"/>
            </w:pPr>
            <w:r w:rsidRPr="00F71523">
              <w:t xml:space="preserve">Provide </w:t>
            </w:r>
            <w:proofErr w:type="spellStart"/>
            <w:r w:rsidRPr="00F71523">
              <w:t>wayfinding</w:t>
            </w:r>
            <w:proofErr w:type="spellEnd"/>
            <w:r w:rsidRPr="00F71523">
              <w:t xml:space="preserve"> information to enhance connectivity for pedestrians and public transport users including (but not limited to) the following locations:</w:t>
            </w:r>
          </w:p>
          <w:p w14:paraId="0C4F5422" w14:textId="51418D48" w:rsidR="001E2D15" w:rsidRPr="00F71523" w:rsidRDefault="001E2D15" w:rsidP="00CB1C25">
            <w:pPr>
              <w:pStyle w:val="TableBullet2"/>
            </w:pPr>
            <w:r w:rsidRPr="00F71523">
              <w:t xml:space="preserve">Between Melbourne Central </w:t>
            </w:r>
            <w:r w:rsidR="00497E3C">
              <w:t>s</w:t>
            </w:r>
            <w:r w:rsidRPr="00F71523">
              <w:t>tation and the new CBD North station</w:t>
            </w:r>
          </w:p>
          <w:p w14:paraId="5A5B5598" w14:textId="77777777" w:rsidR="001E2D15" w:rsidRPr="00F71523" w:rsidRDefault="001E2D15" w:rsidP="00CB1C25">
            <w:pPr>
              <w:pStyle w:val="TableBullet2"/>
            </w:pPr>
            <w:r w:rsidRPr="00F71523">
              <w:t>The underground connection between Flinders Street Station and the new CBD South station.</w:t>
            </w:r>
          </w:p>
        </w:tc>
        <w:tc>
          <w:tcPr>
            <w:tcW w:w="1168" w:type="dxa"/>
            <w:hideMark/>
          </w:tcPr>
          <w:p w14:paraId="7CEF9FBA" w14:textId="77777777" w:rsidR="001E2D15" w:rsidRPr="00F71523" w:rsidRDefault="001E2D15" w:rsidP="00457BDE">
            <w:pPr>
              <w:pStyle w:val="TableText"/>
            </w:pPr>
            <w:r w:rsidRPr="00F71523">
              <w:t>All</w:t>
            </w:r>
          </w:p>
        </w:tc>
        <w:tc>
          <w:tcPr>
            <w:tcW w:w="1276" w:type="dxa"/>
            <w:hideMark/>
          </w:tcPr>
          <w:p w14:paraId="0FCF97E9" w14:textId="77777777" w:rsidR="001E2D15" w:rsidRPr="00F71523" w:rsidRDefault="001E2D15" w:rsidP="00457BDE">
            <w:pPr>
              <w:pStyle w:val="TableText"/>
            </w:pPr>
            <w:r w:rsidRPr="00F71523">
              <w:t>Operation</w:t>
            </w:r>
          </w:p>
        </w:tc>
        <w:tc>
          <w:tcPr>
            <w:tcW w:w="1383" w:type="dxa"/>
          </w:tcPr>
          <w:p w14:paraId="2A038A81" w14:textId="39C88956" w:rsidR="001E2D15" w:rsidRPr="00F71523" w:rsidRDefault="001E2D15" w:rsidP="00C712B8">
            <w:pPr>
              <w:pStyle w:val="TableText"/>
              <w:jc w:val="center"/>
            </w:pPr>
            <w:r w:rsidRPr="00F71523">
              <w:t xml:space="preserve">T009 </w:t>
            </w:r>
            <w:r w:rsidR="00C712B8">
              <w:t>to</w:t>
            </w:r>
            <w:r w:rsidRPr="00F71523">
              <w:t xml:space="preserve"> T010</w:t>
            </w:r>
          </w:p>
        </w:tc>
      </w:tr>
      <w:tr w:rsidR="001E2D15" w:rsidRPr="00F71523" w14:paraId="24948040" w14:textId="77777777" w:rsidTr="00CB066E">
        <w:trPr>
          <w:cantSplit/>
        </w:trPr>
        <w:tc>
          <w:tcPr>
            <w:tcW w:w="14567" w:type="dxa"/>
            <w:gridSpan w:val="6"/>
            <w:shd w:val="clear" w:color="auto" w:fill="F2F2F2" w:themeFill="background1" w:themeFillShade="F2"/>
            <w:hideMark/>
          </w:tcPr>
          <w:p w14:paraId="4BEB7FD9" w14:textId="77777777" w:rsidR="001E2D15" w:rsidRPr="00F71523" w:rsidRDefault="001E2D15" w:rsidP="00457BDE">
            <w:pPr>
              <w:pStyle w:val="TableText"/>
              <w:keepNext/>
              <w:keepLines/>
              <w:rPr>
                <w:rStyle w:val="CharacterStyle-Bold"/>
              </w:rPr>
            </w:pPr>
            <w:r w:rsidRPr="00F71523">
              <w:rPr>
                <w:rStyle w:val="CharacterStyle-Bold"/>
              </w:rPr>
              <w:t>Greenhouse Gas</w:t>
            </w:r>
          </w:p>
        </w:tc>
      </w:tr>
      <w:tr w:rsidR="003C175B" w:rsidRPr="00F71523" w14:paraId="0B3D9D97" w14:textId="77777777" w:rsidTr="00CB066E">
        <w:trPr>
          <w:cantSplit/>
        </w:trPr>
        <w:tc>
          <w:tcPr>
            <w:tcW w:w="2046" w:type="dxa"/>
            <w:vMerge w:val="restart"/>
            <w:hideMark/>
          </w:tcPr>
          <w:p w14:paraId="7008D79C" w14:textId="77777777" w:rsidR="001E2D15" w:rsidRPr="00F71523" w:rsidRDefault="001E2D15" w:rsidP="00CB1C25">
            <w:pPr>
              <w:pStyle w:val="TableText"/>
            </w:pPr>
            <w:r w:rsidRPr="00F71523">
              <w:t>Transport connectivity – To enable a significant increase in the capacity of the metropolitan rail network and provide multimodal connections, while adequately managing effects of the works on the broader transport network, both during and after the construction of the project</w:t>
            </w:r>
          </w:p>
        </w:tc>
        <w:tc>
          <w:tcPr>
            <w:tcW w:w="800" w:type="dxa"/>
            <w:hideMark/>
          </w:tcPr>
          <w:p w14:paraId="1E447D00" w14:textId="77777777" w:rsidR="001E2D15" w:rsidRPr="00F71523" w:rsidRDefault="001E2D15" w:rsidP="00953369">
            <w:pPr>
              <w:pStyle w:val="TableText"/>
              <w:jc w:val="center"/>
            </w:pPr>
            <w:r w:rsidRPr="00F71523">
              <w:t>G1</w:t>
            </w:r>
          </w:p>
        </w:tc>
        <w:tc>
          <w:tcPr>
            <w:tcW w:w="7894" w:type="dxa"/>
            <w:hideMark/>
          </w:tcPr>
          <w:p w14:paraId="447C3042" w14:textId="78086F26" w:rsidR="001E2D15" w:rsidRPr="00F71523" w:rsidRDefault="001E2D15" w:rsidP="005A5B52">
            <w:pPr>
              <w:pStyle w:val="TableText"/>
            </w:pPr>
            <w:r w:rsidRPr="00F71523">
              <w:t>Develop and implement a Sustainability Management Plan to meet, as a minimum, the Melbourne Metro sustainability targets, including achieving the specified ratings under the Infrastructure Sustainability Council of Australia’s Infrastructure Sustainability Rating Tool and the Green Star Design and As Built Melbourne Metro Rail Tool.</w:t>
            </w:r>
          </w:p>
        </w:tc>
        <w:tc>
          <w:tcPr>
            <w:tcW w:w="1168" w:type="dxa"/>
            <w:hideMark/>
          </w:tcPr>
          <w:p w14:paraId="6B5423D9" w14:textId="77777777" w:rsidR="001E2D15" w:rsidRPr="00F71523" w:rsidRDefault="001E2D15" w:rsidP="00457BDE">
            <w:pPr>
              <w:pStyle w:val="TableText"/>
            </w:pPr>
            <w:r w:rsidRPr="00F71523">
              <w:t>All</w:t>
            </w:r>
          </w:p>
        </w:tc>
        <w:tc>
          <w:tcPr>
            <w:tcW w:w="1276" w:type="dxa"/>
            <w:hideMark/>
          </w:tcPr>
          <w:p w14:paraId="15F02DCD" w14:textId="193963B8" w:rsidR="001E2D15" w:rsidRPr="00F71523" w:rsidRDefault="001E2D15" w:rsidP="00457BDE">
            <w:pPr>
              <w:pStyle w:val="TableText"/>
            </w:pPr>
            <w:r w:rsidRPr="00F71523">
              <w:t>Design/ Construction/ Operation</w:t>
            </w:r>
          </w:p>
        </w:tc>
        <w:tc>
          <w:tcPr>
            <w:tcW w:w="1383" w:type="dxa"/>
          </w:tcPr>
          <w:p w14:paraId="3A19CF97" w14:textId="70815C7D" w:rsidR="0029167A" w:rsidRPr="00F71523" w:rsidRDefault="0029167A" w:rsidP="00953369">
            <w:pPr>
              <w:pStyle w:val="TableText"/>
              <w:jc w:val="center"/>
            </w:pPr>
            <w:r w:rsidRPr="00F71523">
              <w:t>GH001</w:t>
            </w:r>
            <w:r w:rsidR="0089374D">
              <w:t xml:space="preserve">, </w:t>
            </w:r>
            <w:r w:rsidRPr="00F71523">
              <w:t>GH002</w:t>
            </w:r>
          </w:p>
        </w:tc>
      </w:tr>
      <w:tr w:rsidR="003C175B" w:rsidRPr="00F71523" w14:paraId="24F57FDA" w14:textId="77777777" w:rsidTr="00CB066E">
        <w:trPr>
          <w:cantSplit/>
        </w:trPr>
        <w:tc>
          <w:tcPr>
            <w:tcW w:w="2046" w:type="dxa"/>
            <w:vMerge/>
            <w:hideMark/>
          </w:tcPr>
          <w:p w14:paraId="054032D7" w14:textId="77777777" w:rsidR="001E2D15" w:rsidRPr="00F71523" w:rsidRDefault="001E2D15" w:rsidP="00CB1C25">
            <w:pPr>
              <w:pStyle w:val="TableText"/>
            </w:pPr>
          </w:p>
        </w:tc>
        <w:tc>
          <w:tcPr>
            <w:tcW w:w="800" w:type="dxa"/>
            <w:hideMark/>
          </w:tcPr>
          <w:p w14:paraId="0AEB1A61" w14:textId="5C5F61BB" w:rsidR="001E2D15" w:rsidRPr="00F71523" w:rsidRDefault="001E2D15" w:rsidP="00953369">
            <w:pPr>
              <w:pStyle w:val="TableText"/>
              <w:jc w:val="center"/>
            </w:pPr>
            <w:r w:rsidRPr="00F71523">
              <w:t>G2</w:t>
            </w:r>
          </w:p>
        </w:tc>
        <w:tc>
          <w:tcPr>
            <w:tcW w:w="7894" w:type="dxa"/>
            <w:hideMark/>
          </w:tcPr>
          <w:p w14:paraId="785FBE85" w14:textId="5DD6A47C" w:rsidR="001E2D15" w:rsidRPr="00F71523" w:rsidRDefault="001E2D15" w:rsidP="00815137">
            <w:pPr>
              <w:pStyle w:val="TableText"/>
            </w:pPr>
            <w:r w:rsidRPr="00F71523">
              <w:t>Monitor and report on how each of the best practice GHG abatement measures and sustainability initiatives identified in the Concept Design is implemented in the detailed design of the project and whether any additional measures not included in the Concept Design are feasible.</w:t>
            </w:r>
          </w:p>
        </w:tc>
        <w:tc>
          <w:tcPr>
            <w:tcW w:w="1168" w:type="dxa"/>
            <w:hideMark/>
          </w:tcPr>
          <w:p w14:paraId="0C1CF8DE" w14:textId="77777777" w:rsidR="001E2D15" w:rsidRPr="00F71523" w:rsidRDefault="001E2D15" w:rsidP="00457BDE">
            <w:pPr>
              <w:pStyle w:val="TableText"/>
            </w:pPr>
            <w:r w:rsidRPr="00F71523">
              <w:t>All</w:t>
            </w:r>
          </w:p>
        </w:tc>
        <w:tc>
          <w:tcPr>
            <w:tcW w:w="1276" w:type="dxa"/>
            <w:hideMark/>
          </w:tcPr>
          <w:p w14:paraId="4E841C90" w14:textId="77777777" w:rsidR="001E2D15" w:rsidRPr="00F71523" w:rsidRDefault="001E2D15" w:rsidP="00457BDE">
            <w:pPr>
              <w:pStyle w:val="TableText"/>
            </w:pPr>
            <w:r w:rsidRPr="00F71523">
              <w:t>Design</w:t>
            </w:r>
          </w:p>
        </w:tc>
        <w:tc>
          <w:tcPr>
            <w:tcW w:w="1383" w:type="dxa"/>
          </w:tcPr>
          <w:p w14:paraId="3D4897D4" w14:textId="671F2570" w:rsidR="001E2D15" w:rsidRPr="00F71523" w:rsidRDefault="0029167A" w:rsidP="00953369">
            <w:pPr>
              <w:pStyle w:val="TableText"/>
              <w:jc w:val="center"/>
            </w:pPr>
            <w:r w:rsidRPr="00F71523">
              <w:t>GH001</w:t>
            </w:r>
            <w:r w:rsidR="0089374D">
              <w:t xml:space="preserve">, </w:t>
            </w:r>
            <w:r w:rsidRPr="00F71523">
              <w:t>GH002</w:t>
            </w:r>
          </w:p>
        </w:tc>
      </w:tr>
      <w:tr w:rsidR="001E2D15" w:rsidRPr="00F71523" w14:paraId="3CEE0014" w14:textId="77777777" w:rsidTr="00CB066E">
        <w:trPr>
          <w:cantSplit/>
        </w:trPr>
        <w:tc>
          <w:tcPr>
            <w:tcW w:w="14567" w:type="dxa"/>
            <w:gridSpan w:val="6"/>
            <w:shd w:val="clear" w:color="auto" w:fill="F2F2F2" w:themeFill="background1" w:themeFillShade="F2"/>
            <w:hideMark/>
          </w:tcPr>
          <w:p w14:paraId="79368DE2" w14:textId="41844AEE" w:rsidR="001E2D15" w:rsidRPr="00F71523" w:rsidRDefault="001E2D15" w:rsidP="00457BDE">
            <w:pPr>
              <w:pStyle w:val="TableText"/>
              <w:keepNext/>
              <w:keepLines/>
              <w:rPr>
                <w:rStyle w:val="CharacterStyle-Bold"/>
              </w:rPr>
            </w:pPr>
            <w:r w:rsidRPr="00F71523">
              <w:rPr>
                <w:rStyle w:val="CharacterStyle-Bold"/>
              </w:rPr>
              <w:lastRenderedPageBreak/>
              <w:t>Land Use and Planning</w:t>
            </w:r>
          </w:p>
        </w:tc>
      </w:tr>
      <w:tr w:rsidR="00F66DF2" w:rsidRPr="00C712B8" w14:paraId="732E3926" w14:textId="77777777" w:rsidTr="00CB066E">
        <w:trPr>
          <w:cantSplit/>
        </w:trPr>
        <w:tc>
          <w:tcPr>
            <w:tcW w:w="2046" w:type="dxa"/>
            <w:vMerge w:val="restart"/>
            <w:hideMark/>
          </w:tcPr>
          <w:p w14:paraId="7A20A412" w14:textId="72491D8E" w:rsidR="00F66DF2" w:rsidRPr="00F71523" w:rsidRDefault="00F66DF2" w:rsidP="00CB1C25">
            <w:pPr>
              <w:pStyle w:val="TableText"/>
            </w:pPr>
            <w:r w:rsidRPr="00F71523">
              <w:t>Built environment – To protect and enhance the character, form and function of the public realm and buildings within and adjacent to the project alignment, and particularly in the vicinity of project surface structures, having regard to the existing and evolving urban context</w:t>
            </w:r>
          </w:p>
        </w:tc>
        <w:tc>
          <w:tcPr>
            <w:tcW w:w="800" w:type="dxa"/>
            <w:hideMark/>
          </w:tcPr>
          <w:p w14:paraId="5143502E" w14:textId="61EA985A" w:rsidR="00F66DF2" w:rsidRPr="00F71523" w:rsidRDefault="00F66DF2" w:rsidP="00953369">
            <w:pPr>
              <w:pStyle w:val="TableText"/>
              <w:jc w:val="center"/>
            </w:pPr>
            <w:r w:rsidRPr="00F71523">
              <w:t>LU1</w:t>
            </w:r>
          </w:p>
        </w:tc>
        <w:tc>
          <w:tcPr>
            <w:tcW w:w="7894" w:type="dxa"/>
            <w:hideMark/>
          </w:tcPr>
          <w:p w14:paraId="1E67E87A" w14:textId="77777777" w:rsidR="00F66DF2" w:rsidRPr="00F71523" w:rsidRDefault="00F66DF2" w:rsidP="00CB1C25">
            <w:pPr>
              <w:pStyle w:val="TableText"/>
            </w:pPr>
            <w:r w:rsidRPr="00F71523">
              <w:t>Develop and implement measures for construction and operation of Melbourne Metro that aim to minimise impacts to the development and/or operation of existing land uses, including:</w:t>
            </w:r>
          </w:p>
          <w:p w14:paraId="134E5C27" w14:textId="561C50F8" w:rsidR="00F66DF2" w:rsidRPr="00F71523" w:rsidRDefault="00F66DF2" w:rsidP="00CB1C25">
            <w:pPr>
              <w:pStyle w:val="TableBullet1"/>
            </w:pPr>
            <w:r w:rsidRPr="00F71523">
              <w:t>Limiting the permanent change of use within existing public open space</w:t>
            </w:r>
          </w:p>
          <w:p w14:paraId="4031F0C0" w14:textId="1F404528" w:rsidR="00F66DF2" w:rsidRPr="00F71523" w:rsidRDefault="00F66DF2" w:rsidP="00CB1C25">
            <w:pPr>
              <w:pStyle w:val="TableBullet1"/>
            </w:pPr>
            <w:r w:rsidRPr="00F71523">
              <w:t>Minimising footprints of construction sites and permanent infrastructure on public land</w:t>
            </w:r>
          </w:p>
          <w:p w14:paraId="56EDD283" w14:textId="5B2CC18E" w:rsidR="00F66DF2" w:rsidRPr="00F71523" w:rsidRDefault="00F66DF2" w:rsidP="00CB1C25">
            <w:pPr>
              <w:pStyle w:val="TableBullet1"/>
            </w:pPr>
            <w:r w:rsidRPr="00F71523">
              <w:t xml:space="preserve">Minimising impacts to existing public open spaces and recreational facilities and the users of these facilities, including </w:t>
            </w:r>
            <w:r w:rsidR="00497E3C">
              <w:t>(</w:t>
            </w:r>
            <w:r w:rsidRPr="00F71523">
              <w:t>but not limited to</w:t>
            </w:r>
            <w:r w:rsidR="00497E3C">
              <w:t xml:space="preserve">): </w:t>
            </w:r>
            <w:r w:rsidRPr="00F71523">
              <w:t>JJ Holland Park, University Square, City Baths, City Square, Federation Square, the Shrine of Remembrance and the Shrine Reserve, Domain Parklands, Edmund Herring Oval, Fawkner Park and the Albert Road Reserve.</w:t>
            </w:r>
          </w:p>
          <w:p w14:paraId="7CB1C07B" w14:textId="175B28FE" w:rsidR="00F66DF2" w:rsidRPr="00F71523" w:rsidRDefault="00F66DF2" w:rsidP="00CB1C25">
            <w:pPr>
              <w:pStyle w:val="TableText"/>
            </w:pPr>
            <w:r w:rsidRPr="00F71523">
              <w:t>Such measures must be developed in consultation with affected land managers for public land.</w:t>
            </w:r>
          </w:p>
        </w:tc>
        <w:tc>
          <w:tcPr>
            <w:tcW w:w="1168" w:type="dxa"/>
            <w:hideMark/>
          </w:tcPr>
          <w:p w14:paraId="4A32272B" w14:textId="77777777" w:rsidR="00F66DF2" w:rsidRPr="00F71523" w:rsidRDefault="00F66DF2" w:rsidP="00457BDE">
            <w:pPr>
              <w:pStyle w:val="TableText"/>
            </w:pPr>
            <w:r w:rsidRPr="00F71523">
              <w:t>All</w:t>
            </w:r>
          </w:p>
        </w:tc>
        <w:tc>
          <w:tcPr>
            <w:tcW w:w="1276" w:type="dxa"/>
            <w:hideMark/>
          </w:tcPr>
          <w:p w14:paraId="01157976" w14:textId="77777777" w:rsidR="00F66DF2" w:rsidRPr="00F71523" w:rsidRDefault="00F66DF2" w:rsidP="00457BDE">
            <w:pPr>
              <w:pStyle w:val="TableText"/>
            </w:pPr>
            <w:r w:rsidRPr="00F71523">
              <w:t>Construction/ Operation</w:t>
            </w:r>
          </w:p>
        </w:tc>
        <w:tc>
          <w:tcPr>
            <w:tcW w:w="1383" w:type="dxa"/>
          </w:tcPr>
          <w:p w14:paraId="2FE1595E" w14:textId="2FB78F42" w:rsidR="00F66DF2" w:rsidRPr="00F71523" w:rsidRDefault="00C712B8" w:rsidP="00CB066E">
            <w:pPr>
              <w:pStyle w:val="TableText"/>
              <w:jc w:val="center"/>
            </w:pPr>
            <w:r w:rsidRPr="00C712B8">
              <w:t>LU001 to LU008</w:t>
            </w:r>
          </w:p>
        </w:tc>
      </w:tr>
      <w:tr w:rsidR="00F66DF2" w:rsidRPr="00C712B8" w14:paraId="7D695B67" w14:textId="77777777" w:rsidTr="00CB066E">
        <w:trPr>
          <w:cantSplit/>
        </w:trPr>
        <w:tc>
          <w:tcPr>
            <w:tcW w:w="2046" w:type="dxa"/>
            <w:vMerge/>
            <w:hideMark/>
          </w:tcPr>
          <w:p w14:paraId="4F534F84" w14:textId="77777777" w:rsidR="00F66DF2" w:rsidRPr="00F71523" w:rsidRDefault="00F66DF2" w:rsidP="00CB1C25">
            <w:pPr>
              <w:pStyle w:val="TableText"/>
            </w:pPr>
          </w:p>
        </w:tc>
        <w:tc>
          <w:tcPr>
            <w:tcW w:w="800" w:type="dxa"/>
            <w:hideMark/>
          </w:tcPr>
          <w:p w14:paraId="4A1E61FB" w14:textId="77777777" w:rsidR="00F66DF2" w:rsidRPr="00F71523" w:rsidRDefault="00F66DF2" w:rsidP="00953369">
            <w:pPr>
              <w:pStyle w:val="TableText"/>
              <w:jc w:val="center"/>
            </w:pPr>
            <w:r w:rsidRPr="00F71523">
              <w:t>LU2</w:t>
            </w:r>
          </w:p>
        </w:tc>
        <w:tc>
          <w:tcPr>
            <w:tcW w:w="7894" w:type="dxa"/>
            <w:hideMark/>
          </w:tcPr>
          <w:p w14:paraId="0AA1AAA9" w14:textId="77777777" w:rsidR="00F66DF2" w:rsidRPr="00F71523" w:rsidRDefault="00F66DF2" w:rsidP="00CB1C25">
            <w:pPr>
              <w:pStyle w:val="TableText"/>
            </w:pPr>
            <w:r w:rsidRPr="00F71523">
              <w:t>Development of the project is to have regard to the relevant Open Space Master Plans (including but not limited to, the Domain Parklands and Fawkner Park Master Plans) in designing and constructing above-ground infrastructure for the tunnels.</w:t>
            </w:r>
          </w:p>
          <w:p w14:paraId="771CCC04" w14:textId="77777777" w:rsidR="00F66DF2" w:rsidRPr="00F71523" w:rsidRDefault="00F66DF2" w:rsidP="00CB1C25">
            <w:pPr>
              <w:pStyle w:val="TableText"/>
            </w:pPr>
            <w:r w:rsidRPr="00F71523">
              <w:t>Consultation must occur with land managers and/or agencies responsible for the implementation of the relevant Open Space Master Plans.</w:t>
            </w:r>
          </w:p>
        </w:tc>
        <w:tc>
          <w:tcPr>
            <w:tcW w:w="1168" w:type="dxa"/>
            <w:hideMark/>
          </w:tcPr>
          <w:p w14:paraId="26CB9F41" w14:textId="77777777" w:rsidR="00F66DF2" w:rsidRPr="00F71523" w:rsidRDefault="00F66DF2" w:rsidP="00457BDE">
            <w:pPr>
              <w:pStyle w:val="TableText"/>
            </w:pPr>
            <w:r w:rsidRPr="00F71523">
              <w:t>All</w:t>
            </w:r>
          </w:p>
        </w:tc>
        <w:tc>
          <w:tcPr>
            <w:tcW w:w="1276" w:type="dxa"/>
            <w:hideMark/>
          </w:tcPr>
          <w:p w14:paraId="6CA9465E" w14:textId="77777777" w:rsidR="00F66DF2" w:rsidRPr="00F71523" w:rsidRDefault="00F66DF2" w:rsidP="00457BDE">
            <w:pPr>
              <w:pStyle w:val="TableText"/>
            </w:pPr>
            <w:r w:rsidRPr="00F71523">
              <w:t>Construction/ Operation</w:t>
            </w:r>
          </w:p>
        </w:tc>
        <w:tc>
          <w:tcPr>
            <w:tcW w:w="1383" w:type="dxa"/>
          </w:tcPr>
          <w:p w14:paraId="34FD8879" w14:textId="51DA76DD" w:rsidR="00F66DF2" w:rsidRPr="00F71523" w:rsidRDefault="00C712B8" w:rsidP="00CB066E">
            <w:pPr>
              <w:pStyle w:val="TableText"/>
              <w:jc w:val="center"/>
            </w:pPr>
            <w:r>
              <w:t>LU002</w:t>
            </w:r>
            <w:r w:rsidR="0089374D">
              <w:t xml:space="preserve">, </w:t>
            </w:r>
            <w:r>
              <w:t>LU005</w:t>
            </w:r>
            <w:r w:rsidR="0089374D">
              <w:t xml:space="preserve">, </w:t>
            </w:r>
            <w:r>
              <w:t>LU006</w:t>
            </w:r>
          </w:p>
        </w:tc>
      </w:tr>
      <w:tr w:rsidR="00F66DF2" w:rsidRPr="00F71523" w14:paraId="792FEB40" w14:textId="77777777" w:rsidTr="00CB066E">
        <w:trPr>
          <w:cantSplit/>
        </w:trPr>
        <w:tc>
          <w:tcPr>
            <w:tcW w:w="2046" w:type="dxa"/>
            <w:vMerge/>
            <w:hideMark/>
          </w:tcPr>
          <w:p w14:paraId="4DE46944" w14:textId="77777777" w:rsidR="00F66DF2" w:rsidRPr="00F71523" w:rsidRDefault="00F66DF2" w:rsidP="00CB1C25">
            <w:pPr>
              <w:pStyle w:val="TableText"/>
            </w:pPr>
          </w:p>
        </w:tc>
        <w:tc>
          <w:tcPr>
            <w:tcW w:w="800" w:type="dxa"/>
            <w:hideMark/>
          </w:tcPr>
          <w:p w14:paraId="4EA73071" w14:textId="77777777" w:rsidR="00F66DF2" w:rsidRPr="00F71523" w:rsidRDefault="00F66DF2" w:rsidP="00953369">
            <w:pPr>
              <w:pStyle w:val="TableText"/>
              <w:jc w:val="center"/>
            </w:pPr>
            <w:r w:rsidRPr="00F71523">
              <w:t>LU3</w:t>
            </w:r>
          </w:p>
        </w:tc>
        <w:tc>
          <w:tcPr>
            <w:tcW w:w="7894" w:type="dxa"/>
            <w:hideMark/>
          </w:tcPr>
          <w:p w14:paraId="57BA83D2" w14:textId="77C60CF9" w:rsidR="00F66DF2" w:rsidRPr="00F71523" w:rsidRDefault="00F66DF2" w:rsidP="00040FF1">
            <w:pPr>
              <w:pStyle w:val="TableText"/>
            </w:pPr>
            <w:r w:rsidRPr="00F71523">
              <w:t>Design and construction of Arden station must consider the ongoing strategic planning of the Arden-Macaulay Urban Renewal Area and include consultation with the Metropolitan Planning Authority, City of Melbourne and any other relevant agencies</w:t>
            </w:r>
            <w:r w:rsidR="00FD14B7" w:rsidRPr="00F71523">
              <w:t>.</w:t>
            </w:r>
          </w:p>
        </w:tc>
        <w:tc>
          <w:tcPr>
            <w:tcW w:w="1168" w:type="dxa"/>
            <w:hideMark/>
          </w:tcPr>
          <w:p w14:paraId="2960047B" w14:textId="77777777" w:rsidR="00F66DF2" w:rsidRPr="00F71523" w:rsidRDefault="00F66DF2" w:rsidP="00457BDE">
            <w:pPr>
              <w:pStyle w:val="TableText"/>
            </w:pPr>
            <w:r w:rsidRPr="00F71523">
              <w:t>3 – Arden station</w:t>
            </w:r>
          </w:p>
        </w:tc>
        <w:tc>
          <w:tcPr>
            <w:tcW w:w="1276" w:type="dxa"/>
            <w:hideMark/>
          </w:tcPr>
          <w:p w14:paraId="63989974" w14:textId="77777777" w:rsidR="00F66DF2" w:rsidRPr="00F71523" w:rsidRDefault="00F66DF2" w:rsidP="00457BDE">
            <w:pPr>
              <w:pStyle w:val="TableText"/>
            </w:pPr>
            <w:r w:rsidRPr="00F71523">
              <w:t>Design/ Construction</w:t>
            </w:r>
          </w:p>
        </w:tc>
        <w:tc>
          <w:tcPr>
            <w:tcW w:w="1383" w:type="dxa"/>
          </w:tcPr>
          <w:p w14:paraId="7043EEE0" w14:textId="62E4B02C" w:rsidR="00F66DF2" w:rsidRPr="00F71523" w:rsidRDefault="00C712B8" w:rsidP="00CB066E">
            <w:pPr>
              <w:pStyle w:val="TableText"/>
              <w:jc w:val="center"/>
            </w:pPr>
            <w:r>
              <w:t>LU007</w:t>
            </w:r>
            <w:r w:rsidR="0089374D">
              <w:t xml:space="preserve">, </w:t>
            </w:r>
            <w:r>
              <w:t>LU008</w:t>
            </w:r>
          </w:p>
        </w:tc>
      </w:tr>
      <w:tr w:rsidR="00F66DF2" w:rsidRPr="00F71523" w14:paraId="07E81331" w14:textId="77777777" w:rsidTr="00CB066E">
        <w:trPr>
          <w:cantSplit/>
        </w:trPr>
        <w:tc>
          <w:tcPr>
            <w:tcW w:w="2046" w:type="dxa"/>
            <w:vMerge/>
          </w:tcPr>
          <w:p w14:paraId="3BB05E6D" w14:textId="77777777" w:rsidR="00F66DF2" w:rsidRPr="00F71523" w:rsidRDefault="00F66DF2" w:rsidP="00CB1C25">
            <w:pPr>
              <w:pStyle w:val="TableText"/>
            </w:pPr>
          </w:p>
        </w:tc>
        <w:tc>
          <w:tcPr>
            <w:tcW w:w="800" w:type="dxa"/>
          </w:tcPr>
          <w:p w14:paraId="78236159" w14:textId="055B2FB6" w:rsidR="00F66DF2" w:rsidRPr="00F71523" w:rsidRDefault="00F66DF2" w:rsidP="00953369">
            <w:pPr>
              <w:pStyle w:val="TableText"/>
              <w:jc w:val="center"/>
            </w:pPr>
            <w:r w:rsidRPr="00F71523">
              <w:t>LU4</w:t>
            </w:r>
          </w:p>
        </w:tc>
        <w:tc>
          <w:tcPr>
            <w:tcW w:w="7894" w:type="dxa"/>
          </w:tcPr>
          <w:p w14:paraId="1642143D" w14:textId="4B9B7D32" w:rsidR="00F66DF2" w:rsidRPr="00F71523" w:rsidRDefault="00F66DF2" w:rsidP="00040FF1">
            <w:pPr>
              <w:pStyle w:val="TableText"/>
            </w:pPr>
            <w:r w:rsidRPr="00F71523">
              <w:t xml:space="preserve">Prior to the development of the detailed design of all permanent structures, prepare and implement strategies in accordance with the </w:t>
            </w:r>
            <w:r w:rsidR="00CF058D">
              <w:t xml:space="preserve">Melbourne Metro </w:t>
            </w:r>
            <w:r w:rsidRPr="00F71523">
              <w:t>Urban Design Strategy and relevant planning schemes that cover:</w:t>
            </w:r>
          </w:p>
          <w:p w14:paraId="000F27B4" w14:textId="7FE05DD2" w:rsidR="00F66DF2" w:rsidRPr="00F71523" w:rsidRDefault="00540BD8" w:rsidP="00540BD8">
            <w:pPr>
              <w:pStyle w:val="TableBullet1"/>
            </w:pPr>
            <w:r>
              <w:t xml:space="preserve">Community identity </w:t>
            </w:r>
            <w:r w:rsidR="00F66DF2" w:rsidRPr="00F71523">
              <w:t>and cultural strategy</w:t>
            </w:r>
          </w:p>
          <w:p w14:paraId="73BE0902" w14:textId="77777777" w:rsidR="00F66DF2" w:rsidRPr="00F71523" w:rsidRDefault="00F66DF2" w:rsidP="00040FF1">
            <w:pPr>
              <w:pStyle w:val="TableBullet1"/>
            </w:pPr>
            <w:proofErr w:type="spellStart"/>
            <w:r w:rsidRPr="00F71523">
              <w:t>Wayfinding</w:t>
            </w:r>
            <w:proofErr w:type="spellEnd"/>
            <w:r w:rsidRPr="00F71523">
              <w:t>, signage and advertising</w:t>
            </w:r>
          </w:p>
          <w:p w14:paraId="005A86CD" w14:textId="5F0A4E3C" w:rsidR="00F66DF2" w:rsidRPr="00F71523" w:rsidRDefault="00F66DF2" w:rsidP="00C712B8">
            <w:pPr>
              <w:pStyle w:val="TableBullet1"/>
              <w:numPr>
                <w:ilvl w:val="0"/>
                <w:numId w:val="0"/>
              </w:numPr>
            </w:pPr>
            <w:r w:rsidRPr="00F71523">
              <w:t xml:space="preserve">The </w:t>
            </w:r>
            <w:r w:rsidR="00C712B8" w:rsidRPr="00F71523">
              <w:t>strateg</w:t>
            </w:r>
            <w:r w:rsidR="00C712B8">
              <w:t>ies</w:t>
            </w:r>
            <w:r w:rsidR="00C712B8" w:rsidRPr="00F71523">
              <w:t xml:space="preserve"> </w:t>
            </w:r>
            <w:r w:rsidRPr="00F71523">
              <w:t xml:space="preserve">must be developed in consultation with relevant local councils and land managers. </w:t>
            </w:r>
          </w:p>
        </w:tc>
        <w:tc>
          <w:tcPr>
            <w:tcW w:w="1168" w:type="dxa"/>
          </w:tcPr>
          <w:p w14:paraId="2BF21681" w14:textId="22679C11" w:rsidR="00F66DF2" w:rsidRPr="00F71523" w:rsidRDefault="00F66DF2" w:rsidP="00457BDE">
            <w:pPr>
              <w:pStyle w:val="TableText"/>
            </w:pPr>
            <w:r w:rsidRPr="00F71523">
              <w:t>All</w:t>
            </w:r>
          </w:p>
        </w:tc>
        <w:tc>
          <w:tcPr>
            <w:tcW w:w="1276" w:type="dxa"/>
          </w:tcPr>
          <w:p w14:paraId="015616E7" w14:textId="7BDB0EA4" w:rsidR="00F66DF2" w:rsidRPr="00F71523" w:rsidRDefault="00F66DF2" w:rsidP="00457BDE">
            <w:pPr>
              <w:pStyle w:val="TableText"/>
            </w:pPr>
            <w:r w:rsidRPr="00F71523">
              <w:t>Design</w:t>
            </w:r>
          </w:p>
        </w:tc>
        <w:tc>
          <w:tcPr>
            <w:tcW w:w="1383" w:type="dxa"/>
          </w:tcPr>
          <w:p w14:paraId="5EB95B15" w14:textId="7A478530" w:rsidR="00F66DF2" w:rsidRPr="00F71523" w:rsidRDefault="00F66DF2" w:rsidP="00953369">
            <w:pPr>
              <w:pStyle w:val="TableText"/>
              <w:jc w:val="center"/>
            </w:pPr>
          </w:p>
        </w:tc>
      </w:tr>
      <w:tr w:rsidR="00F66DF2" w:rsidRPr="00F71523" w14:paraId="789FDE9A" w14:textId="77777777" w:rsidTr="00CB066E">
        <w:trPr>
          <w:cantSplit/>
        </w:trPr>
        <w:tc>
          <w:tcPr>
            <w:tcW w:w="2046" w:type="dxa"/>
            <w:vMerge/>
            <w:hideMark/>
          </w:tcPr>
          <w:p w14:paraId="51BAC412" w14:textId="77777777" w:rsidR="00F66DF2" w:rsidRPr="00F71523" w:rsidRDefault="00F66DF2" w:rsidP="00953369">
            <w:pPr>
              <w:pStyle w:val="TableText"/>
              <w:jc w:val="center"/>
            </w:pPr>
          </w:p>
        </w:tc>
        <w:tc>
          <w:tcPr>
            <w:tcW w:w="12521" w:type="dxa"/>
            <w:gridSpan w:val="5"/>
          </w:tcPr>
          <w:p w14:paraId="2999495B" w14:textId="77777777" w:rsidR="00F66DF2" w:rsidRPr="00F71523" w:rsidRDefault="00F66DF2" w:rsidP="00457BDE">
            <w:pPr>
              <w:pStyle w:val="TableText"/>
              <w:rPr>
                <w:b/>
              </w:rPr>
            </w:pPr>
            <w:r w:rsidRPr="00F71523">
              <w:rPr>
                <w:b/>
              </w:rPr>
              <w:t>Also refer to the following Environmental Performance Requirements for ‘Land Use Planning’: B1, SC2, SC4, LV2</w:t>
            </w:r>
          </w:p>
        </w:tc>
      </w:tr>
      <w:tr w:rsidR="001E2D15" w:rsidRPr="00F71523" w14:paraId="31EA0609" w14:textId="77777777" w:rsidTr="00CB066E">
        <w:trPr>
          <w:cantSplit/>
        </w:trPr>
        <w:tc>
          <w:tcPr>
            <w:tcW w:w="14567" w:type="dxa"/>
            <w:gridSpan w:val="6"/>
            <w:shd w:val="clear" w:color="auto" w:fill="F2F2F2" w:themeFill="background1" w:themeFillShade="F2"/>
            <w:hideMark/>
          </w:tcPr>
          <w:p w14:paraId="282BC324" w14:textId="77777777" w:rsidR="001E2D15" w:rsidRPr="00F71523" w:rsidRDefault="001E2D15" w:rsidP="00457BDE">
            <w:pPr>
              <w:pStyle w:val="TableText"/>
              <w:keepNext/>
              <w:keepLines/>
              <w:rPr>
                <w:rStyle w:val="CharacterStyle-Bold"/>
              </w:rPr>
            </w:pPr>
            <w:r w:rsidRPr="00F71523">
              <w:rPr>
                <w:rStyle w:val="CharacterStyle-Bold"/>
              </w:rPr>
              <w:lastRenderedPageBreak/>
              <w:t>Business</w:t>
            </w:r>
          </w:p>
        </w:tc>
      </w:tr>
      <w:tr w:rsidR="003C175B" w:rsidRPr="00F71523" w14:paraId="79FD71DE" w14:textId="77777777" w:rsidTr="00CB066E">
        <w:trPr>
          <w:cantSplit/>
        </w:trPr>
        <w:tc>
          <w:tcPr>
            <w:tcW w:w="2046" w:type="dxa"/>
            <w:vMerge w:val="restart"/>
          </w:tcPr>
          <w:p w14:paraId="12201E3E" w14:textId="1A7E0441" w:rsidR="001E2D15" w:rsidRPr="00F71523" w:rsidRDefault="001E2D15" w:rsidP="00CB1C25">
            <w:pPr>
              <w:pStyle w:val="TableText"/>
            </w:pPr>
            <w:r w:rsidRPr="00F71523">
              <w:t>Social, community, land use and business: To manage effects on the social fabric of the community in the area of the project, including with regard to land use changes, community cohesion, business functionality and access to services and facilities, especially during the construction phase</w:t>
            </w:r>
          </w:p>
        </w:tc>
        <w:tc>
          <w:tcPr>
            <w:tcW w:w="800" w:type="dxa"/>
          </w:tcPr>
          <w:p w14:paraId="7534E01A" w14:textId="1C019114" w:rsidR="001E2D15" w:rsidRPr="00F71523" w:rsidRDefault="001E2D15" w:rsidP="00953369">
            <w:pPr>
              <w:pStyle w:val="TableText"/>
              <w:jc w:val="center"/>
            </w:pPr>
            <w:r w:rsidRPr="00F71523">
              <w:t>B1</w:t>
            </w:r>
          </w:p>
        </w:tc>
        <w:tc>
          <w:tcPr>
            <w:tcW w:w="7894" w:type="dxa"/>
          </w:tcPr>
          <w:p w14:paraId="08862C67" w14:textId="40610F74" w:rsidR="001E2D15" w:rsidRPr="00F71523" w:rsidRDefault="001E2D15" w:rsidP="00461CCE">
            <w:pPr>
              <w:pStyle w:val="TableText"/>
            </w:pPr>
            <w:r w:rsidRPr="00F71523">
              <w:t>Reduce the disruption to businesses from direct acquisition or temporary occupation of land, and work with business and land owners to endeavour to reach agreement on the terms for possession of the land.</w:t>
            </w:r>
          </w:p>
        </w:tc>
        <w:tc>
          <w:tcPr>
            <w:tcW w:w="1168" w:type="dxa"/>
          </w:tcPr>
          <w:p w14:paraId="1E620E90" w14:textId="5D673ABA" w:rsidR="001E2D15" w:rsidRPr="00F71523" w:rsidRDefault="001E2D15" w:rsidP="00457BDE">
            <w:pPr>
              <w:pStyle w:val="TableText"/>
            </w:pPr>
            <w:r w:rsidRPr="00F71523">
              <w:t>All</w:t>
            </w:r>
          </w:p>
        </w:tc>
        <w:tc>
          <w:tcPr>
            <w:tcW w:w="1276" w:type="dxa"/>
          </w:tcPr>
          <w:p w14:paraId="32D5650F" w14:textId="5C44D659" w:rsidR="001E2D15" w:rsidRPr="00F71523" w:rsidRDefault="001E2D15" w:rsidP="00457BDE">
            <w:pPr>
              <w:pStyle w:val="TableText"/>
            </w:pPr>
            <w:r w:rsidRPr="00F71523">
              <w:t>Design</w:t>
            </w:r>
          </w:p>
        </w:tc>
        <w:tc>
          <w:tcPr>
            <w:tcW w:w="1383" w:type="dxa"/>
          </w:tcPr>
          <w:p w14:paraId="3F92B383" w14:textId="376F5F43" w:rsidR="001E2D15" w:rsidRPr="00F71523" w:rsidRDefault="00BC6752" w:rsidP="00953369">
            <w:pPr>
              <w:pStyle w:val="TableText"/>
              <w:jc w:val="center"/>
            </w:pPr>
            <w:r>
              <w:t>B006</w:t>
            </w:r>
          </w:p>
        </w:tc>
      </w:tr>
      <w:tr w:rsidR="003C175B" w:rsidRPr="00F71523" w14:paraId="7ABAF2D0" w14:textId="77777777" w:rsidTr="00CB066E">
        <w:trPr>
          <w:cantSplit/>
        </w:trPr>
        <w:tc>
          <w:tcPr>
            <w:tcW w:w="2046" w:type="dxa"/>
            <w:vMerge/>
            <w:hideMark/>
          </w:tcPr>
          <w:p w14:paraId="79F64575" w14:textId="7F7083D2" w:rsidR="001E2D15" w:rsidRPr="00F71523" w:rsidRDefault="001E2D15" w:rsidP="00CB1C25">
            <w:pPr>
              <w:pStyle w:val="TableText"/>
            </w:pPr>
          </w:p>
        </w:tc>
        <w:tc>
          <w:tcPr>
            <w:tcW w:w="800" w:type="dxa"/>
          </w:tcPr>
          <w:p w14:paraId="77D39090" w14:textId="23F8118C" w:rsidR="001E2D15" w:rsidRPr="00F71523" w:rsidRDefault="001E2D15" w:rsidP="00953369">
            <w:pPr>
              <w:pStyle w:val="TableText"/>
              <w:jc w:val="center"/>
            </w:pPr>
            <w:r w:rsidRPr="00F71523">
              <w:t>B2</w:t>
            </w:r>
          </w:p>
        </w:tc>
        <w:tc>
          <w:tcPr>
            <w:tcW w:w="7894" w:type="dxa"/>
            <w:hideMark/>
          </w:tcPr>
          <w:p w14:paraId="0A5DD648" w14:textId="77777777" w:rsidR="001E2D15" w:rsidRPr="00F71523" w:rsidRDefault="001E2D15" w:rsidP="00CB1C25">
            <w:pPr>
              <w:pStyle w:val="TableText"/>
            </w:pPr>
            <w:r w:rsidRPr="00F71523">
              <w:t>Prepare a business disruption plan to manage impacts to non-acquired businesses and to engage with business, property owners and the community throughout construction. The plan shall include:</w:t>
            </w:r>
          </w:p>
          <w:p w14:paraId="4CF24645" w14:textId="77777777" w:rsidR="001E2D15" w:rsidRPr="00F71523" w:rsidRDefault="001E2D15" w:rsidP="00CB1C25">
            <w:pPr>
              <w:pStyle w:val="TableBullet1"/>
            </w:pPr>
            <w:r w:rsidRPr="00F71523">
              <w:t>Timely information on key project milestones</w:t>
            </w:r>
          </w:p>
          <w:p w14:paraId="057EB52A" w14:textId="77777777" w:rsidR="001E2D15" w:rsidRPr="00F71523" w:rsidRDefault="001E2D15" w:rsidP="00CB1C25">
            <w:pPr>
              <w:pStyle w:val="TableBullet1"/>
            </w:pPr>
            <w:r w:rsidRPr="00F71523">
              <w:t>Changes to traffic conditions and duration of impact</w:t>
            </w:r>
          </w:p>
          <w:p w14:paraId="68F8B58B" w14:textId="7EC5E599" w:rsidR="001E2D15" w:rsidRPr="00F71523" w:rsidRDefault="001E2D15" w:rsidP="00CB1C25">
            <w:pPr>
              <w:pStyle w:val="TableBullet1"/>
            </w:pPr>
            <w:r w:rsidRPr="00F71523">
              <w:t>A project construction schedule developed in coordination with transport authorities and local councils and in consultation with businesses to minimise cumulative impacts of this and other projects</w:t>
            </w:r>
          </w:p>
          <w:p w14:paraId="2859728F" w14:textId="77777777" w:rsidR="001E2D15" w:rsidRPr="00F71523" w:rsidRDefault="001E2D15" w:rsidP="00CB1C25">
            <w:pPr>
              <w:pStyle w:val="TableBullet1"/>
            </w:pPr>
            <w:r w:rsidRPr="00F71523">
              <w:t>Plans for notifying customers of proposed changes to business operations, including the setting of suitable timeframes for notification prior to commencement of works</w:t>
            </w:r>
          </w:p>
          <w:p w14:paraId="589B10FF" w14:textId="28D10AC4" w:rsidR="001E2D15" w:rsidRPr="00F71523" w:rsidRDefault="001E2D15" w:rsidP="00CB1C25">
            <w:pPr>
              <w:pStyle w:val="TableBullet1"/>
            </w:pPr>
            <w:r w:rsidRPr="00F71523">
              <w:t xml:space="preserve">Measures to ensure access to businesses is maintained for customers, delivery and waste removal unless there has been prior engagement with affected businesses (including mutually agreed mitigation measures as required). This could include the installation of directional and business signage to </w:t>
            </w:r>
            <w:r w:rsidR="00FD14B7" w:rsidRPr="00F71523">
              <w:t>assist customers</w:t>
            </w:r>
          </w:p>
          <w:p w14:paraId="4FE7FAC6" w14:textId="77777777" w:rsidR="001E2D15" w:rsidRPr="00F71523" w:rsidRDefault="001E2D15" w:rsidP="00CB1C25">
            <w:pPr>
              <w:pStyle w:val="TableBullet1"/>
            </w:pPr>
            <w:r w:rsidRPr="00F71523">
              <w:t>Process for registering and management of complaints from affected businesses.</w:t>
            </w:r>
          </w:p>
        </w:tc>
        <w:tc>
          <w:tcPr>
            <w:tcW w:w="1168" w:type="dxa"/>
          </w:tcPr>
          <w:p w14:paraId="118C6C9A" w14:textId="77777777" w:rsidR="001E2D15" w:rsidRPr="00F71523" w:rsidRDefault="001E2D15" w:rsidP="00457BDE">
            <w:pPr>
              <w:pStyle w:val="TableText"/>
            </w:pPr>
            <w:r w:rsidRPr="00F71523">
              <w:t>All</w:t>
            </w:r>
          </w:p>
        </w:tc>
        <w:tc>
          <w:tcPr>
            <w:tcW w:w="1276" w:type="dxa"/>
          </w:tcPr>
          <w:p w14:paraId="532F0E49" w14:textId="77777777" w:rsidR="001E2D15" w:rsidRPr="00F71523" w:rsidRDefault="001E2D15" w:rsidP="00457BDE">
            <w:pPr>
              <w:pStyle w:val="TableText"/>
            </w:pPr>
            <w:r w:rsidRPr="00F71523">
              <w:t>Construction</w:t>
            </w:r>
          </w:p>
        </w:tc>
        <w:tc>
          <w:tcPr>
            <w:tcW w:w="1383" w:type="dxa"/>
          </w:tcPr>
          <w:p w14:paraId="4F43E527" w14:textId="2625B412" w:rsidR="001E2D15" w:rsidRPr="00F71523" w:rsidRDefault="00BC6752" w:rsidP="00BC6752">
            <w:pPr>
              <w:pStyle w:val="TableText"/>
              <w:jc w:val="center"/>
            </w:pPr>
            <w:r>
              <w:t>B001</w:t>
            </w:r>
            <w:r w:rsidR="0089374D">
              <w:t xml:space="preserve">, </w:t>
            </w:r>
            <w:r>
              <w:t>B002</w:t>
            </w:r>
            <w:r w:rsidR="0089374D">
              <w:t xml:space="preserve">, </w:t>
            </w:r>
            <w:r>
              <w:t>B004</w:t>
            </w:r>
            <w:r w:rsidR="0089374D">
              <w:t xml:space="preserve">, </w:t>
            </w:r>
            <w:r>
              <w:t>B005</w:t>
            </w:r>
            <w:r w:rsidR="0089374D">
              <w:t xml:space="preserve">, </w:t>
            </w:r>
            <w:r>
              <w:t>B007</w:t>
            </w:r>
            <w:r w:rsidR="0089374D">
              <w:t xml:space="preserve">, </w:t>
            </w:r>
            <w:r>
              <w:t>B008</w:t>
            </w:r>
            <w:r w:rsidR="0089374D">
              <w:t xml:space="preserve">, </w:t>
            </w:r>
            <w:r>
              <w:t>B009</w:t>
            </w:r>
          </w:p>
        </w:tc>
      </w:tr>
      <w:tr w:rsidR="003C175B" w:rsidRPr="00F71523" w14:paraId="1A915BD3" w14:textId="77777777" w:rsidTr="00CB066E">
        <w:trPr>
          <w:cantSplit/>
        </w:trPr>
        <w:tc>
          <w:tcPr>
            <w:tcW w:w="2046" w:type="dxa"/>
            <w:vMerge/>
            <w:hideMark/>
          </w:tcPr>
          <w:p w14:paraId="71021A1C" w14:textId="77777777" w:rsidR="001E2D15" w:rsidRPr="00F71523" w:rsidRDefault="001E2D15" w:rsidP="00CB1C25">
            <w:pPr>
              <w:pStyle w:val="TableText"/>
            </w:pPr>
          </w:p>
        </w:tc>
        <w:tc>
          <w:tcPr>
            <w:tcW w:w="800" w:type="dxa"/>
            <w:hideMark/>
          </w:tcPr>
          <w:p w14:paraId="78B08A72" w14:textId="34154A15" w:rsidR="001E2D15" w:rsidRPr="00F71523" w:rsidRDefault="001E2D15" w:rsidP="00953369">
            <w:pPr>
              <w:pStyle w:val="TableText"/>
              <w:jc w:val="center"/>
            </w:pPr>
            <w:r w:rsidRPr="00F71523">
              <w:t>B3</w:t>
            </w:r>
          </w:p>
        </w:tc>
        <w:tc>
          <w:tcPr>
            <w:tcW w:w="7894" w:type="dxa"/>
            <w:hideMark/>
          </w:tcPr>
          <w:p w14:paraId="27BC355F" w14:textId="3CCFC2BC" w:rsidR="001E2D15" w:rsidRPr="00F71523" w:rsidRDefault="001E2D15" w:rsidP="003B6B56">
            <w:pPr>
              <w:pStyle w:val="TableText"/>
            </w:pPr>
            <w:r w:rsidRPr="00F71523">
              <w:t>Following consultation with potentially affected businesses and prior to main works or shaft construction commencing, prepare management plans to minimise dust, noise and vibration impacts during construction, as per AQ1, NV1 and NV4.</w:t>
            </w:r>
          </w:p>
        </w:tc>
        <w:tc>
          <w:tcPr>
            <w:tcW w:w="1168" w:type="dxa"/>
            <w:hideMark/>
          </w:tcPr>
          <w:p w14:paraId="7A583E06" w14:textId="77777777" w:rsidR="001E2D15" w:rsidRPr="00F71523" w:rsidRDefault="001E2D15" w:rsidP="00457BDE">
            <w:pPr>
              <w:pStyle w:val="TableText"/>
            </w:pPr>
            <w:r w:rsidRPr="00F71523">
              <w:t>All</w:t>
            </w:r>
          </w:p>
        </w:tc>
        <w:tc>
          <w:tcPr>
            <w:tcW w:w="1276" w:type="dxa"/>
            <w:hideMark/>
          </w:tcPr>
          <w:p w14:paraId="26505515" w14:textId="77777777" w:rsidR="001E2D15" w:rsidRPr="00F71523" w:rsidRDefault="001E2D15" w:rsidP="00457BDE">
            <w:pPr>
              <w:pStyle w:val="TableText"/>
            </w:pPr>
            <w:r w:rsidRPr="00F71523">
              <w:t>Construction</w:t>
            </w:r>
          </w:p>
        </w:tc>
        <w:tc>
          <w:tcPr>
            <w:tcW w:w="1383" w:type="dxa"/>
          </w:tcPr>
          <w:p w14:paraId="72DCC57E" w14:textId="0C5ECC37" w:rsidR="001E2D15" w:rsidRPr="00F71523" w:rsidRDefault="00BC6752" w:rsidP="00953369">
            <w:pPr>
              <w:pStyle w:val="TableText"/>
              <w:jc w:val="center"/>
            </w:pPr>
            <w:r>
              <w:t>B003</w:t>
            </w:r>
          </w:p>
        </w:tc>
      </w:tr>
      <w:tr w:rsidR="003C175B" w:rsidRPr="00F71523" w14:paraId="4D9788FC" w14:textId="77777777" w:rsidTr="00CB066E">
        <w:trPr>
          <w:cantSplit/>
        </w:trPr>
        <w:tc>
          <w:tcPr>
            <w:tcW w:w="2046" w:type="dxa"/>
            <w:vMerge/>
            <w:hideMark/>
          </w:tcPr>
          <w:p w14:paraId="557C7A9A" w14:textId="77777777" w:rsidR="001E2D15" w:rsidRPr="00F71523" w:rsidRDefault="001E2D15" w:rsidP="00CB1C25">
            <w:pPr>
              <w:pStyle w:val="TableText"/>
            </w:pPr>
          </w:p>
        </w:tc>
        <w:tc>
          <w:tcPr>
            <w:tcW w:w="800" w:type="dxa"/>
            <w:hideMark/>
          </w:tcPr>
          <w:p w14:paraId="237854B1" w14:textId="096E7F3E" w:rsidR="001E2D15" w:rsidRPr="00F71523" w:rsidRDefault="001E2D15" w:rsidP="00953369">
            <w:pPr>
              <w:pStyle w:val="TableText"/>
              <w:jc w:val="center"/>
            </w:pPr>
            <w:r w:rsidRPr="00F71523">
              <w:t>B4</w:t>
            </w:r>
          </w:p>
        </w:tc>
        <w:tc>
          <w:tcPr>
            <w:tcW w:w="7894" w:type="dxa"/>
            <w:hideMark/>
          </w:tcPr>
          <w:p w14:paraId="5A55CF9C" w14:textId="6F1411F0" w:rsidR="001E2D15" w:rsidRPr="00F71523" w:rsidRDefault="001E2D15" w:rsidP="00AD5889">
            <w:pPr>
              <w:pStyle w:val="TableText"/>
            </w:pPr>
            <w:r w:rsidRPr="00F71523">
              <w:t>Maintain vehicular and pedestrian access to hospital emergency departments at all times during construction and to other key health and medical facilities where practicable.</w:t>
            </w:r>
          </w:p>
        </w:tc>
        <w:tc>
          <w:tcPr>
            <w:tcW w:w="1168" w:type="dxa"/>
            <w:hideMark/>
          </w:tcPr>
          <w:p w14:paraId="290A6E30" w14:textId="77777777" w:rsidR="001E2D15" w:rsidRPr="00F71523" w:rsidRDefault="001E2D15" w:rsidP="00457BDE">
            <w:pPr>
              <w:pStyle w:val="TableText"/>
            </w:pPr>
            <w:r w:rsidRPr="00F71523">
              <w:t>All</w:t>
            </w:r>
          </w:p>
        </w:tc>
        <w:tc>
          <w:tcPr>
            <w:tcW w:w="1276" w:type="dxa"/>
            <w:hideMark/>
          </w:tcPr>
          <w:p w14:paraId="1031EB1A" w14:textId="77777777" w:rsidR="001E2D15" w:rsidRPr="00F71523" w:rsidRDefault="001E2D15" w:rsidP="00457BDE">
            <w:pPr>
              <w:pStyle w:val="TableText"/>
            </w:pPr>
            <w:r w:rsidRPr="00F71523">
              <w:t>Construction</w:t>
            </w:r>
          </w:p>
        </w:tc>
        <w:tc>
          <w:tcPr>
            <w:tcW w:w="1383" w:type="dxa"/>
          </w:tcPr>
          <w:p w14:paraId="6614F8BE" w14:textId="602A6126" w:rsidR="00BC6752" w:rsidRPr="00F71523" w:rsidRDefault="00BC6752" w:rsidP="00953369">
            <w:pPr>
              <w:pStyle w:val="TableText"/>
              <w:jc w:val="center"/>
            </w:pPr>
            <w:r>
              <w:t>B001</w:t>
            </w:r>
            <w:r w:rsidR="0089374D">
              <w:t xml:space="preserve">, </w:t>
            </w:r>
            <w:r>
              <w:t>B004</w:t>
            </w:r>
          </w:p>
        </w:tc>
      </w:tr>
      <w:tr w:rsidR="00BC6752" w:rsidRPr="00F71523" w14:paraId="2373AFA0" w14:textId="77777777" w:rsidTr="00CB066E">
        <w:trPr>
          <w:cantSplit/>
        </w:trPr>
        <w:tc>
          <w:tcPr>
            <w:tcW w:w="2046" w:type="dxa"/>
            <w:vMerge/>
            <w:hideMark/>
          </w:tcPr>
          <w:p w14:paraId="496EFDF8" w14:textId="75928746" w:rsidR="00BC6752" w:rsidRPr="00F71523" w:rsidRDefault="00BC6752" w:rsidP="00CB1C25">
            <w:pPr>
              <w:pStyle w:val="TableText"/>
            </w:pPr>
          </w:p>
        </w:tc>
        <w:tc>
          <w:tcPr>
            <w:tcW w:w="800" w:type="dxa"/>
            <w:hideMark/>
          </w:tcPr>
          <w:p w14:paraId="4211E571" w14:textId="700108AA" w:rsidR="00BC6752" w:rsidRPr="00F71523" w:rsidRDefault="00BC6752" w:rsidP="00953369">
            <w:pPr>
              <w:pStyle w:val="TableText"/>
              <w:jc w:val="center"/>
            </w:pPr>
            <w:r w:rsidRPr="00F71523">
              <w:t>B5</w:t>
            </w:r>
          </w:p>
        </w:tc>
        <w:tc>
          <w:tcPr>
            <w:tcW w:w="7894" w:type="dxa"/>
            <w:hideMark/>
          </w:tcPr>
          <w:p w14:paraId="439BEB6E" w14:textId="72B651EC" w:rsidR="00BC6752" w:rsidRPr="00F71523" w:rsidRDefault="00BC6752" w:rsidP="005F50A4">
            <w:pPr>
              <w:pStyle w:val="TableText"/>
            </w:pPr>
            <w:r w:rsidRPr="00F71523">
              <w:t xml:space="preserve">Develop a stop work contingency plan for Class 1 emergencies (as defined in the </w:t>
            </w:r>
            <w:r w:rsidRPr="00F71523">
              <w:rPr>
                <w:i/>
              </w:rPr>
              <w:t>Emergency Management Act 2013</w:t>
            </w:r>
            <w:r w:rsidRPr="00F71523">
              <w:t>) in consultation with medical institutions in the Parkville precinct in the event that Melbourne Metro construction works are required to cease.</w:t>
            </w:r>
          </w:p>
        </w:tc>
        <w:tc>
          <w:tcPr>
            <w:tcW w:w="1168" w:type="dxa"/>
            <w:hideMark/>
          </w:tcPr>
          <w:p w14:paraId="4FA3AA76" w14:textId="77777777" w:rsidR="00BC6752" w:rsidRPr="00F71523" w:rsidRDefault="00BC6752" w:rsidP="00457BDE">
            <w:pPr>
              <w:pStyle w:val="TableText"/>
            </w:pPr>
            <w:r w:rsidRPr="00F71523">
              <w:t>4 – Parkville station</w:t>
            </w:r>
          </w:p>
        </w:tc>
        <w:tc>
          <w:tcPr>
            <w:tcW w:w="1276" w:type="dxa"/>
            <w:hideMark/>
          </w:tcPr>
          <w:p w14:paraId="54CF3FFE" w14:textId="77777777" w:rsidR="00BC6752" w:rsidRPr="00F71523" w:rsidRDefault="00BC6752" w:rsidP="00457BDE">
            <w:pPr>
              <w:pStyle w:val="TableText"/>
            </w:pPr>
            <w:r w:rsidRPr="00F71523">
              <w:t>Design/ Construction</w:t>
            </w:r>
          </w:p>
        </w:tc>
        <w:tc>
          <w:tcPr>
            <w:tcW w:w="1383" w:type="dxa"/>
          </w:tcPr>
          <w:p w14:paraId="2DD6C5EC" w14:textId="5EB44D97" w:rsidR="00BC6752" w:rsidRPr="00F71523" w:rsidRDefault="00BC6752" w:rsidP="00953369">
            <w:pPr>
              <w:pStyle w:val="TableText"/>
              <w:jc w:val="center"/>
            </w:pPr>
            <w:r>
              <w:t>B001</w:t>
            </w:r>
            <w:r w:rsidR="0089374D">
              <w:t xml:space="preserve">, </w:t>
            </w:r>
            <w:r>
              <w:t>B004</w:t>
            </w:r>
          </w:p>
        </w:tc>
      </w:tr>
      <w:tr w:rsidR="00BC6752" w:rsidRPr="00F71523" w14:paraId="6707AAF3" w14:textId="77777777" w:rsidTr="00CB066E">
        <w:trPr>
          <w:cantSplit/>
        </w:trPr>
        <w:tc>
          <w:tcPr>
            <w:tcW w:w="2046" w:type="dxa"/>
            <w:vMerge/>
            <w:hideMark/>
          </w:tcPr>
          <w:p w14:paraId="28254C24" w14:textId="77777777" w:rsidR="00BC6752" w:rsidRPr="00F71523" w:rsidRDefault="00BC6752" w:rsidP="00CB1C25">
            <w:pPr>
              <w:pStyle w:val="TableText"/>
            </w:pPr>
          </w:p>
        </w:tc>
        <w:tc>
          <w:tcPr>
            <w:tcW w:w="12521" w:type="dxa"/>
            <w:gridSpan w:val="5"/>
            <w:hideMark/>
          </w:tcPr>
          <w:p w14:paraId="39E6D1B4" w14:textId="77777777" w:rsidR="00BC6752" w:rsidRPr="00F71523" w:rsidRDefault="00BC6752" w:rsidP="00457BDE">
            <w:pPr>
              <w:pStyle w:val="TableText"/>
              <w:rPr>
                <w:b/>
              </w:rPr>
            </w:pPr>
            <w:r w:rsidRPr="00F71523">
              <w:rPr>
                <w:b/>
              </w:rPr>
              <w:t>Also refer to the following Environmental Performance Requirements for ‘Business’: T1, SC2, LU1, AQ1, NV1</w:t>
            </w:r>
          </w:p>
        </w:tc>
      </w:tr>
      <w:tr w:rsidR="00BC6752" w:rsidRPr="00F71523" w14:paraId="30BD9140" w14:textId="77777777" w:rsidTr="00CB066E">
        <w:trPr>
          <w:cantSplit/>
        </w:trPr>
        <w:tc>
          <w:tcPr>
            <w:tcW w:w="14567" w:type="dxa"/>
            <w:gridSpan w:val="6"/>
            <w:shd w:val="clear" w:color="auto" w:fill="F2F2F2" w:themeFill="background1" w:themeFillShade="F2"/>
            <w:hideMark/>
          </w:tcPr>
          <w:p w14:paraId="2C360DD6" w14:textId="77777777" w:rsidR="00BC6752" w:rsidRPr="00F71523" w:rsidRDefault="00BC6752" w:rsidP="00457BDE">
            <w:pPr>
              <w:pStyle w:val="TableText"/>
              <w:keepNext/>
              <w:keepLines/>
              <w:rPr>
                <w:rStyle w:val="CharacterStyle-Bold"/>
              </w:rPr>
            </w:pPr>
            <w:r w:rsidRPr="00F71523">
              <w:rPr>
                <w:rStyle w:val="CharacterStyle-Bold"/>
              </w:rPr>
              <w:lastRenderedPageBreak/>
              <w:t>Social and Community</w:t>
            </w:r>
          </w:p>
        </w:tc>
      </w:tr>
      <w:tr w:rsidR="008313BC" w:rsidRPr="00F71523" w14:paraId="679D39D6" w14:textId="77777777" w:rsidTr="00CB066E">
        <w:trPr>
          <w:cantSplit/>
        </w:trPr>
        <w:tc>
          <w:tcPr>
            <w:tcW w:w="2046" w:type="dxa"/>
            <w:vMerge w:val="restart"/>
          </w:tcPr>
          <w:p w14:paraId="737A1B2A" w14:textId="77777777" w:rsidR="008313BC" w:rsidRPr="00F71523" w:rsidRDefault="008313BC" w:rsidP="00CB1C25">
            <w:pPr>
              <w:pStyle w:val="TableText"/>
            </w:pPr>
            <w:r w:rsidRPr="00F71523">
              <w:t>Social, community, land use and business: To manage effects on the social fabric of the community in the area of the project, including with regard to land use changes, community cohesion, business functionality and access to services and facilities, especially during the construction phase</w:t>
            </w:r>
          </w:p>
        </w:tc>
        <w:tc>
          <w:tcPr>
            <w:tcW w:w="800" w:type="dxa"/>
          </w:tcPr>
          <w:p w14:paraId="2E710F13" w14:textId="09F4EE8B" w:rsidR="008313BC" w:rsidRPr="00F71523" w:rsidRDefault="008313BC" w:rsidP="00953369">
            <w:pPr>
              <w:pStyle w:val="TableText"/>
              <w:jc w:val="center"/>
            </w:pPr>
            <w:r w:rsidRPr="00F71523">
              <w:t>SC1</w:t>
            </w:r>
          </w:p>
        </w:tc>
        <w:tc>
          <w:tcPr>
            <w:tcW w:w="7894" w:type="dxa"/>
          </w:tcPr>
          <w:p w14:paraId="425C0646" w14:textId="5982F3A9" w:rsidR="008313BC" w:rsidRPr="00F71523" w:rsidRDefault="008313BC" w:rsidP="004958FD">
            <w:pPr>
              <w:pStyle w:val="TableText"/>
            </w:pPr>
            <w:r w:rsidRPr="00F71523">
              <w:t>Reduce the disruption to residences from direct acquisition or temporary occupation.</w:t>
            </w:r>
          </w:p>
        </w:tc>
        <w:tc>
          <w:tcPr>
            <w:tcW w:w="1168" w:type="dxa"/>
          </w:tcPr>
          <w:p w14:paraId="5F697203" w14:textId="77777777" w:rsidR="008313BC" w:rsidRPr="00F71523" w:rsidRDefault="008313BC" w:rsidP="00457BDE">
            <w:pPr>
              <w:pStyle w:val="TableText"/>
            </w:pPr>
            <w:r w:rsidRPr="00F71523">
              <w:t>All</w:t>
            </w:r>
          </w:p>
        </w:tc>
        <w:tc>
          <w:tcPr>
            <w:tcW w:w="1276" w:type="dxa"/>
          </w:tcPr>
          <w:p w14:paraId="6B47BAF9" w14:textId="77777777" w:rsidR="008313BC" w:rsidRPr="00F71523" w:rsidRDefault="008313BC" w:rsidP="00457BDE">
            <w:pPr>
              <w:pStyle w:val="TableText"/>
            </w:pPr>
            <w:r w:rsidRPr="00F71523">
              <w:t>Pre-construction</w:t>
            </w:r>
          </w:p>
        </w:tc>
        <w:tc>
          <w:tcPr>
            <w:tcW w:w="1383" w:type="dxa"/>
          </w:tcPr>
          <w:p w14:paraId="39DCD326" w14:textId="41F8F976" w:rsidR="008313BC" w:rsidRPr="00F71523" w:rsidRDefault="00C712B8" w:rsidP="00C712B8">
            <w:pPr>
              <w:pStyle w:val="TableText"/>
              <w:jc w:val="center"/>
            </w:pPr>
            <w:r>
              <w:t>SC028</w:t>
            </w:r>
            <w:r w:rsidR="0089374D">
              <w:t xml:space="preserve">, </w:t>
            </w:r>
            <w:r>
              <w:t>SC029</w:t>
            </w:r>
            <w:r w:rsidR="0089374D">
              <w:t xml:space="preserve">, </w:t>
            </w:r>
            <w:r>
              <w:t>SC030</w:t>
            </w:r>
            <w:r w:rsidR="0089374D">
              <w:t xml:space="preserve">, </w:t>
            </w:r>
            <w:r>
              <w:t>SC031</w:t>
            </w:r>
          </w:p>
        </w:tc>
      </w:tr>
      <w:tr w:rsidR="008313BC" w:rsidRPr="00F71523" w14:paraId="2C779991" w14:textId="77777777" w:rsidTr="00CB066E">
        <w:trPr>
          <w:cantSplit/>
        </w:trPr>
        <w:tc>
          <w:tcPr>
            <w:tcW w:w="2046" w:type="dxa"/>
            <w:vMerge/>
            <w:hideMark/>
          </w:tcPr>
          <w:p w14:paraId="15C0A933" w14:textId="77777777" w:rsidR="008313BC" w:rsidRPr="00F71523" w:rsidRDefault="008313BC" w:rsidP="00CB1C25">
            <w:pPr>
              <w:pStyle w:val="TableText"/>
            </w:pPr>
          </w:p>
        </w:tc>
        <w:tc>
          <w:tcPr>
            <w:tcW w:w="800" w:type="dxa"/>
            <w:hideMark/>
          </w:tcPr>
          <w:p w14:paraId="1B27D6EE" w14:textId="0FCA8759" w:rsidR="008313BC" w:rsidRPr="00F71523" w:rsidRDefault="008313BC" w:rsidP="00953369">
            <w:pPr>
              <w:pStyle w:val="TableText"/>
              <w:jc w:val="center"/>
            </w:pPr>
            <w:r w:rsidRPr="00F71523">
              <w:t>SC2</w:t>
            </w:r>
          </w:p>
        </w:tc>
        <w:tc>
          <w:tcPr>
            <w:tcW w:w="7894" w:type="dxa"/>
            <w:hideMark/>
          </w:tcPr>
          <w:p w14:paraId="127BCDD5" w14:textId="4D9C0D06" w:rsidR="008313BC" w:rsidRPr="00F71523" w:rsidRDefault="008313BC" w:rsidP="00040FF1">
            <w:pPr>
              <w:pStyle w:val="TableText"/>
            </w:pPr>
            <w:r w:rsidRPr="00F71523">
              <w:t>Prior to main works or shaft construction in areas affected, develop a relocation management framework that allows for a uniform approach across the project for the voluntary (temporary) relocation of households subject to:</w:t>
            </w:r>
          </w:p>
          <w:p w14:paraId="32941AC7" w14:textId="296831FC" w:rsidR="008313BC" w:rsidRPr="00F71523" w:rsidRDefault="008313BC" w:rsidP="00FD14B7">
            <w:pPr>
              <w:pStyle w:val="TableBullet1"/>
            </w:pPr>
            <w:r w:rsidRPr="00F71523">
              <w:t>Construction activities likely to unduly affect their amenity (</w:t>
            </w:r>
            <w:r>
              <w:t>e.g.</w:t>
            </w:r>
            <w:r w:rsidRPr="00F71523">
              <w:t xml:space="preserve"> out of hours works or sustained loss of amenity during the day for shift workers)</w:t>
            </w:r>
          </w:p>
          <w:p w14:paraId="7435B4E1" w14:textId="7696DCC3" w:rsidR="008313BC" w:rsidRPr="00F71523" w:rsidRDefault="008313BC" w:rsidP="00FD14B7">
            <w:pPr>
              <w:pStyle w:val="TableBullet1"/>
            </w:pPr>
            <w:r w:rsidRPr="00F71523">
              <w:t>Loss of access.</w:t>
            </w:r>
          </w:p>
        </w:tc>
        <w:tc>
          <w:tcPr>
            <w:tcW w:w="1168" w:type="dxa"/>
            <w:hideMark/>
          </w:tcPr>
          <w:p w14:paraId="4B691040" w14:textId="77777777" w:rsidR="008313BC" w:rsidRPr="00F71523" w:rsidRDefault="008313BC" w:rsidP="00457BDE">
            <w:pPr>
              <w:pStyle w:val="TableText"/>
            </w:pPr>
            <w:r w:rsidRPr="00F71523">
              <w:t>All</w:t>
            </w:r>
          </w:p>
        </w:tc>
        <w:tc>
          <w:tcPr>
            <w:tcW w:w="1276" w:type="dxa"/>
            <w:hideMark/>
          </w:tcPr>
          <w:p w14:paraId="18A1527A" w14:textId="77777777" w:rsidR="008313BC" w:rsidRPr="00F71523" w:rsidRDefault="008313BC" w:rsidP="00457BDE">
            <w:pPr>
              <w:pStyle w:val="TableText"/>
            </w:pPr>
            <w:r w:rsidRPr="00F71523">
              <w:t>Pre-construction</w:t>
            </w:r>
          </w:p>
        </w:tc>
        <w:tc>
          <w:tcPr>
            <w:tcW w:w="1383" w:type="dxa"/>
          </w:tcPr>
          <w:p w14:paraId="7FE5C305" w14:textId="4343F102" w:rsidR="008313BC" w:rsidRPr="00F71523" w:rsidRDefault="00C712B8" w:rsidP="00C712B8">
            <w:pPr>
              <w:pStyle w:val="TableText"/>
              <w:jc w:val="center"/>
            </w:pPr>
            <w:r>
              <w:t>SC001</w:t>
            </w:r>
            <w:r w:rsidR="0089374D">
              <w:t xml:space="preserve">, </w:t>
            </w:r>
            <w:r>
              <w:t>SC004</w:t>
            </w:r>
            <w:r w:rsidR="0089374D">
              <w:t xml:space="preserve">, </w:t>
            </w:r>
            <w:r>
              <w:t>SC005</w:t>
            </w:r>
            <w:r w:rsidR="0089374D">
              <w:t xml:space="preserve">, </w:t>
            </w:r>
            <w:r>
              <w:t>SC006</w:t>
            </w:r>
            <w:r w:rsidR="0089374D">
              <w:t xml:space="preserve">, </w:t>
            </w:r>
            <w:r>
              <w:t>SC009</w:t>
            </w:r>
          </w:p>
        </w:tc>
      </w:tr>
      <w:tr w:rsidR="008313BC" w:rsidRPr="00F71523" w14:paraId="5EA7E40B" w14:textId="77777777" w:rsidTr="00CB066E">
        <w:tc>
          <w:tcPr>
            <w:tcW w:w="2046" w:type="dxa"/>
            <w:vMerge/>
            <w:hideMark/>
          </w:tcPr>
          <w:p w14:paraId="034B282C" w14:textId="77777777" w:rsidR="008313BC" w:rsidRPr="00F71523" w:rsidRDefault="008313BC" w:rsidP="00CB1C25">
            <w:pPr>
              <w:pStyle w:val="TableText"/>
            </w:pPr>
          </w:p>
        </w:tc>
        <w:tc>
          <w:tcPr>
            <w:tcW w:w="800" w:type="dxa"/>
            <w:hideMark/>
          </w:tcPr>
          <w:p w14:paraId="7550C0F3" w14:textId="70881937" w:rsidR="008313BC" w:rsidRPr="00F71523" w:rsidRDefault="008313BC" w:rsidP="00953369">
            <w:pPr>
              <w:pStyle w:val="TableText"/>
              <w:jc w:val="center"/>
            </w:pPr>
            <w:r w:rsidRPr="00F71523">
              <w:t>SC3</w:t>
            </w:r>
          </w:p>
        </w:tc>
        <w:tc>
          <w:tcPr>
            <w:tcW w:w="7894" w:type="dxa"/>
            <w:hideMark/>
          </w:tcPr>
          <w:p w14:paraId="3607277C" w14:textId="24CD7049" w:rsidR="008313BC" w:rsidRPr="00F71523" w:rsidRDefault="008313BC" w:rsidP="00CB1C25">
            <w:pPr>
              <w:pStyle w:val="TableText"/>
            </w:pPr>
            <w:r w:rsidRPr="00F71523">
              <w:t>Prior to main works or shaft construction, develop and implement a community and business involvement plan to engage potentially affected stakeholders and advise them of the planned construction activities and</w:t>
            </w:r>
            <w:r w:rsidR="0091119A">
              <w:t xml:space="preserve"> project</w:t>
            </w:r>
            <w:r w:rsidRPr="00F71523">
              <w:t xml:space="preserve"> progress. The plan must include:</w:t>
            </w:r>
          </w:p>
          <w:p w14:paraId="4B829E88" w14:textId="57AA1FCC" w:rsidR="008313BC" w:rsidRPr="00F71523" w:rsidRDefault="008313BC" w:rsidP="00CB1C25">
            <w:pPr>
              <w:pStyle w:val="TableBullet1"/>
            </w:pPr>
            <w:r w:rsidRPr="00F71523">
              <w:t xml:space="preserve">Measures to minimise impacts to the development and/or operation of existing facilities </w:t>
            </w:r>
          </w:p>
          <w:p w14:paraId="6D08A31E" w14:textId="4AF38897" w:rsidR="008313BC" w:rsidRPr="00F71523" w:rsidRDefault="008313BC" w:rsidP="00CB1C25">
            <w:pPr>
              <w:pStyle w:val="TableBullet1"/>
            </w:pPr>
            <w:r w:rsidRPr="00F71523">
              <w:t>Measures for providing advance notice of significant milestones, changed traffic conditions, periods of predicted high noise and vibration activities</w:t>
            </w:r>
          </w:p>
          <w:p w14:paraId="7F669C52" w14:textId="77777777" w:rsidR="008313BC" w:rsidRPr="00F71523" w:rsidRDefault="008313BC" w:rsidP="00CB1C25">
            <w:pPr>
              <w:pStyle w:val="TableBullet1"/>
            </w:pPr>
            <w:r w:rsidRPr="00F71523">
              <w:t>Process for registering and management of complaints</w:t>
            </w:r>
          </w:p>
          <w:p w14:paraId="1E8801AF" w14:textId="77777777" w:rsidR="008313BC" w:rsidRPr="00F71523" w:rsidRDefault="008313BC" w:rsidP="00CB1C25">
            <w:pPr>
              <w:pStyle w:val="TableBullet1"/>
            </w:pPr>
            <w:r w:rsidRPr="00F71523">
              <w:t>Measures to address any other matters which are of concern or interest to them.</w:t>
            </w:r>
          </w:p>
          <w:p w14:paraId="62B54ED8" w14:textId="303C44DF" w:rsidR="008313BC" w:rsidRPr="00F71523" w:rsidRDefault="008313BC" w:rsidP="00CB1C25">
            <w:pPr>
              <w:pStyle w:val="TableText"/>
            </w:pPr>
            <w:r w:rsidRPr="00F71523">
              <w:t>The plan would consider each precinct and station location in detail. Stakeholders to be considered in the plan include (but are not limited to):</w:t>
            </w:r>
          </w:p>
          <w:p w14:paraId="609E9E1E" w14:textId="77777777" w:rsidR="008313BC" w:rsidRPr="00F71523" w:rsidRDefault="008313BC" w:rsidP="00CB1C25">
            <w:pPr>
              <w:pStyle w:val="TableBullet1"/>
            </w:pPr>
            <w:r w:rsidRPr="00F71523">
              <w:t>Municipalities</w:t>
            </w:r>
          </w:p>
          <w:p w14:paraId="4024C315" w14:textId="77777777" w:rsidR="008313BC" w:rsidRPr="00F71523" w:rsidRDefault="008313BC" w:rsidP="00CB1C25">
            <w:pPr>
              <w:pStyle w:val="TableBullet1"/>
            </w:pPr>
            <w:r w:rsidRPr="00F71523">
              <w:t>Potentially affected residents</w:t>
            </w:r>
          </w:p>
          <w:p w14:paraId="5D5CE2D4" w14:textId="77777777" w:rsidR="008313BC" w:rsidRPr="00F71523" w:rsidRDefault="008313BC" w:rsidP="00CB1C25">
            <w:pPr>
              <w:pStyle w:val="TableBullet1"/>
            </w:pPr>
            <w:r w:rsidRPr="00F71523">
              <w:t>Potentially affected businesses</w:t>
            </w:r>
          </w:p>
          <w:p w14:paraId="4F76D5ED" w14:textId="77777777" w:rsidR="008313BC" w:rsidRPr="00F71523" w:rsidRDefault="008313BC" w:rsidP="00CB1C25">
            <w:pPr>
              <w:pStyle w:val="TableBullet1"/>
            </w:pPr>
            <w:r w:rsidRPr="00F71523">
              <w:t>Recreation, sporting and community groups and facilities</w:t>
            </w:r>
          </w:p>
          <w:p w14:paraId="1CF9C90E" w14:textId="77777777" w:rsidR="008313BC" w:rsidRPr="00F71523" w:rsidRDefault="008313BC" w:rsidP="00CB1C25">
            <w:pPr>
              <w:pStyle w:val="TableBullet1"/>
            </w:pPr>
            <w:r w:rsidRPr="00F71523">
              <w:t>Royal Melbourne Hospital, Victorian Comprehensive Cancer Centre, Peter Doherty Institute and other health and medical facilities</w:t>
            </w:r>
          </w:p>
          <w:p w14:paraId="35A2DD67" w14:textId="77777777" w:rsidR="008313BC" w:rsidRPr="00F71523" w:rsidRDefault="008313BC" w:rsidP="00CB1C25">
            <w:pPr>
              <w:pStyle w:val="TableBullet1"/>
            </w:pPr>
            <w:r w:rsidRPr="00F71523">
              <w:t>The University of Melbourne</w:t>
            </w:r>
          </w:p>
          <w:p w14:paraId="44147E8D" w14:textId="77777777" w:rsidR="008313BC" w:rsidRPr="00F71523" w:rsidRDefault="008313BC" w:rsidP="00CD3351">
            <w:pPr>
              <w:pStyle w:val="TableBullet1"/>
              <w:spacing w:before="120"/>
            </w:pPr>
            <w:r w:rsidRPr="00F71523">
              <w:lastRenderedPageBreak/>
              <w:t>RMIT</w:t>
            </w:r>
          </w:p>
          <w:p w14:paraId="6147C1A9" w14:textId="77777777" w:rsidR="008313BC" w:rsidRPr="00F71523" w:rsidRDefault="008313BC" w:rsidP="00CB1C25">
            <w:pPr>
              <w:pStyle w:val="TableBullet1"/>
            </w:pPr>
            <w:r w:rsidRPr="00F71523">
              <w:t>Fawkner Park Children’s Centre and Kindergarten</w:t>
            </w:r>
          </w:p>
          <w:p w14:paraId="18DD5374" w14:textId="77777777" w:rsidR="008313BC" w:rsidRPr="00F71523" w:rsidRDefault="008313BC" w:rsidP="00CB1C25">
            <w:pPr>
              <w:pStyle w:val="TableBullet1"/>
            </w:pPr>
            <w:r w:rsidRPr="00F71523">
              <w:t>South Yarra Senior Citizens Centre</w:t>
            </w:r>
          </w:p>
          <w:p w14:paraId="7DD7418F" w14:textId="77777777" w:rsidR="008313BC" w:rsidRPr="00F71523" w:rsidRDefault="008313BC" w:rsidP="00CB1C25">
            <w:pPr>
              <w:pStyle w:val="TableBullet1"/>
            </w:pPr>
            <w:r w:rsidRPr="00F71523">
              <w:t>Other public facilities in proximity.</w:t>
            </w:r>
          </w:p>
        </w:tc>
        <w:tc>
          <w:tcPr>
            <w:tcW w:w="1168" w:type="dxa"/>
            <w:hideMark/>
          </w:tcPr>
          <w:p w14:paraId="45FB0289" w14:textId="77777777" w:rsidR="008313BC" w:rsidRPr="00F71523" w:rsidRDefault="008313BC" w:rsidP="00457BDE">
            <w:pPr>
              <w:pStyle w:val="TableText"/>
            </w:pPr>
            <w:r w:rsidRPr="00F71523">
              <w:lastRenderedPageBreak/>
              <w:t>All</w:t>
            </w:r>
          </w:p>
        </w:tc>
        <w:tc>
          <w:tcPr>
            <w:tcW w:w="1276" w:type="dxa"/>
            <w:hideMark/>
          </w:tcPr>
          <w:p w14:paraId="499D17B6" w14:textId="77777777" w:rsidR="008313BC" w:rsidRPr="00F71523" w:rsidRDefault="008313BC" w:rsidP="00457BDE">
            <w:pPr>
              <w:pStyle w:val="TableText"/>
            </w:pPr>
            <w:r w:rsidRPr="00F71523">
              <w:t>Pre-construction</w:t>
            </w:r>
          </w:p>
        </w:tc>
        <w:tc>
          <w:tcPr>
            <w:tcW w:w="1383" w:type="dxa"/>
          </w:tcPr>
          <w:p w14:paraId="2AA38812" w14:textId="0A84CC59" w:rsidR="008313BC" w:rsidRPr="00F71523" w:rsidRDefault="00C712B8" w:rsidP="00CB066E">
            <w:pPr>
              <w:pStyle w:val="TableText"/>
              <w:jc w:val="center"/>
            </w:pPr>
            <w:r>
              <w:t>SC001 to SC023</w:t>
            </w:r>
            <w:r w:rsidR="0089374D">
              <w:t xml:space="preserve">, </w:t>
            </w:r>
            <w:r>
              <w:t>SC027</w:t>
            </w:r>
            <w:r w:rsidR="0089374D">
              <w:t xml:space="preserve">, </w:t>
            </w:r>
            <w:r>
              <w:t>SC032 to SC038</w:t>
            </w:r>
            <w:r w:rsidR="0089374D">
              <w:t xml:space="preserve">, </w:t>
            </w:r>
            <w:r>
              <w:t>SC041</w:t>
            </w:r>
            <w:r w:rsidR="0089374D">
              <w:t xml:space="preserve">, </w:t>
            </w:r>
            <w:r>
              <w:t>SC043</w:t>
            </w:r>
            <w:r w:rsidR="0089374D">
              <w:t xml:space="preserve">, </w:t>
            </w:r>
            <w:r>
              <w:t>SC044</w:t>
            </w:r>
            <w:r w:rsidR="0089374D">
              <w:t xml:space="preserve">, </w:t>
            </w:r>
            <w:r>
              <w:t>SC045</w:t>
            </w:r>
          </w:p>
        </w:tc>
      </w:tr>
      <w:tr w:rsidR="008313BC" w:rsidRPr="00F71523" w14:paraId="46E08788" w14:textId="77777777" w:rsidTr="00CB066E">
        <w:trPr>
          <w:cantSplit/>
        </w:trPr>
        <w:tc>
          <w:tcPr>
            <w:tcW w:w="2046" w:type="dxa"/>
            <w:vMerge/>
          </w:tcPr>
          <w:p w14:paraId="69E45B1A" w14:textId="77777777" w:rsidR="008313BC" w:rsidRPr="00F71523" w:rsidRDefault="008313BC" w:rsidP="00CB1C25">
            <w:pPr>
              <w:pStyle w:val="TableText"/>
            </w:pPr>
          </w:p>
        </w:tc>
        <w:tc>
          <w:tcPr>
            <w:tcW w:w="800" w:type="dxa"/>
          </w:tcPr>
          <w:p w14:paraId="7887DDDE" w14:textId="36AB89E5" w:rsidR="008313BC" w:rsidRPr="00F71523" w:rsidRDefault="008313BC" w:rsidP="00953369">
            <w:pPr>
              <w:pStyle w:val="TableText"/>
              <w:jc w:val="center"/>
            </w:pPr>
            <w:r w:rsidRPr="00F71523">
              <w:t>SC4</w:t>
            </w:r>
          </w:p>
        </w:tc>
        <w:tc>
          <w:tcPr>
            <w:tcW w:w="7894" w:type="dxa"/>
          </w:tcPr>
          <w:p w14:paraId="0F577D4B" w14:textId="24EFB0B9" w:rsidR="008313BC" w:rsidRPr="00F71523" w:rsidRDefault="008313BC" w:rsidP="00CB1C25">
            <w:pPr>
              <w:pStyle w:val="TableText"/>
            </w:pPr>
            <w:r w:rsidRPr="00F71523">
              <w:t>Prior to main works or shaft construction commencing, work with the City of Melbourne to identify possible alternative areas of public open space for community use during the construction phase to minimise the impacts of loss of existing public open space that are to be utilised as construction worksites.</w:t>
            </w:r>
          </w:p>
        </w:tc>
        <w:tc>
          <w:tcPr>
            <w:tcW w:w="1168" w:type="dxa"/>
          </w:tcPr>
          <w:p w14:paraId="2A6E729A" w14:textId="77777777" w:rsidR="008313BC" w:rsidRPr="00F71523" w:rsidRDefault="008313BC" w:rsidP="00457BDE">
            <w:pPr>
              <w:pStyle w:val="TableText"/>
            </w:pPr>
            <w:r w:rsidRPr="00F71523">
              <w:t>All</w:t>
            </w:r>
          </w:p>
        </w:tc>
        <w:tc>
          <w:tcPr>
            <w:tcW w:w="1276" w:type="dxa"/>
          </w:tcPr>
          <w:p w14:paraId="6A2F34F1" w14:textId="77777777" w:rsidR="008313BC" w:rsidRPr="00F71523" w:rsidRDefault="008313BC" w:rsidP="00457BDE">
            <w:pPr>
              <w:pStyle w:val="TableText"/>
            </w:pPr>
            <w:r w:rsidRPr="00F71523">
              <w:t>Pre-construction</w:t>
            </w:r>
          </w:p>
        </w:tc>
        <w:tc>
          <w:tcPr>
            <w:tcW w:w="1383" w:type="dxa"/>
          </w:tcPr>
          <w:p w14:paraId="300EE7D4" w14:textId="236369FB" w:rsidR="008313BC" w:rsidRPr="00F71523" w:rsidRDefault="00C712B8" w:rsidP="00C712B8">
            <w:pPr>
              <w:pStyle w:val="TableText"/>
              <w:jc w:val="center"/>
            </w:pPr>
            <w:r>
              <w:t>SC007</w:t>
            </w:r>
            <w:r w:rsidR="0089374D">
              <w:t xml:space="preserve">, </w:t>
            </w:r>
            <w:r>
              <w:t>SC019</w:t>
            </w:r>
            <w:r w:rsidR="0089374D">
              <w:t xml:space="preserve">, </w:t>
            </w:r>
            <w:r>
              <w:t>SC024</w:t>
            </w:r>
            <w:r w:rsidR="0089374D">
              <w:t xml:space="preserve">, </w:t>
            </w:r>
            <w:r>
              <w:t>SC034</w:t>
            </w:r>
          </w:p>
        </w:tc>
      </w:tr>
      <w:tr w:rsidR="008313BC" w:rsidRPr="00F71523" w14:paraId="5E8020C1" w14:textId="77777777" w:rsidTr="00CB066E">
        <w:trPr>
          <w:cantSplit/>
        </w:trPr>
        <w:tc>
          <w:tcPr>
            <w:tcW w:w="2046" w:type="dxa"/>
            <w:vMerge/>
          </w:tcPr>
          <w:p w14:paraId="2EBC4C3E" w14:textId="77777777" w:rsidR="008313BC" w:rsidRPr="00F71523" w:rsidRDefault="008313BC" w:rsidP="00CB1C25">
            <w:pPr>
              <w:pStyle w:val="TableText"/>
            </w:pPr>
          </w:p>
        </w:tc>
        <w:tc>
          <w:tcPr>
            <w:tcW w:w="800" w:type="dxa"/>
          </w:tcPr>
          <w:p w14:paraId="08C5A637" w14:textId="23D2FB7E" w:rsidR="008313BC" w:rsidRPr="00F71523" w:rsidRDefault="008313BC" w:rsidP="00953369">
            <w:pPr>
              <w:pStyle w:val="TableText"/>
              <w:jc w:val="center"/>
            </w:pPr>
            <w:r w:rsidRPr="00F71523">
              <w:t>SC5</w:t>
            </w:r>
          </w:p>
        </w:tc>
        <w:tc>
          <w:tcPr>
            <w:tcW w:w="7894" w:type="dxa"/>
          </w:tcPr>
          <w:p w14:paraId="21864E98" w14:textId="77777777" w:rsidR="008313BC" w:rsidRPr="00F71523" w:rsidRDefault="008313BC" w:rsidP="00CB1C25">
            <w:pPr>
              <w:pStyle w:val="TableText"/>
            </w:pPr>
            <w:r w:rsidRPr="00F71523">
              <w:t>Work with relevant local councils to plan for and coordinate with key stakeholders during major public events.</w:t>
            </w:r>
          </w:p>
        </w:tc>
        <w:tc>
          <w:tcPr>
            <w:tcW w:w="1168" w:type="dxa"/>
          </w:tcPr>
          <w:p w14:paraId="3881E30D" w14:textId="77777777" w:rsidR="008313BC" w:rsidRPr="00F71523" w:rsidRDefault="008313BC" w:rsidP="00457BDE">
            <w:pPr>
              <w:pStyle w:val="TableText"/>
            </w:pPr>
            <w:r w:rsidRPr="00F71523">
              <w:t>All</w:t>
            </w:r>
          </w:p>
        </w:tc>
        <w:tc>
          <w:tcPr>
            <w:tcW w:w="1276" w:type="dxa"/>
          </w:tcPr>
          <w:p w14:paraId="69F04EA6" w14:textId="77777777" w:rsidR="008313BC" w:rsidRPr="00F71523" w:rsidRDefault="008313BC" w:rsidP="00457BDE">
            <w:pPr>
              <w:pStyle w:val="TableText"/>
            </w:pPr>
            <w:r w:rsidRPr="00F71523">
              <w:t>Construction</w:t>
            </w:r>
          </w:p>
        </w:tc>
        <w:tc>
          <w:tcPr>
            <w:tcW w:w="1383" w:type="dxa"/>
          </w:tcPr>
          <w:p w14:paraId="430629D8" w14:textId="2C49A907" w:rsidR="008313BC" w:rsidRPr="00F71523" w:rsidRDefault="00C712B8" w:rsidP="00CB066E">
            <w:pPr>
              <w:pStyle w:val="TableText"/>
              <w:jc w:val="center"/>
            </w:pPr>
            <w:r>
              <w:t>SC007</w:t>
            </w:r>
            <w:r w:rsidR="0089374D">
              <w:t xml:space="preserve">, </w:t>
            </w:r>
            <w:r>
              <w:t>SC013</w:t>
            </w:r>
            <w:r w:rsidR="0089374D">
              <w:t xml:space="preserve">, </w:t>
            </w:r>
            <w:r>
              <w:t>SC033</w:t>
            </w:r>
          </w:p>
        </w:tc>
      </w:tr>
      <w:tr w:rsidR="008313BC" w:rsidRPr="00F71523" w14:paraId="756FDFB7" w14:textId="77777777" w:rsidTr="00CB066E">
        <w:trPr>
          <w:cantSplit/>
        </w:trPr>
        <w:tc>
          <w:tcPr>
            <w:tcW w:w="2046" w:type="dxa"/>
            <w:vMerge/>
            <w:hideMark/>
          </w:tcPr>
          <w:p w14:paraId="74756B6B" w14:textId="77777777" w:rsidR="008313BC" w:rsidRPr="00F71523" w:rsidRDefault="008313BC" w:rsidP="00CB1C25">
            <w:pPr>
              <w:pStyle w:val="TableText"/>
            </w:pPr>
          </w:p>
        </w:tc>
        <w:tc>
          <w:tcPr>
            <w:tcW w:w="800" w:type="dxa"/>
            <w:hideMark/>
          </w:tcPr>
          <w:p w14:paraId="57A6E9DF" w14:textId="132AFC73" w:rsidR="008313BC" w:rsidRPr="00F71523" w:rsidRDefault="008313BC" w:rsidP="00953369">
            <w:pPr>
              <w:pStyle w:val="TableText"/>
              <w:jc w:val="center"/>
            </w:pPr>
            <w:r w:rsidRPr="00F71523">
              <w:t>SC6</w:t>
            </w:r>
          </w:p>
        </w:tc>
        <w:tc>
          <w:tcPr>
            <w:tcW w:w="7894" w:type="dxa"/>
            <w:hideMark/>
          </w:tcPr>
          <w:p w14:paraId="3966EF8C" w14:textId="77777777" w:rsidR="008313BC" w:rsidRPr="00F71523" w:rsidRDefault="008313BC" w:rsidP="00CB1C25">
            <w:pPr>
              <w:pStyle w:val="TableText"/>
            </w:pPr>
            <w:r w:rsidRPr="00F71523">
              <w:t>Develop a relocation strategy for sports clubs and other formal users of directly impacted recreational facilities.</w:t>
            </w:r>
          </w:p>
        </w:tc>
        <w:tc>
          <w:tcPr>
            <w:tcW w:w="1168" w:type="dxa"/>
            <w:hideMark/>
          </w:tcPr>
          <w:p w14:paraId="3D00980A" w14:textId="77777777" w:rsidR="008313BC" w:rsidRPr="00F71523" w:rsidRDefault="008313BC" w:rsidP="00457BDE">
            <w:pPr>
              <w:pStyle w:val="TableText"/>
            </w:pPr>
            <w:r w:rsidRPr="00F71523">
              <w:t>All</w:t>
            </w:r>
          </w:p>
        </w:tc>
        <w:tc>
          <w:tcPr>
            <w:tcW w:w="1276" w:type="dxa"/>
            <w:hideMark/>
          </w:tcPr>
          <w:p w14:paraId="5AD58ABA" w14:textId="77777777" w:rsidR="008313BC" w:rsidRPr="00F71523" w:rsidRDefault="008313BC" w:rsidP="00457BDE">
            <w:pPr>
              <w:pStyle w:val="TableText"/>
            </w:pPr>
            <w:r w:rsidRPr="00F71523">
              <w:t>Construction</w:t>
            </w:r>
          </w:p>
        </w:tc>
        <w:tc>
          <w:tcPr>
            <w:tcW w:w="1383" w:type="dxa"/>
          </w:tcPr>
          <w:p w14:paraId="4D37EC45" w14:textId="3B09C141" w:rsidR="008313BC" w:rsidRPr="00F71523" w:rsidRDefault="00C712B8" w:rsidP="00CB066E">
            <w:pPr>
              <w:pStyle w:val="TableText"/>
              <w:jc w:val="center"/>
            </w:pPr>
            <w:r>
              <w:t>SC024</w:t>
            </w:r>
            <w:r w:rsidR="0089374D">
              <w:t xml:space="preserve">, </w:t>
            </w:r>
            <w:r>
              <w:t>SC025</w:t>
            </w:r>
          </w:p>
        </w:tc>
      </w:tr>
      <w:tr w:rsidR="008313BC" w:rsidRPr="00F71523" w14:paraId="5F3749BF" w14:textId="77777777" w:rsidTr="00CB066E">
        <w:tc>
          <w:tcPr>
            <w:tcW w:w="2046" w:type="dxa"/>
            <w:vMerge/>
            <w:hideMark/>
          </w:tcPr>
          <w:p w14:paraId="5FE668B6" w14:textId="77777777" w:rsidR="008313BC" w:rsidRPr="00F71523" w:rsidRDefault="008313BC" w:rsidP="00CB066E">
            <w:pPr>
              <w:pStyle w:val="TableText"/>
              <w:widowControl w:val="0"/>
            </w:pPr>
          </w:p>
        </w:tc>
        <w:tc>
          <w:tcPr>
            <w:tcW w:w="800" w:type="dxa"/>
            <w:hideMark/>
          </w:tcPr>
          <w:p w14:paraId="254C0A6D" w14:textId="73238EA8" w:rsidR="008313BC" w:rsidRPr="00F71523" w:rsidRDefault="008313BC" w:rsidP="00CB066E">
            <w:pPr>
              <w:pStyle w:val="TableText"/>
              <w:widowControl w:val="0"/>
              <w:jc w:val="center"/>
            </w:pPr>
            <w:r w:rsidRPr="00F71523">
              <w:t>SC7</w:t>
            </w:r>
          </w:p>
        </w:tc>
        <w:tc>
          <w:tcPr>
            <w:tcW w:w="7894" w:type="dxa"/>
            <w:hideMark/>
          </w:tcPr>
          <w:p w14:paraId="7138B82F" w14:textId="1FEF48D2" w:rsidR="008313BC" w:rsidRPr="00F71523" w:rsidRDefault="008313BC" w:rsidP="00CB066E">
            <w:pPr>
              <w:pStyle w:val="TableText"/>
              <w:widowControl w:val="0"/>
            </w:pPr>
            <w:r w:rsidRPr="00F71523">
              <w:t xml:space="preserve">In consultation with key stakeholders and in accordance with the </w:t>
            </w:r>
            <w:r w:rsidR="00497E3C">
              <w:t xml:space="preserve">Melbourne Metro </w:t>
            </w:r>
            <w:r w:rsidRPr="00F71523">
              <w:t xml:space="preserve">Urban Design Strategy, relevant statutory approvals and other relevant requirements, re-establish sites impacted by construction works, including </w:t>
            </w:r>
            <w:r w:rsidR="00497E3C">
              <w:t>(</w:t>
            </w:r>
            <w:r w:rsidRPr="00F71523">
              <w:t>but not limited to</w:t>
            </w:r>
            <w:r w:rsidR="00497E3C">
              <w:t>)</w:t>
            </w:r>
            <w:r w:rsidRPr="00F71523">
              <w:t>:</w:t>
            </w:r>
          </w:p>
          <w:p w14:paraId="27FED2F2" w14:textId="77777777" w:rsidR="008313BC" w:rsidRPr="00F71523" w:rsidRDefault="008313BC" w:rsidP="00CB066E">
            <w:pPr>
              <w:pStyle w:val="TableBullet1"/>
              <w:widowControl w:val="0"/>
              <w:spacing w:before="60" w:after="70"/>
            </w:pPr>
            <w:r w:rsidRPr="00F71523">
              <w:t>Childers Street, Kensington</w:t>
            </w:r>
          </w:p>
          <w:p w14:paraId="75EF48BB" w14:textId="77777777" w:rsidR="008313BC" w:rsidRPr="00F71523" w:rsidRDefault="008313BC" w:rsidP="00CB066E">
            <w:pPr>
              <w:pStyle w:val="TableBullet1"/>
              <w:widowControl w:val="0"/>
              <w:spacing w:before="60" w:after="70"/>
            </w:pPr>
            <w:r w:rsidRPr="00F71523">
              <w:t>JJ Holland Park</w:t>
            </w:r>
          </w:p>
          <w:p w14:paraId="77C61E53" w14:textId="77777777" w:rsidR="008313BC" w:rsidRPr="00F71523" w:rsidRDefault="008313BC" w:rsidP="00CB066E">
            <w:pPr>
              <w:pStyle w:val="TableBullet1"/>
              <w:widowControl w:val="0"/>
              <w:spacing w:before="60" w:after="70"/>
            </w:pPr>
            <w:r w:rsidRPr="00F71523">
              <w:t>Royal Parade and Grattan Street, Parkville</w:t>
            </w:r>
          </w:p>
          <w:p w14:paraId="068641AE" w14:textId="77777777" w:rsidR="008313BC" w:rsidRPr="00F71523" w:rsidRDefault="008313BC" w:rsidP="00CB066E">
            <w:pPr>
              <w:pStyle w:val="TableBullet1"/>
              <w:widowControl w:val="0"/>
              <w:spacing w:before="60" w:after="70"/>
            </w:pPr>
            <w:r w:rsidRPr="00F71523">
              <w:t>The south western entrance of the proposed CBD South station</w:t>
            </w:r>
          </w:p>
          <w:p w14:paraId="6792567F" w14:textId="77777777" w:rsidR="008313BC" w:rsidRPr="00F71523" w:rsidRDefault="008313BC" w:rsidP="00CB066E">
            <w:pPr>
              <w:pStyle w:val="TableBullet1"/>
              <w:widowControl w:val="0"/>
              <w:spacing w:before="60" w:after="70"/>
            </w:pPr>
            <w:r w:rsidRPr="00F71523">
              <w:t>St Kilda Road boulevard</w:t>
            </w:r>
          </w:p>
          <w:p w14:paraId="740D3F5E" w14:textId="77777777" w:rsidR="008313BC" w:rsidRPr="00F71523" w:rsidRDefault="008313BC" w:rsidP="00CB066E">
            <w:pPr>
              <w:pStyle w:val="TableBullet1"/>
              <w:widowControl w:val="0"/>
              <w:spacing w:before="60" w:after="70"/>
            </w:pPr>
            <w:r w:rsidRPr="00F71523">
              <w:t>Edmund Herring Oval</w:t>
            </w:r>
          </w:p>
          <w:p w14:paraId="3B44F54E" w14:textId="77777777" w:rsidR="008313BC" w:rsidRPr="00F71523" w:rsidRDefault="008313BC" w:rsidP="00CB066E">
            <w:pPr>
              <w:pStyle w:val="TableBullet1"/>
              <w:widowControl w:val="0"/>
              <w:spacing w:before="60" w:after="70"/>
            </w:pPr>
            <w:r w:rsidRPr="00F71523">
              <w:t>Fawkner Park and Fawkner Park Tennis Facility</w:t>
            </w:r>
          </w:p>
          <w:p w14:paraId="5F838A6D" w14:textId="77777777" w:rsidR="008313BC" w:rsidRPr="00F71523" w:rsidRDefault="008313BC" w:rsidP="00CB066E">
            <w:pPr>
              <w:pStyle w:val="TableBullet1"/>
              <w:widowControl w:val="0"/>
              <w:spacing w:before="60" w:after="70"/>
            </w:pPr>
            <w:r w:rsidRPr="00F71523">
              <w:t>Osborne Street Reserve</w:t>
            </w:r>
          </w:p>
          <w:p w14:paraId="54625050" w14:textId="77777777" w:rsidR="008313BC" w:rsidRPr="00F71523" w:rsidRDefault="008313BC" w:rsidP="00CB066E">
            <w:pPr>
              <w:pStyle w:val="TableBullet1"/>
              <w:widowControl w:val="0"/>
              <w:spacing w:before="60" w:after="70"/>
            </w:pPr>
            <w:r w:rsidRPr="00F71523">
              <w:t>South Yarra Siding Reserve</w:t>
            </w:r>
          </w:p>
          <w:p w14:paraId="5AAFE94C" w14:textId="77777777" w:rsidR="008313BC" w:rsidRPr="00F71523" w:rsidRDefault="008313BC" w:rsidP="00CB066E">
            <w:pPr>
              <w:pStyle w:val="TableBullet1"/>
              <w:widowControl w:val="0"/>
              <w:spacing w:before="60" w:after="70"/>
            </w:pPr>
            <w:r w:rsidRPr="00F71523">
              <w:t>Lovers Walk</w:t>
            </w:r>
          </w:p>
          <w:p w14:paraId="2995F974" w14:textId="77777777" w:rsidR="008313BC" w:rsidRPr="00F71523" w:rsidRDefault="008313BC" w:rsidP="00CB066E">
            <w:pPr>
              <w:pStyle w:val="TableBullet1"/>
              <w:widowControl w:val="0"/>
              <w:spacing w:before="60" w:after="70"/>
            </w:pPr>
            <w:r w:rsidRPr="00F71523">
              <w:t>The South African Soldiers War Memorial.</w:t>
            </w:r>
          </w:p>
          <w:p w14:paraId="798F9FBE" w14:textId="7784714A" w:rsidR="008313BC" w:rsidRPr="00F71523" w:rsidRDefault="008313BC" w:rsidP="00CB066E">
            <w:pPr>
              <w:pStyle w:val="TableBullet1"/>
              <w:widowControl w:val="0"/>
              <w:numPr>
                <w:ilvl w:val="0"/>
                <w:numId w:val="0"/>
              </w:numPr>
            </w:pPr>
            <w:r>
              <w:t>(</w:t>
            </w:r>
            <w:r w:rsidRPr="00F71523">
              <w:t>See related Environmental Performance Requirement LV2.</w:t>
            </w:r>
            <w:r>
              <w:t>)</w:t>
            </w:r>
          </w:p>
        </w:tc>
        <w:tc>
          <w:tcPr>
            <w:tcW w:w="1168" w:type="dxa"/>
            <w:hideMark/>
          </w:tcPr>
          <w:p w14:paraId="15F03C9A" w14:textId="77777777" w:rsidR="008313BC" w:rsidRPr="00F71523" w:rsidRDefault="008313BC" w:rsidP="00457BDE">
            <w:pPr>
              <w:pStyle w:val="TableText"/>
              <w:widowControl w:val="0"/>
            </w:pPr>
            <w:r w:rsidRPr="00F71523">
              <w:t>All</w:t>
            </w:r>
          </w:p>
        </w:tc>
        <w:tc>
          <w:tcPr>
            <w:tcW w:w="1276" w:type="dxa"/>
            <w:hideMark/>
          </w:tcPr>
          <w:p w14:paraId="3C51AE19" w14:textId="77777777" w:rsidR="008313BC" w:rsidRPr="00F71523" w:rsidRDefault="008313BC" w:rsidP="00457BDE">
            <w:pPr>
              <w:pStyle w:val="TableText"/>
              <w:widowControl w:val="0"/>
            </w:pPr>
            <w:r w:rsidRPr="00F71523">
              <w:t>Construction</w:t>
            </w:r>
          </w:p>
        </w:tc>
        <w:tc>
          <w:tcPr>
            <w:tcW w:w="1383" w:type="dxa"/>
          </w:tcPr>
          <w:p w14:paraId="2490B9DE" w14:textId="7D95995B" w:rsidR="008313BC" w:rsidRPr="00F71523" w:rsidRDefault="00C712B8" w:rsidP="00CB066E">
            <w:pPr>
              <w:pStyle w:val="TableText"/>
              <w:widowControl w:val="0"/>
              <w:jc w:val="center"/>
            </w:pPr>
            <w:r>
              <w:t>SC033</w:t>
            </w:r>
            <w:r w:rsidR="0089374D">
              <w:t xml:space="preserve">, </w:t>
            </w:r>
            <w:r>
              <w:t>SC035</w:t>
            </w:r>
            <w:r w:rsidR="0089374D">
              <w:t xml:space="preserve">, </w:t>
            </w:r>
            <w:r>
              <w:t>SC039</w:t>
            </w:r>
            <w:r w:rsidR="0089374D">
              <w:t xml:space="preserve">, </w:t>
            </w:r>
            <w:r>
              <w:t>SC040</w:t>
            </w:r>
            <w:r w:rsidR="0089374D">
              <w:t xml:space="preserve">, </w:t>
            </w:r>
            <w:r>
              <w:t>SC041</w:t>
            </w:r>
          </w:p>
        </w:tc>
      </w:tr>
      <w:tr w:rsidR="008313BC" w:rsidRPr="00F71523" w14:paraId="61C7C9A8" w14:textId="77777777" w:rsidTr="00CB066E">
        <w:trPr>
          <w:cantSplit/>
        </w:trPr>
        <w:tc>
          <w:tcPr>
            <w:tcW w:w="2046" w:type="dxa"/>
            <w:vMerge/>
            <w:hideMark/>
          </w:tcPr>
          <w:p w14:paraId="671504E4" w14:textId="77777777" w:rsidR="008313BC" w:rsidRPr="00F71523" w:rsidRDefault="008313BC" w:rsidP="00CB1C25">
            <w:pPr>
              <w:pStyle w:val="TableText"/>
            </w:pPr>
          </w:p>
        </w:tc>
        <w:tc>
          <w:tcPr>
            <w:tcW w:w="800" w:type="dxa"/>
            <w:hideMark/>
          </w:tcPr>
          <w:p w14:paraId="2C699D3C" w14:textId="0DA8CD28" w:rsidR="008313BC" w:rsidRPr="00F71523" w:rsidRDefault="008313BC" w:rsidP="00953369">
            <w:pPr>
              <w:pStyle w:val="TableText"/>
              <w:jc w:val="center"/>
            </w:pPr>
            <w:r w:rsidRPr="00F71523">
              <w:t>SC8</w:t>
            </w:r>
          </w:p>
        </w:tc>
        <w:tc>
          <w:tcPr>
            <w:tcW w:w="7894" w:type="dxa"/>
            <w:hideMark/>
          </w:tcPr>
          <w:p w14:paraId="6AC1CAAE" w14:textId="1FD320F8" w:rsidR="008313BC" w:rsidRPr="00F71523" w:rsidRDefault="008313BC" w:rsidP="00CB1C25">
            <w:pPr>
              <w:pStyle w:val="TableText"/>
            </w:pPr>
            <w:r w:rsidRPr="00F71523">
              <w:t>In consultation with the City of Melbourne, improve community access to open or recreational space within the CBD by identifying potential opportunities to return as much land as possible used for construction to permanent public open space at City Square and Federation Square. Plans must be in accordance with the Melbourne Metro Urban Design Strategy.</w:t>
            </w:r>
          </w:p>
        </w:tc>
        <w:tc>
          <w:tcPr>
            <w:tcW w:w="1168" w:type="dxa"/>
            <w:hideMark/>
          </w:tcPr>
          <w:p w14:paraId="278964C8" w14:textId="14A023B2" w:rsidR="008313BC" w:rsidRPr="00F71523" w:rsidRDefault="008313BC" w:rsidP="00457BDE">
            <w:pPr>
              <w:pStyle w:val="TableText"/>
            </w:pPr>
            <w:r w:rsidRPr="00F71523">
              <w:t xml:space="preserve">6 – </w:t>
            </w:r>
            <w:r w:rsidRPr="00F71523">
              <w:br/>
              <w:t>CBD South station</w:t>
            </w:r>
          </w:p>
        </w:tc>
        <w:tc>
          <w:tcPr>
            <w:tcW w:w="1276" w:type="dxa"/>
            <w:hideMark/>
          </w:tcPr>
          <w:p w14:paraId="5CEC11E3" w14:textId="77777777" w:rsidR="008313BC" w:rsidRPr="00F71523" w:rsidRDefault="008313BC" w:rsidP="00457BDE">
            <w:pPr>
              <w:pStyle w:val="TableText"/>
            </w:pPr>
            <w:r w:rsidRPr="00F71523">
              <w:t>Design/ Construction</w:t>
            </w:r>
          </w:p>
        </w:tc>
        <w:tc>
          <w:tcPr>
            <w:tcW w:w="1383" w:type="dxa"/>
          </w:tcPr>
          <w:p w14:paraId="67772B5F" w14:textId="10F913A7" w:rsidR="008313BC" w:rsidRPr="00F71523" w:rsidRDefault="00C712B8" w:rsidP="00953369">
            <w:pPr>
              <w:pStyle w:val="TableText"/>
              <w:jc w:val="center"/>
            </w:pPr>
            <w:r>
              <w:t>SC014</w:t>
            </w:r>
          </w:p>
        </w:tc>
      </w:tr>
      <w:tr w:rsidR="008313BC" w:rsidRPr="00F71523" w14:paraId="696DB5BB" w14:textId="77777777" w:rsidTr="00CB066E">
        <w:trPr>
          <w:cantSplit/>
        </w:trPr>
        <w:tc>
          <w:tcPr>
            <w:tcW w:w="2046" w:type="dxa"/>
            <w:vMerge/>
            <w:hideMark/>
          </w:tcPr>
          <w:p w14:paraId="48900C52" w14:textId="77777777" w:rsidR="008313BC" w:rsidRPr="00F71523" w:rsidRDefault="008313BC" w:rsidP="00CB1C25">
            <w:pPr>
              <w:pStyle w:val="TableText"/>
            </w:pPr>
          </w:p>
        </w:tc>
        <w:tc>
          <w:tcPr>
            <w:tcW w:w="800" w:type="dxa"/>
            <w:hideMark/>
          </w:tcPr>
          <w:p w14:paraId="59357AE8" w14:textId="01A48EBB" w:rsidR="008313BC" w:rsidRPr="00F71523" w:rsidRDefault="008313BC" w:rsidP="00953369">
            <w:pPr>
              <w:pStyle w:val="TableText"/>
              <w:jc w:val="center"/>
            </w:pPr>
            <w:r w:rsidRPr="00F71523">
              <w:t>SC9</w:t>
            </w:r>
          </w:p>
        </w:tc>
        <w:tc>
          <w:tcPr>
            <w:tcW w:w="7894" w:type="dxa"/>
            <w:hideMark/>
          </w:tcPr>
          <w:p w14:paraId="73B8FD4E" w14:textId="77777777" w:rsidR="008313BC" w:rsidRPr="00F71523" w:rsidRDefault="008313BC" w:rsidP="00CB1C25">
            <w:pPr>
              <w:pStyle w:val="TableText"/>
            </w:pPr>
            <w:r w:rsidRPr="00F71523">
              <w:t>In consultation with the City of Melbourne, develop a plan to utilise part of the Franklin Street road reserve for public open space post-construction. Plans must be in accordance with the Melbourne Metro Urban Design Strategy.</w:t>
            </w:r>
          </w:p>
        </w:tc>
        <w:tc>
          <w:tcPr>
            <w:tcW w:w="1168" w:type="dxa"/>
            <w:hideMark/>
          </w:tcPr>
          <w:p w14:paraId="1ADA902D" w14:textId="230E85C7" w:rsidR="008313BC" w:rsidRPr="00F71523" w:rsidRDefault="008313BC" w:rsidP="00457BDE">
            <w:pPr>
              <w:pStyle w:val="TableText"/>
            </w:pPr>
            <w:r w:rsidRPr="00F71523">
              <w:t xml:space="preserve">5 – </w:t>
            </w:r>
            <w:r w:rsidRPr="00F71523">
              <w:br/>
              <w:t>CBD North station</w:t>
            </w:r>
          </w:p>
        </w:tc>
        <w:tc>
          <w:tcPr>
            <w:tcW w:w="1276" w:type="dxa"/>
            <w:hideMark/>
          </w:tcPr>
          <w:p w14:paraId="4DD9C51F" w14:textId="77777777" w:rsidR="008313BC" w:rsidRPr="00F71523" w:rsidRDefault="008313BC" w:rsidP="00457BDE">
            <w:pPr>
              <w:pStyle w:val="TableText"/>
            </w:pPr>
            <w:r w:rsidRPr="00F71523">
              <w:t>Design/ Construction</w:t>
            </w:r>
          </w:p>
        </w:tc>
        <w:tc>
          <w:tcPr>
            <w:tcW w:w="1383" w:type="dxa"/>
          </w:tcPr>
          <w:p w14:paraId="366C07A2" w14:textId="35FEF63F" w:rsidR="008313BC" w:rsidRPr="00F71523" w:rsidRDefault="00C712B8" w:rsidP="00953369">
            <w:pPr>
              <w:pStyle w:val="TableText"/>
              <w:jc w:val="center"/>
            </w:pPr>
            <w:r>
              <w:t>SC014</w:t>
            </w:r>
          </w:p>
        </w:tc>
      </w:tr>
      <w:tr w:rsidR="008313BC" w:rsidRPr="00F71523" w14:paraId="31905042" w14:textId="77777777" w:rsidTr="00CB066E">
        <w:trPr>
          <w:cantSplit/>
        </w:trPr>
        <w:tc>
          <w:tcPr>
            <w:tcW w:w="2046" w:type="dxa"/>
            <w:vMerge/>
            <w:hideMark/>
          </w:tcPr>
          <w:p w14:paraId="6737C2AD" w14:textId="77777777" w:rsidR="008313BC" w:rsidRPr="00F71523" w:rsidRDefault="008313BC" w:rsidP="00953369">
            <w:pPr>
              <w:pStyle w:val="TableText"/>
              <w:jc w:val="center"/>
            </w:pPr>
          </w:p>
        </w:tc>
        <w:tc>
          <w:tcPr>
            <w:tcW w:w="12521" w:type="dxa"/>
            <w:gridSpan w:val="5"/>
          </w:tcPr>
          <w:p w14:paraId="1A0449CF" w14:textId="1D525063" w:rsidR="008313BC" w:rsidRPr="00F71523" w:rsidRDefault="008313BC" w:rsidP="00457BDE">
            <w:pPr>
              <w:pStyle w:val="TableText"/>
              <w:rPr>
                <w:b/>
              </w:rPr>
            </w:pPr>
            <w:r w:rsidRPr="00F71523">
              <w:rPr>
                <w:b/>
              </w:rPr>
              <w:t xml:space="preserve">Also refer to the following Environmental Performance Requirements for ‘Social and Community’: T1, LU1, </w:t>
            </w:r>
            <w:r w:rsidR="00607713">
              <w:rPr>
                <w:b/>
              </w:rPr>
              <w:t xml:space="preserve">AR2, </w:t>
            </w:r>
            <w:r w:rsidRPr="00F71523">
              <w:rPr>
                <w:b/>
              </w:rPr>
              <w:t>LV1, LV2, LV3</w:t>
            </w:r>
          </w:p>
        </w:tc>
      </w:tr>
      <w:tr w:rsidR="00BC6752" w:rsidRPr="00F71523" w14:paraId="76E74796" w14:textId="77777777" w:rsidTr="00CB066E">
        <w:trPr>
          <w:cantSplit/>
        </w:trPr>
        <w:tc>
          <w:tcPr>
            <w:tcW w:w="14567" w:type="dxa"/>
            <w:gridSpan w:val="6"/>
            <w:shd w:val="clear" w:color="auto" w:fill="F2F2F2" w:themeFill="background1" w:themeFillShade="F2"/>
            <w:hideMark/>
          </w:tcPr>
          <w:p w14:paraId="0863C773" w14:textId="77777777" w:rsidR="00BC6752" w:rsidRPr="00F71523" w:rsidRDefault="00BC6752" w:rsidP="00457BDE">
            <w:pPr>
              <w:pStyle w:val="TableText"/>
              <w:keepNext/>
              <w:keepLines/>
              <w:rPr>
                <w:rStyle w:val="CharacterStyle-Bold"/>
              </w:rPr>
            </w:pPr>
            <w:r w:rsidRPr="00F71523">
              <w:rPr>
                <w:rStyle w:val="CharacterStyle-Bold"/>
              </w:rPr>
              <w:t>Air Quality</w:t>
            </w:r>
          </w:p>
        </w:tc>
      </w:tr>
      <w:tr w:rsidR="00BC6752" w:rsidRPr="00F71523" w14:paraId="53D78B6D" w14:textId="77777777" w:rsidTr="00CB066E">
        <w:trPr>
          <w:cantSplit/>
        </w:trPr>
        <w:tc>
          <w:tcPr>
            <w:tcW w:w="2046" w:type="dxa"/>
            <w:vMerge w:val="restart"/>
            <w:hideMark/>
          </w:tcPr>
          <w:p w14:paraId="21B24A44" w14:textId="77777777" w:rsidR="00BC6752" w:rsidRPr="00F71523" w:rsidRDefault="00BC6752" w:rsidP="00CB1C25">
            <w:pPr>
              <w:pStyle w:val="TableText"/>
            </w:pPr>
            <w:r w:rsidRPr="00F71523">
              <w:t>Amenity: To minimise adverse air quality, noise or vibration effects on the amenity of nearby residents and local communities, as far as practicable, especially during the construction phase</w:t>
            </w:r>
          </w:p>
        </w:tc>
        <w:tc>
          <w:tcPr>
            <w:tcW w:w="800" w:type="dxa"/>
            <w:hideMark/>
          </w:tcPr>
          <w:p w14:paraId="4FD7E772" w14:textId="77777777" w:rsidR="00BC6752" w:rsidRPr="00F71523" w:rsidRDefault="00BC6752" w:rsidP="00953369">
            <w:pPr>
              <w:pStyle w:val="TableText"/>
              <w:jc w:val="center"/>
            </w:pPr>
            <w:r w:rsidRPr="00F71523">
              <w:t>AQ1</w:t>
            </w:r>
          </w:p>
        </w:tc>
        <w:tc>
          <w:tcPr>
            <w:tcW w:w="7894" w:type="dxa"/>
            <w:hideMark/>
          </w:tcPr>
          <w:p w14:paraId="28D6EAF7" w14:textId="326DC11C" w:rsidR="00BC6752" w:rsidRPr="00F71523" w:rsidRDefault="00BC6752" w:rsidP="00CB1C25">
            <w:pPr>
              <w:pStyle w:val="TableText"/>
            </w:pPr>
            <w:r w:rsidRPr="00F71523">
              <w:t>Develop and implement plan(s) for dust management and monitoring, in consultation with EPA, to minimise and monitor the impact of construction dust.</w:t>
            </w:r>
          </w:p>
          <w:p w14:paraId="5800C472" w14:textId="79E2B682" w:rsidR="00BC6752" w:rsidRPr="00F71523" w:rsidRDefault="00BC6752" w:rsidP="00CB1C25">
            <w:pPr>
              <w:pStyle w:val="TableText"/>
            </w:pPr>
            <w:r w:rsidRPr="00F71523">
              <w:t>The plan must address monitoring requirements for key sensitive receptors</w:t>
            </w:r>
            <w:r w:rsidR="00BE48C6">
              <w:t>,</w:t>
            </w:r>
            <w:r w:rsidRPr="00F71523">
              <w:t xml:space="preserve"> including</w:t>
            </w:r>
            <w:r w:rsidR="00497E3C">
              <w:t xml:space="preserve"> (</w:t>
            </w:r>
            <w:r w:rsidRPr="00F71523">
              <w:t>but not limited</w:t>
            </w:r>
            <w:r w:rsidR="00497E3C">
              <w:t>)</w:t>
            </w:r>
            <w:r w:rsidRPr="00F71523">
              <w:t xml:space="preserve"> to:</w:t>
            </w:r>
          </w:p>
          <w:p w14:paraId="307D2487" w14:textId="77777777" w:rsidR="00BC6752" w:rsidRPr="00F71523" w:rsidRDefault="00BC6752" w:rsidP="00CB1C25">
            <w:pPr>
              <w:pStyle w:val="TableBullet1"/>
            </w:pPr>
            <w:r w:rsidRPr="00F71523">
              <w:t>Residential and commercial properties</w:t>
            </w:r>
          </w:p>
          <w:p w14:paraId="4BEF2416" w14:textId="77777777" w:rsidR="00BC6752" w:rsidRPr="00F71523" w:rsidRDefault="00BC6752" w:rsidP="00CB1C25">
            <w:pPr>
              <w:pStyle w:val="TableBullet1"/>
            </w:pPr>
            <w:r w:rsidRPr="00F71523">
              <w:t>Hospitals and research facilities within the Parkville precinct</w:t>
            </w:r>
          </w:p>
          <w:p w14:paraId="3048400D" w14:textId="77777777" w:rsidR="00BC6752" w:rsidRPr="00F71523" w:rsidRDefault="00BC6752" w:rsidP="00CB1C25">
            <w:pPr>
              <w:pStyle w:val="TableBullet1"/>
            </w:pPr>
            <w:r w:rsidRPr="00F71523">
              <w:t>Universities, including The University of Melbourne and RMIT</w:t>
            </w:r>
          </w:p>
          <w:p w14:paraId="5ECE0751" w14:textId="77777777" w:rsidR="00BC6752" w:rsidRPr="00F71523" w:rsidRDefault="00BC6752" w:rsidP="00CB1C25">
            <w:pPr>
              <w:pStyle w:val="TableBullet1"/>
            </w:pPr>
            <w:r w:rsidRPr="00F71523">
              <w:t>Schools, including Melbourne Grammar School (</w:t>
            </w:r>
            <w:proofErr w:type="spellStart"/>
            <w:r w:rsidRPr="00F71523">
              <w:t>Wadhurst</w:t>
            </w:r>
            <w:proofErr w:type="spellEnd"/>
            <w:r w:rsidRPr="00F71523">
              <w:t xml:space="preserve"> Campus) and Christ Church Grammar School</w:t>
            </w:r>
          </w:p>
          <w:p w14:paraId="20FB8B0A" w14:textId="77777777" w:rsidR="00BC6752" w:rsidRPr="00F71523" w:rsidRDefault="00BC6752" w:rsidP="00CB1C25">
            <w:pPr>
              <w:pStyle w:val="TableBullet1"/>
            </w:pPr>
            <w:r w:rsidRPr="00F71523">
              <w:t>Public parks including the Shrine of Remembrance Reserve and JJ Holland Reserve.</w:t>
            </w:r>
          </w:p>
          <w:p w14:paraId="6D11C596" w14:textId="77777777" w:rsidR="00BC6752" w:rsidRPr="00F71523" w:rsidRDefault="00BC6752" w:rsidP="00CB1C25">
            <w:pPr>
              <w:pStyle w:val="TableText"/>
            </w:pPr>
            <w:r w:rsidRPr="00F71523">
              <w:t>Undertake air modelling for construction to inform the dust management plan.</w:t>
            </w:r>
          </w:p>
        </w:tc>
        <w:tc>
          <w:tcPr>
            <w:tcW w:w="1168" w:type="dxa"/>
            <w:hideMark/>
          </w:tcPr>
          <w:p w14:paraId="5DD60C38" w14:textId="77777777" w:rsidR="00BC6752" w:rsidRPr="00F71523" w:rsidRDefault="00BC6752" w:rsidP="00457BDE">
            <w:pPr>
              <w:pStyle w:val="TableText"/>
            </w:pPr>
            <w:r w:rsidRPr="00F71523">
              <w:t>All</w:t>
            </w:r>
          </w:p>
        </w:tc>
        <w:tc>
          <w:tcPr>
            <w:tcW w:w="1276" w:type="dxa"/>
            <w:hideMark/>
          </w:tcPr>
          <w:p w14:paraId="779F9C94" w14:textId="77777777" w:rsidR="00BC6752" w:rsidRPr="00F71523" w:rsidRDefault="00BC6752" w:rsidP="00457BDE">
            <w:pPr>
              <w:pStyle w:val="TableText"/>
            </w:pPr>
            <w:r w:rsidRPr="00F71523">
              <w:t>Construction</w:t>
            </w:r>
          </w:p>
        </w:tc>
        <w:tc>
          <w:tcPr>
            <w:tcW w:w="1383" w:type="dxa"/>
          </w:tcPr>
          <w:p w14:paraId="4146CA9C" w14:textId="35CEFD1F" w:rsidR="00BC6752" w:rsidRPr="00F71523" w:rsidRDefault="00BC6752" w:rsidP="00C712B8">
            <w:pPr>
              <w:pStyle w:val="TableText"/>
              <w:jc w:val="center"/>
            </w:pPr>
            <w:r>
              <w:t xml:space="preserve">AQ001 </w:t>
            </w:r>
            <w:r w:rsidR="00C712B8">
              <w:t xml:space="preserve">to </w:t>
            </w:r>
            <w:r>
              <w:t>AQ010</w:t>
            </w:r>
          </w:p>
        </w:tc>
      </w:tr>
      <w:tr w:rsidR="00BC6752" w:rsidRPr="00F71523" w14:paraId="26766EC3" w14:textId="77777777" w:rsidTr="00CB066E">
        <w:trPr>
          <w:cantSplit/>
        </w:trPr>
        <w:tc>
          <w:tcPr>
            <w:tcW w:w="2046" w:type="dxa"/>
            <w:vMerge/>
            <w:hideMark/>
          </w:tcPr>
          <w:p w14:paraId="0F0CBCC0" w14:textId="77777777" w:rsidR="00BC6752" w:rsidRPr="00F71523" w:rsidRDefault="00BC6752" w:rsidP="00CB1C25">
            <w:pPr>
              <w:pStyle w:val="TableText"/>
            </w:pPr>
          </w:p>
        </w:tc>
        <w:tc>
          <w:tcPr>
            <w:tcW w:w="800" w:type="dxa"/>
            <w:hideMark/>
          </w:tcPr>
          <w:p w14:paraId="76B1D7A8" w14:textId="77777777" w:rsidR="00BC6752" w:rsidRPr="00F71523" w:rsidRDefault="00BC6752" w:rsidP="00953369">
            <w:pPr>
              <w:pStyle w:val="TableText"/>
              <w:jc w:val="center"/>
            </w:pPr>
            <w:r w:rsidRPr="00F71523">
              <w:t>AQ2</w:t>
            </w:r>
          </w:p>
        </w:tc>
        <w:tc>
          <w:tcPr>
            <w:tcW w:w="7894" w:type="dxa"/>
            <w:hideMark/>
          </w:tcPr>
          <w:p w14:paraId="1FAB33EE" w14:textId="4957F966" w:rsidR="00BC6752" w:rsidRPr="00F71523" w:rsidRDefault="00BC6752" w:rsidP="00CB1C25">
            <w:pPr>
              <w:pStyle w:val="TableText"/>
            </w:pPr>
            <w:r w:rsidRPr="00F71523">
              <w:t>Manage construction activities to minimise dust and other emissions in accordance with EPA Publication 480, Environmental Guidelines for Major Construction Sites (EPA 1996).</w:t>
            </w:r>
          </w:p>
        </w:tc>
        <w:tc>
          <w:tcPr>
            <w:tcW w:w="1168" w:type="dxa"/>
            <w:hideMark/>
          </w:tcPr>
          <w:p w14:paraId="05F3FA85" w14:textId="77777777" w:rsidR="00BC6752" w:rsidRPr="00F71523" w:rsidRDefault="00BC6752" w:rsidP="00457BDE">
            <w:pPr>
              <w:pStyle w:val="TableText"/>
            </w:pPr>
            <w:r w:rsidRPr="00F71523">
              <w:t>All</w:t>
            </w:r>
          </w:p>
        </w:tc>
        <w:tc>
          <w:tcPr>
            <w:tcW w:w="1276" w:type="dxa"/>
            <w:hideMark/>
          </w:tcPr>
          <w:p w14:paraId="7BDE779C" w14:textId="77777777" w:rsidR="00BC6752" w:rsidRPr="00F71523" w:rsidRDefault="00BC6752" w:rsidP="00457BDE">
            <w:pPr>
              <w:pStyle w:val="TableText"/>
            </w:pPr>
            <w:r w:rsidRPr="00F71523">
              <w:t>Construction</w:t>
            </w:r>
          </w:p>
        </w:tc>
        <w:tc>
          <w:tcPr>
            <w:tcW w:w="1383" w:type="dxa"/>
          </w:tcPr>
          <w:p w14:paraId="209F9DD3" w14:textId="7456D651" w:rsidR="00BC6752" w:rsidRPr="00F71523" w:rsidRDefault="00BC6752" w:rsidP="00C712B8">
            <w:pPr>
              <w:pStyle w:val="TableText"/>
              <w:jc w:val="center"/>
            </w:pPr>
            <w:r>
              <w:t xml:space="preserve">AQ001 </w:t>
            </w:r>
            <w:r w:rsidR="00C712B8">
              <w:t xml:space="preserve">to </w:t>
            </w:r>
            <w:r>
              <w:t>AQ010</w:t>
            </w:r>
          </w:p>
        </w:tc>
      </w:tr>
      <w:tr w:rsidR="00BC6752" w:rsidRPr="00F71523" w14:paraId="334FCFF8" w14:textId="77777777" w:rsidTr="00CB066E">
        <w:trPr>
          <w:cantSplit/>
        </w:trPr>
        <w:tc>
          <w:tcPr>
            <w:tcW w:w="2046" w:type="dxa"/>
            <w:vMerge/>
            <w:hideMark/>
          </w:tcPr>
          <w:p w14:paraId="2883F0C7" w14:textId="77777777" w:rsidR="00BC6752" w:rsidRPr="00F71523" w:rsidRDefault="00BC6752" w:rsidP="00CB1C25">
            <w:pPr>
              <w:pStyle w:val="TableText"/>
            </w:pPr>
          </w:p>
        </w:tc>
        <w:tc>
          <w:tcPr>
            <w:tcW w:w="800" w:type="dxa"/>
            <w:hideMark/>
          </w:tcPr>
          <w:p w14:paraId="68B8D623" w14:textId="77777777" w:rsidR="00BC6752" w:rsidRPr="00F71523" w:rsidRDefault="00BC6752" w:rsidP="00953369">
            <w:pPr>
              <w:pStyle w:val="TableText"/>
              <w:jc w:val="center"/>
            </w:pPr>
            <w:r w:rsidRPr="00F71523">
              <w:t>AQ3</w:t>
            </w:r>
          </w:p>
        </w:tc>
        <w:tc>
          <w:tcPr>
            <w:tcW w:w="7894" w:type="dxa"/>
            <w:hideMark/>
          </w:tcPr>
          <w:p w14:paraId="15FBE05F" w14:textId="77777777" w:rsidR="00BC6752" w:rsidRPr="00F71523" w:rsidRDefault="00BC6752" w:rsidP="00CB1C25">
            <w:pPr>
              <w:pStyle w:val="TableText"/>
            </w:pPr>
            <w:r w:rsidRPr="00F71523">
              <w:t>Control the emission of smoke, dust, fumes and other pollution into the atmosphere during construction and operation in accordance with the SEPPs for Air Quality Management and Ambient Air Quality.</w:t>
            </w:r>
          </w:p>
        </w:tc>
        <w:tc>
          <w:tcPr>
            <w:tcW w:w="1168" w:type="dxa"/>
            <w:hideMark/>
          </w:tcPr>
          <w:p w14:paraId="7ADB6650" w14:textId="77777777" w:rsidR="00BC6752" w:rsidRPr="00F71523" w:rsidRDefault="00BC6752" w:rsidP="00457BDE">
            <w:pPr>
              <w:pStyle w:val="TableText"/>
            </w:pPr>
            <w:r w:rsidRPr="00F71523">
              <w:t>All</w:t>
            </w:r>
          </w:p>
        </w:tc>
        <w:tc>
          <w:tcPr>
            <w:tcW w:w="1276" w:type="dxa"/>
            <w:hideMark/>
          </w:tcPr>
          <w:p w14:paraId="4DF1080B" w14:textId="77777777" w:rsidR="00BC6752" w:rsidRPr="00F71523" w:rsidRDefault="00BC6752" w:rsidP="00457BDE">
            <w:pPr>
              <w:pStyle w:val="TableText"/>
            </w:pPr>
            <w:r w:rsidRPr="00F71523">
              <w:t>Construction/ Operation</w:t>
            </w:r>
          </w:p>
        </w:tc>
        <w:tc>
          <w:tcPr>
            <w:tcW w:w="1383" w:type="dxa"/>
          </w:tcPr>
          <w:p w14:paraId="32CE66F0" w14:textId="4F1D0053" w:rsidR="00BC6752" w:rsidRPr="00F71523" w:rsidRDefault="00BC6752" w:rsidP="00C712B8">
            <w:pPr>
              <w:pStyle w:val="TableText"/>
              <w:jc w:val="center"/>
            </w:pPr>
            <w:r>
              <w:t xml:space="preserve">AQ001 </w:t>
            </w:r>
            <w:r w:rsidR="00C712B8">
              <w:t>to</w:t>
            </w:r>
            <w:r>
              <w:t xml:space="preserve"> AQ010</w:t>
            </w:r>
          </w:p>
        </w:tc>
      </w:tr>
      <w:tr w:rsidR="00BC6752" w:rsidRPr="00F71523" w14:paraId="0B22B05A" w14:textId="77777777" w:rsidTr="00CB066E">
        <w:trPr>
          <w:cantSplit/>
        </w:trPr>
        <w:tc>
          <w:tcPr>
            <w:tcW w:w="14567" w:type="dxa"/>
            <w:gridSpan w:val="6"/>
            <w:shd w:val="clear" w:color="auto" w:fill="F2F2F2" w:themeFill="background1" w:themeFillShade="F2"/>
            <w:hideMark/>
          </w:tcPr>
          <w:p w14:paraId="17EA1B36" w14:textId="77777777" w:rsidR="00BC6752" w:rsidRPr="00F71523" w:rsidRDefault="00BC6752" w:rsidP="00457BDE">
            <w:pPr>
              <w:pStyle w:val="TableText"/>
              <w:keepNext/>
              <w:keepLines/>
              <w:rPr>
                <w:rStyle w:val="CharacterStyle-Bold"/>
              </w:rPr>
            </w:pPr>
            <w:r w:rsidRPr="00F71523">
              <w:rPr>
                <w:rStyle w:val="CharacterStyle-Bold"/>
              </w:rPr>
              <w:lastRenderedPageBreak/>
              <w:t>Noise &amp; Vibration</w:t>
            </w:r>
          </w:p>
        </w:tc>
      </w:tr>
      <w:tr w:rsidR="00BC6752" w:rsidRPr="00F71523" w14:paraId="6DD027BD" w14:textId="77777777" w:rsidTr="00CB066E">
        <w:trPr>
          <w:cantSplit/>
        </w:trPr>
        <w:tc>
          <w:tcPr>
            <w:tcW w:w="2046" w:type="dxa"/>
            <w:vMerge w:val="restart"/>
            <w:hideMark/>
          </w:tcPr>
          <w:p w14:paraId="4CD415FB" w14:textId="77777777" w:rsidR="00BC6752" w:rsidRPr="00F71523" w:rsidRDefault="00BC6752" w:rsidP="003A707D">
            <w:pPr>
              <w:pStyle w:val="TableText"/>
              <w:keepNext/>
              <w:keepLines/>
            </w:pPr>
            <w:r w:rsidRPr="00F71523">
              <w:t>Amenity: To minimise adverse air quality, noise or vibration effects on the amenity of nearby residents and local communities, as far as practicable, especially during the construction phase</w:t>
            </w:r>
          </w:p>
        </w:tc>
        <w:tc>
          <w:tcPr>
            <w:tcW w:w="800" w:type="dxa"/>
            <w:hideMark/>
          </w:tcPr>
          <w:p w14:paraId="7F5C1B3E" w14:textId="77777777" w:rsidR="00BC6752" w:rsidRPr="00F71523" w:rsidRDefault="00BC6752" w:rsidP="003A707D">
            <w:pPr>
              <w:pStyle w:val="TableText"/>
              <w:keepNext/>
              <w:keepLines/>
              <w:jc w:val="center"/>
            </w:pPr>
            <w:r w:rsidRPr="00F71523">
              <w:t>NV1</w:t>
            </w:r>
          </w:p>
        </w:tc>
        <w:tc>
          <w:tcPr>
            <w:tcW w:w="7894" w:type="dxa"/>
            <w:hideMark/>
          </w:tcPr>
          <w:p w14:paraId="0B8E0A4B" w14:textId="78595EEF" w:rsidR="00BC6752" w:rsidRPr="00F71523" w:rsidRDefault="00BC6752" w:rsidP="003A707D">
            <w:pPr>
              <w:pStyle w:val="TableText"/>
              <w:keepNext/>
              <w:keepLines/>
            </w:pPr>
            <w:r w:rsidRPr="00F71523">
              <w:t>Develop and implement a plan to manage construction noise in accordance with EPA </w:t>
            </w:r>
            <w:r w:rsidR="00776776">
              <w:t>P</w:t>
            </w:r>
            <w:r w:rsidRPr="00F71523">
              <w:t xml:space="preserve">ublication 1254 Noise Control Guidelines. </w:t>
            </w:r>
          </w:p>
        </w:tc>
        <w:tc>
          <w:tcPr>
            <w:tcW w:w="1168" w:type="dxa"/>
            <w:hideMark/>
          </w:tcPr>
          <w:p w14:paraId="632DA0F5" w14:textId="77777777" w:rsidR="00BC6752" w:rsidRPr="00F71523" w:rsidRDefault="00BC6752" w:rsidP="00457BDE">
            <w:pPr>
              <w:pStyle w:val="TableText"/>
              <w:keepNext/>
              <w:keepLines/>
            </w:pPr>
            <w:r w:rsidRPr="00F71523">
              <w:t>All</w:t>
            </w:r>
          </w:p>
        </w:tc>
        <w:tc>
          <w:tcPr>
            <w:tcW w:w="1276" w:type="dxa"/>
            <w:hideMark/>
          </w:tcPr>
          <w:p w14:paraId="6884BC4E" w14:textId="77777777" w:rsidR="00BC6752" w:rsidRPr="00F71523" w:rsidRDefault="00BC6752" w:rsidP="00457BDE">
            <w:pPr>
              <w:pStyle w:val="TableText"/>
              <w:keepNext/>
              <w:keepLines/>
            </w:pPr>
            <w:r w:rsidRPr="00F71523">
              <w:t>Construction</w:t>
            </w:r>
          </w:p>
        </w:tc>
        <w:tc>
          <w:tcPr>
            <w:tcW w:w="1383" w:type="dxa"/>
          </w:tcPr>
          <w:p w14:paraId="4738EC5B" w14:textId="575450D5" w:rsidR="00BC6752" w:rsidRPr="00F71523" w:rsidRDefault="00BC6752" w:rsidP="003A707D">
            <w:pPr>
              <w:pStyle w:val="TableText"/>
              <w:keepNext/>
              <w:keepLines/>
              <w:jc w:val="center"/>
            </w:pPr>
            <w:r w:rsidRPr="00F71523">
              <w:t>NV001</w:t>
            </w:r>
          </w:p>
        </w:tc>
      </w:tr>
      <w:tr w:rsidR="00BC6752" w:rsidRPr="00F71523" w14:paraId="14D84D3C" w14:textId="77777777" w:rsidTr="00CB066E">
        <w:trPr>
          <w:cantSplit/>
        </w:trPr>
        <w:tc>
          <w:tcPr>
            <w:tcW w:w="2046" w:type="dxa"/>
            <w:vMerge/>
            <w:hideMark/>
          </w:tcPr>
          <w:p w14:paraId="65915ED7" w14:textId="77777777" w:rsidR="00BC6752" w:rsidRPr="00F71523" w:rsidRDefault="00BC6752" w:rsidP="00CB1C25">
            <w:pPr>
              <w:pStyle w:val="TableText"/>
            </w:pPr>
          </w:p>
        </w:tc>
        <w:tc>
          <w:tcPr>
            <w:tcW w:w="800" w:type="dxa"/>
            <w:hideMark/>
          </w:tcPr>
          <w:p w14:paraId="14F04E93" w14:textId="77777777" w:rsidR="00BC6752" w:rsidRPr="00F71523" w:rsidRDefault="00BC6752" w:rsidP="00953369">
            <w:pPr>
              <w:pStyle w:val="TableText"/>
              <w:jc w:val="center"/>
            </w:pPr>
            <w:r w:rsidRPr="00F71523">
              <w:t>NV2</w:t>
            </w:r>
          </w:p>
        </w:tc>
        <w:tc>
          <w:tcPr>
            <w:tcW w:w="7894" w:type="dxa"/>
            <w:hideMark/>
          </w:tcPr>
          <w:p w14:paraId="62032987" w14:textId="117E47D7" w:rsidR="00BC6752" w:rsidRPr="00F71523" w:rsidRDefault="00BC6752" w:rsidP="00CB1C25">
            <w:pPr>
              <w:pStyle w:val="TableText"/>
            </w:pPr>
            <w:r w:rsidRPr="00F71523">
              <w:t>For construction works conducted between CBD South station and Domain station, comply with the requirements of the Notification of Referral Decision for the Melbourne Metro Rail Project (EPBC 2015/7549, dated 22 September 2015) under the EPBC Act for vibration monitoring and measurement, as follows:</w:t>
            </w:r>
          </w:p>
          <w:p w14:paraId="2E5D0EDD" w14:textId="2AC1C353" w:rsidR="00BC6752" w:rsidRPr="00F71523" w:rsidRDefault="00BC6752" w:rsidP="00CB1C25">
            <w:pPr>
              <w:pStyle w:val="TableBullet1"/>
            </w:pPr>
            <w:r w:rsidRPr="00F71523">
              <w:t>Conduct pre</w:t>
            </w:r>
            <w:r w:rsidR="00BE48C6">
              <w:t>-</w:t>
            </w:r>
            <w:r w:rsidRPr="00F71523">
              <w:t>construction dilapidation surveys of the nearest Commonwealth Heritage listed structures to the construction activity, including the Former Guardhouse (Block B), to record structural condition and structural integrity prior to commencement of tunnelling</w:t>
            </w:r>
          </w:p>
          <w:p w14:paraId="43100090" w14:textId="77777777" w:rsidR="00BC6752" w:rsidRPr="00F71523" w:rsidRDefault="00BC6752" w:rsidP="00CB1C25">
            <w:pPr>
              <w:pStyle w:val="TableBullet1"/>
            </w:pPr>
            <w:r w:rsidRPr="00F71523">
              <w:t>Conduct vibration monitoring at the commencement of tunnelling in geological conditions that are similar to those at Victoria Barracks in order to quantify the actual tunnel boring machine vibration characteristics (level and frequency) for comparison to the values derived from the literature and the German DIN (DIN 4150) target</w:t>
            </w:r>
          </w:p>
          <w:p w14:paraId="57F26AB4" w14:textId="77777777" w:rsidR="00BC6752" w:rsidRPr="00F71523" w:rsidRDefault="00BC6752" w:rsidP="00CB1C25">
            <w:pPr>
              <w:pStyle w:val="TableBullet1"/>
            </w:pPr>
            <w:r w:rsidRPr="00F71523">
              <w:t>Conduct continuous vibration monitoring at the nearest Victoria Barracks heritage structures to the construction activity, including the Former Guardhouse (B Block), to assess the actual tunnelling vibration for acceptability, taking into account both the vibration frequency and condition of structures, until monitoring of vibration at the Former Guardhouse (B Block) shows measurements equivalent to preconstruction vibration readings at the Former Guardhouse (B Block)</w:t>
            </w:r>
          </w:p>
          <w:p w14:paraId="09F465CB" w14:textId="77777777" w:rsidR="00BC6752" w:rsidRPr="00F71523" w:rsidRDefault="00BC6752" w:rsidP="00CB1C25">
            <w:pPr>
              <w:pStyle w:val="TableBullet1"/>
            </w:pPr>
            <w:r w:rsidRPr="00F71523">
              <w:t>If monitoring conducted according to the above demonstrates the condition of heritage structures may be degraded as a result of vibration, ground vibration must be reduced by adjusting the advance rate of the tunnel boring machine until monitoring of vibration at the Former Guardhouse (B Block) shows consistent measurements equivalent to preconstruction vibration readings at the Former Guardhouse (B Block).</w:t>
            </w:r>
          </w:p>
        </w:tc>
        <w:tc>
          <w:tcPr>
            <w:tcW w:w="1168" w:type="dxa"/>
            <w:hideMark/>
          </w:tcPr>
          <w:p w14:paraId="7FF1CD85" w14:textId="3496B250" w:rsidR="00BC6752" w:rsidRPr="00F71523" w:rsidRDefault="00BC6752" w:rsidP="00457BDE">
            <w:pPr>
              <w:pStyle w:val="TableText"/>
            </w:pPr>
            <w:r w:rsidRPr="00F71523">
              <w:t>1 – Tunnels (between CBD South station and Domain station)</w:t>
            </w:r>
          </w:p>
        </w:tc>
        <w:tc>
          <w:tcPr>
            <w:tcW w:w="1276" w:type="dxa"/>
            <w:hideMark/>
          </w:tcPr>
          <w:p w14:paraId="7A667108" w14:textId="77777777" w:rsidR="00BC6752" w:rsidRPr="00F71523" w:rsidRDefault="00BC6752" w:rsidP="00457BDE">
            <w:pPr>
              <w:pStyle w:val="TableText"/>
            </w:pPr>
            <w:r w:rsidRPr="00F71523">
              <w:t>Construction</w:t>
            </w:r>
          </w:p>
        </w:tc>
        <w:tc>
          <w:tcPr>
            <w:tcW w:w="1383" w:type="dxa"/>
          </w:tcPr>
          <w:p w14:paraId="470B3AB7" w14:textId="01FC9009" w:rsidR="00BC6752" w:rsidRPr="00F71523" w:rsidRDefault="00BC6752" w:rsidP="00451F67">
            <w:pPr>
              <w:pStyle w:val="TableText"/>
              <w:jc w:val="center"/>
            </w:pPr>
            <w:r>
              <w:t>NV002</w:t>
            </w:r>
            <w:r w:rsidR="0089374D">
              <w:t xml:space="preserve">, </w:t>
            </w:r>
            <w:r w:rsidRPr="00F71523">
              <w:t>NV014</w:t>
            </w:r>
          </w:p>
        </w:tc>
      </w:tr>
      <w:tr w:rsidR="00BC6752" w:rsidRPr="00F71523" w14:paraId="24B8F61F" w14:textId="77777777" w:rsidTr="00CB066E">
        <w:trPr>
          <w:cantSplit/>
        </w:trPr>
        <w:tc>
          <w:tcPr>
            <w:tcW w:w="2046" w:type="dxa"/>
            <w:vMerge w:val="restart"/>
          </w:tcPr>
          <w:p w14:paraId="4917A69A" w14:textId="77777777" w:rsidR="00BC6752" w:rsidRPr="00F71523" w:rsidRDefault="00BC6752" w:rsidP="00CB1C25">
            <w:pPr>
              <w:pStyle w:val="TableText"/>
            </w:pPr>
          </w:p>
        </w:tc>
        <w:tc>
          <w:tcPr>
            <w:tcW w:w="800" w:type="dxa"/>
            <w:hideMark/>
          </w:tcPr>
          <w:p w14:paraId="2B5F3771" w14:textId="77777777" w:rsidR="00BC6752" w:rsidRPr="00F71523" w:rsidRDefault="00BC6752" w:rsidP="00953369">
            <w:pPr>
              <w:pStyle w:val="TableText"/>
              <w:jc w:val="center"/>
            </w:pPr>
            <w:r w:rsidRPr="00F71523">
              <w:t>NV3</w:t>
            </w:r>
          </w:p>
        </w:tc>
        <w:tc>
          <w:tcPr>
            <w:tcW w:w="7894" w:type="dxa"/>
            <w:hideMark/>
          </w:tcPr>
          <w:p w14:paraId="7EDEA730" w14:textId="0A7C6327" w:rsidR="00BC6752" w:rsidRPr="00F71523" w:rsidRDefault="00BC6752" w:rsidP="00CB1C25">
            <w:pPr>
              <w:pStyle w:val="TableText"/>
            </w:pPr>
            <w:r w:rsidRPr="00F71523">
              <w:t>Appoint an acoustic and vibration consultant to predict construction noise and vibration (through modelling) and update the modelling to reflect current construction methodology, site conditions and specific equipment noise and vibration levels (this will require noise and vibration measurements). The model would be used to determine appropriate mitigation to achieve the Environmental Performance Requirements.</w:t>
            </w:r>
          </w:p>
          <w:p w14:paraId="3EC0E508" w14:textId="47BB7187" w:rsidR="00BC6752" w:rsidRPr="00F71523" w:rsidRDefault="00BC6752" w:rsidP="006459FD">
            <w:pPr>
              <w:pStyle w:val="TableText"/>
            </w:pPr>
            <w:r w:rsidRPr="00F71523">
              <w:t>The acoustic and vibration consultant will also be required to undertake noise and vibration monitoring to assess levels with respect to Guideline Targets specified in the Environmental Performance Requirements. Where monitoring indicates exceedances of Guideline Targets, apply appropriate management measures as a soon as possible.</w:t>
            </w:r>
          </w:p>
        </w:tc>
        <w:tc>
          <w:tcPr>
            <w:tcW w:w="1168" w:type="dxa"/>
            <w:hideMark/>
          </w:tcPr>
          <w:p w14:paraId="091F42D8" w14:textId="77777777" w:rsidR="00BC6752" w:rsidRPr="00F71523" w:rsidRDefault="00BC6752" w:rsidP="00457BDE">
            <w:pPr>
              <w:pStyle w:val="TableText"/>
            </w:pPr>
            <w:r w:rsidRPr="00F71523">
              <w:t>All</w:t>
            </w:r>
          </w:p>
        </w:tc>
        <w:tc>
          <w:tcPr>
            <w:tcW w:w="1276" w:type="dxa"/>
            <w:hideMark/>
          </w:tcPr>
          <w:p w14:paraId="0F541145" w14:textId="77777777" w:rsidR="00BC6752" w:rsidRPr="00F71523" w:rsidRDefault="00BC6752" w:rsidP="00457BDE">
            <w:pPr>
              <w:pStyle w:val="TableText"/>
            </w:pPr>
            <w:r w:rsidRPr="00F71523">
              <w:t>Construction</w:t>
            </w:r>
          </w:p>
        </w:tc>
        <w:tc>
          <w:tcPr>
            <w:tcW w:w="1383" w:type="dxa"/>
          </w:tcPr>
          <w:p w14:paraId="27272B68" w14:textId="57B69E49" w:rsidR="00BC6752" w:rsidRPr="00F71523" w:rsidRDefault="00BC6752" w:rsidP="00C712B8">
            <w:pPr>
              <w:pStyle w:val="TableText"/>
              <w:jc w:val="center"/>
            </w:pPr>
            <w:r w:rsidRPr="00F71523">
              <w:t>NV001</w:t>
            </w:r>
            <w:r>
              <w:t xml:space="preserve"> </w:t>
            </w:r>
            <w:r w:rsidR="00C712B8">
              <w:t xml:space="preserve">to </w:t>
            </w:r>
            <w:r w:rsidRPr="00F71523">
              <w:t>NV029</w:t>
            </w:r>
          </w:p>
        </w:tc>
      </w:tr>
      <w:tr w:rsidR="00BC6752" w:rsidRPr="00F71523" w14:paraId="4FAE49B0" w14:textId="77777777" w:rsidTr="00CB066E">
        <w:trPr>
          <w:cantSplit/>
        </w:trPr>
        <w:tc>
          <w:tcPr>
            <w:tcW w:w="2046" w:type="dxa"/>
            <w:vMerge/>
          </w:tcPr>
          <w:p w14:paraId="66C6C5B9" w14:textId="77777777" w:rsidR="00BC6752" w:rsidRPr="00F71523" w:rsidRDefault="00BC6752" w:rsidP="00CB1C25">
            <w:pPr>
              <w:pStyle w:val="TableText"/>
            </w:pPr>
          </w:p>
        </w:tc>
        <w:tc>
          <w:tcPr>
            <w:tcW w:w="800" w:type="dxa"/>
            <w:hideMark/>
          </w:tcPr>
          <w:p w14:paraId="729C2877" w14:textId="77777777" w:rsidR="00BC6752" w:rsidRPr="00F71523" w:rsidRDefault="00BC6752" w:rsidP="00953369">
            <w:pPr>
              <w:pStyle w:val="TableText"/>
              <w:jc w:val="center"/>
            </w:pPr>
            <w:r w:rsidRPr="00F71523">
              <w:t>NV4</w:t>
            </w:r>
          </w:p>
        </w:tc>
        <w:tc>
          <w:tcPr>
            <w:tcW w:w="7894" w:type="dxa"/>
            <w:hideMark/>
          </w:tcPr>
          <w:p w14:paraId="6BC94A66" w14:textId="77777777" w:rsidR="00BC6752" w:rsidRPr="00F71523" w:rsidRDefault="00BC6752" w:rsidP="00CB1C25">
            <w:pPr>
              <w:pStyle w:val="TableText"/>
            </w:pPr>
            <w:r w:rsidRPr="00F71523">
              <w:t>Develop and implement a communications plan to liaise with potentially affected community stakeholders and land owners regarding potential noise and vibration impacts. The plan shall include procedures for complaint management.</w:t>
            </w:r>
          </w:p>
        </w:tc>
        <w:tc>
          <w:tcPr>
            <w:tcW w:w="1168" w:type="dxa"/>
            <w:hideMark/>
          </w:tcPr>
          <w:p w14:paraId="24381DEC" w14:textId="77777777" w:rsidR="00BC6752" w:rsidRPr="00F71523" w:rsidRDefault="00BC6752" w:rsidP="00457BDE">
            <w:pPr>
              <w:pStyle w:val="TableText"/>
            </w:pPr>
            <w:r w:rsidRPr="00F71523">
              <w:t>All</w:t>
            </w:r>
          </w:p>
        </w:tc>
        <w:tc>
          <w:tcPr>
            <w:tcW w:w="1276" w:type="dxa"/>
            <w:hideMark/>
          </w:tcPr>
          <w:p w14:paraId="17E0ABBF" w14:textId="77777777" w:rsidR="00BC6752" w:rsidRPr="00F71523" w:rsidRDefault="00BC6752" w:rsidP="00457BDE">
            <w:pPr>
              <w:pStyle w:val="TableText"/>
            </w:pPr>
            <w:r w:rsidRPr="00F71523">
              <w:t>Construction</w:t>
            </w:r>
          </w:p>
        </w:tc>
        <w:tc>
          <w:tcPr>
            <w:tcW w:w="1383" w:type="dxa"/>
          </w:tcPr>
          <w:p w14:paraId="21297D07" w14:textId="48B5AD86" w:rsidR="00BC6752" w:rsidRPr="00F71523" w:rsidRDefault="00BC6752" w:rsidP="00C712B8">
            <w:pPr>
              <w:pStyle w:val="TableText"/>
              <w:jc w:val="center"/>
            </w:pPr>
            <w:r>
              <w:t xml:space="preserve">NV001 </w:t>
            </w:r>
            <w:r w:rsidR="00C712B8">
              <w:t xml:space="preserve">to </w:t>
            </w:r>
            <w:r w:rsidRPr="00F71523">
              <w:t>NV029</w:t>
            </w:r>
          </w:p>
        </w:tc>
      </w:tr>
      <w:tr w:rsidR="00BC6752" w:rsidRPr="00F71523" w14:paraId="403A30AA" w14:textId="77777777" w:rsidTr="00CB066E">
        <w:trPr>
          <w:cantSplit/>
        </w:trPr>
        <w:tc>
          <w:tcPr>
            <w:tcW w:w="2046" w:type="dxa"/>
            <w:vMerge/>
          </w:tcPr>
          <w:p w14:paraId="03524317" w14:textId="77777777" w:rsidR="00BC6752" w:rsidRPr="00F71523" w:rsidRDefault="00BC6752" w:rsidP="00CB1C25">
            <w:pPr>
              <w:pStyle w:val="TableText"/>
            </w:pPr>
          </w:p>
        </w:tc>
        <w:tc>
          <w:tcPr>
            <w:tcW w:w="800" w:type="dxa"/>
          </w:tcPr>
          <w:p w14:paraId="05E474D1" w14:textId="58ADDD89" w:rsidR="00BC6752" w:rsidRPr="00F71523" w:rsidRDefault="00BC6752" w:rsidP="00953369">
            <w:pPr>
              <w:pStyle w:val="TableText"/>
              <w:jc w:val="center"/>
              <w:rPr>
                <w:highlight w:val="green"/>
              </w:rPr>
            </w:pPr>
            <w:r w:rsidRPr="00F71523">
              <w:t>NV5</w:t>
            </w:r>
          </w:p>
        </w:tc>
        <w:tc>
          <w:tcPr>
            <w:tcW w:w="7894" w:type="dxa"/>
          </w:tcPr>
          <w:p w14:paraId="01A51F0E" w14:textId="722C449B" w:rsidR="00D064F5" w:rsidRPr="00CB066E" w:rsidRDefault="004B35EB" w:rsidP="00D064F5">
            <w:pPr>
              <w:pStyle w:val="TableText"/>
              <w:rPr>
                <w:b/>
                <w:u w:val="single"/>
              </w:rPr>
            </w:pPr>
            <w:r>
              <w:rPr>
                <w:b/>
                <w:u w:val="single"/>
              </w:rPr>
              <w:t>Airborne Construction</w:t>
            </w:r>
            <w:r w:rsidR="00D064F5" w:rsidRPr="00CB066E">
              <w:rPr>
                <w:b/>
                <w:u w:val="single"/>
              </w:rPr>
              <w:t xml:space="preserve"> Noise Guideline Targets</w:t>
            </w:r>
            <w:r>
              <w:rPr>
                <w:b/>
                <w:u w:val="single"/>
              </w:rPr>
              <w:t xml:space="preserve"> </w:t>
            </w:r>
            <w:r w:rsidRPr="00BA7C7C">
              <w:rPr>
                <w:b/>
                <w:u w:val="single"/>
              </w:rPr>
              <w:t>(Internal)</w:t>
            </w:r>
          </w:p>
          <w:p w14:paraId="017BEB5C" w14:textId="0BB4E6A2" w:rsidR="00BC6752" w:rsidRPr="00F71523" w:rsidRDefault="00BC6752" w:rsidP="00D064F5">
            <w:pPr>
              <w:pStyle w:val="TableText"/>
              <w:rPr>
                <w:highlight w:val="yellow"/>
              </w:rPr>
            </w:pPr>
            <w:r w:rsidRPr="00F71523">
              <w:t xml:space="preserve">Implement management actions if construction noise exceeds the internal noise levels below for Highly Sensitive Areas (based on AS/NZS 2107:2000) and a noise sensitive receptor is adversely impacted. </w:t>
            </w:r>
          </w:p>
          <w:tbl>
            <w:tblPr>
              <w:tblStyle w:val="RowMainTableStyle"/>
              <w:tblW w:w="0" w:type="auto"/>
              <w:tblLayout w:type="fixed"/>
              <w:tblLook w:val="0400" w:firstRow="0" w:lastRow="0" w:firstColumn="0" w:lastColumn="0" w:noHBand="0" w:noVBand="1"/>
            </w:tblPr>
            <w:tblGrid>
              <w:gridCol w:w="3391"/>
              <w:gridCol w:w="4101"/>
            </w:tblGrid>
            <w:tr w:rsidR="00BC6752" w:rsidRPr="00F71523" w14:paraId="46C31BF3" w14:textId="77777777" w:rsidTr="00AA73EF">
              <w:trPr>
                <w:cantSplit/>
              </w:trPr>
              <w:tc>
                <w:tcPr>
                  <w:tcW w:w="3391" w:type="dxa"/>
                  <w:shd w:val="clear" w:color="auto" w:fill="F2F2F2" w:themeFill="background1" w:themeFillShade="F2"/>
                  <w:vAlign w:val="bottom"/>
                  <w:hideMark/>
                </w:tcPr>
                <w:p w14:paraId="0A00E0C6" w14:textId="77777777" w:rsidR="00BC6752" w:rsidRPr="00F71523" w:rsidRDefault="00BC6752" w:rsidP="00B8001A">
                  <w:pPr>
                    <w:pStyle w:val="TableText"/>
                    <w:keepNext/>
                    <w:keepLines/>
                    <w:rPr>
                      <w:b/>
                    </w:rPr>
                  </w:pPr>
                  <w:r w:rsidRPr="00F71523">
                    <w:rPr>
                      <w:b/>
                    </w:rPr>
                    <w:t>Highly Sensitive Area</w:t>
                  </w:r>
                </w:p>
              </w:tc>
              <w:tc>
                <w:tcPr>
                  <w:tcW w:w="4101" w:type="dxa"/>
                  <w:shd w:val="clear" w:color="auto" w:fill="F2F2F2" w:themeFill="background1" w:themeFillShade="F2"/>
                  <w:vAlign w:val="bottom"/>
                  <w:hideMark/>
                </w:tcPr>
                <w:p w14:paraId="64C72429" w14:textId="54D52E13" w:rsidR="00BC6752" w:rsidRPr="00F71523" w:rsidRDefault="00BC6752" w:rsidP="00B8001A">
                  <w:pPr>
                    <w:pStyle w:val="TableText"/>
                    <w:keepNext/>
                    <w:keepLines/>
                    <w:jc w:val="center"/>
                    <w:rPr>
                      <w:b/>
                    </w:rPr>
                  </w:pPr>
                  <w:r w:rsidRPr="00F71523">
                    <w:rPr>
                      <w:b/>
                    </w:rPr>
                    <w:t>Maximum Internal Construction Noise Level</w:t>
                  </w:r>
                  <w:r w:rsidRPr="00F71523">
                    <w:rPr>
                      <w:b/>
                    </w:rPr>
                    <w:br/>
                  </w:r>
                  <w:proofErr w:type="spellStart"/>
                  <w:r w:rsidRPr="00F71523">
                    <w:rPr>
                      <w:b/>
                    </w:rPr>
                    <w:t>L</w:t>
                  </w:r>
                  <w:r w:rsidRPr="00F71523">
                    <w:rPr>
                      <w:b/>
                      <w:vertAlign w:val="subscript"/>
                    </w:rPr>
                    <w:t>Aeq</w:t>
                  </w:r>
                  <w:proofErr w:type="spellEnd"/>
                  <w:r w:rsidRPr="00F71523">
                    <w:rPr>
                      <w:b/>
                      <w:vertAlign w:val="subscript"/>
                    </w:rPr>
                    <w:t>, 15 mins</w:t>
                  </w:r>
                </w:p>
              </w:tc>
            </w:tr>
            <w:tr w:rsidR="00BC6752" w:rsidRPr="00F71523" w14:paraId="753E0236" w14:textId="77777777" w:rsidTr="00AA73EF">
              <w:trPr>
                <w:cantSplit/>
              </w:trPr>
              <w:tc>
                <w:tcPr>
                  <w:tcW w:w="3391" w:type="dxa"/>
                </w:tcPr>
                <w:p w14:paraId="46141810" w14:textId="77777777" w:rsidR="00BC6752" w:rsidRPr="00F71523" w:rsidRDefault="00BC6752" w:rsidP="003A707D">
                  <w:pPr>
                    <w:pStyle w:val="TableText"/>
                    <w:rPr>
                      <w:b/>
                    </w:rPr>
                  </w:pPr>
                  <w:r w:rsidRPr="00F71523">
                    <w:t>Intensive Care Wards</w:t>
                  </w:r>
                </w:p>
              </w:tc>
              <w:tc>
                <w:tcPr>
                  <w:tcW w:w="4101" w:type="dxa"/>
                </w:tcPr>
                <w:p w14:paraId="0BEBEF0A" w14:textId="77777777" w:rsidR="00BC6752" w:rsidRPr="00F71523" w:rsidRDefault="00BC6752" w:rsidP="00884D21">
                  <w:pPr>
                    <w:pStyle w:val="TableText"/>
                    <w:jc w:val="center"/>
                  </w:pPr>
                  <w:r w:rsidRPr="00F71523">
                    <w:t>45</w:t>
                  </w:r>
                </w:p>
              </w:tc>
            </w:tr>
            <w:tr w:rsidR="00BC6752" w:rsidRPr="00F71523" w14:paraId="42BCEF9A" w14:textId="77777777" w:rsidTr="00AA73EF">
              <w:trPr>
                <w:cantSplit/>
              </w:trPr>
              <w:tc>
                <w:tcPr>
                  <w:tcW w:w="3391" w:type="dxa"/>
                </w:tcPr>
                <w:p w14:paraId="66E7B891" w14:textId="77777777" w:rsidR="00BC6752" w:rsidRPr="00F71523" w:rsidRDefault="00BC6752" w:rsidP="003A707D">
                  <w:pPr>
                    <w:pStyle w:val="TableText"/>
                    <w:rPr>
                      <w:b/>
                    </w:rPr>
                  </w:pPr>
                  <w:r w:rsidRPr="00F71523">
                    <w:t>Operating Theatres</w:t>
                  </w:r>
                </w:p>
              </w:tc>
              <w:tc>
                <w:tcPr>
                  <w:tcW w:w="4101" w:type="dxa"/>
                </w:tcPr>
                <w:p w14:paraId="62A0828B" w14:textId="77777777" w:rsidR="00BC6752" w:rsidRPr="00F71523" w:rsidRDefault="00BC6752" w:rsidP="00884D21">
                  <w:pPr>
                    <w:pStyle w:val="TableText"/>
                    <w:jc w:val="center"/>
                  </w:pPr>
                  <w:r w:rsidRPr="00F71523">
                    <w:t>45</w:t>
                  </w:r>
                </w:p>
              </w:tc>
            </w:tr>
            <w:tr w:rsidR="00BC6752" w:rsidRPr="00F71523" w14:paraId="002D58F4" w14:textId="77777777" w:rsidTr="00AA73EF">
              <w:trPr>
                <w:cantSplit/>
              </w:trPr>
              <w:tc>
                <w:tcPr>
                  <w:tcW w:w="3391" w:type="dxa"/>
                  <w:tcBorders>
                    <w:bottom w:val="single" w:sz="4" w:space="0" w:color="A59C94" w:themeColor="accent3"/>
                  </w:tcBorders>
                </w:tcPr>
                <w:p w14:paraId="6540D05E" w14:textId="77777777" w:rsidR="00BC6752" w:rsidRPr="00F71523" w:rsidRDefault="00BC6752" w:rsidP="003A707D">
                  <w:pPr>
                    <w:pStyle w:val="TableText"/>
                    <w:rPr>
                      <w:b/>
                    </w:rPr>
                  </w:pPr>
                  <w:r w:rsidRPr="00F71523">
                    <w:t>Surgeries</w:t>
                  </w:r>
                </w:p>
              </w:tc>
              <w:tc>
                <w:tcPr>
                  <w:tcW w:w="4101" w:type="dxa"/>
                  <w:tcBorders>
                    <w:bottom w:val="single" w:sz="4" w:space="0" w:color="A59C94" w:themeColor="accent3"/>
                  </w:tcBorders>
                </w:tcPr>
                <w:p w14:paraId="028695CC" w14:textId="77777777" w:rsidR="00BC6752" w:rsidRPr="00F71523" w:rsidRDefault="00BC6752" w:rsidP="00884D21">
                  <w:pPr>
                    <w:pStyle w:val="TableText"/>
                    <w:jc w:val="center"/>
                  </w:pPr>
                  <w:r w:rsidRPr="00F71523">
                    <w:t>45</w:t>
                  </w:r>
                </w:p>
              </w:tc>
            </w:tr>
            <w:tr w:rsidR="00BC6752" w:rsidRPr="00F71523" w14:paraId="1008A94E" w14:textId="77777777" w:rsidTr="00AA73EF">
              <w:trPr>
                <w:cantSplit/>
              </w:trPr>
              <w:tc>
                <w:tcPr>
                  <w:tcW w:w="3391" w:type="dxa"/>
                  <w:tcBorders>
                    <w:bottom w:val="nil"/>
                  </w:tcBorders>
                </w:tcPr>
                <w:p w14:paraId="66BA31B4" w14:textId="77777777" w:rsidR="00BC6752" w:rsidRPr="00F71523" w:rsidRDefault="00BC6752" w:rsidP="003A707D">
                  <w:pPr>
                    <w:pStyle w:val="TableText"/>
                    <w:rPr>
                      <w:b/>
                    </w:rPr>
                  </w:pPr>
                  <w:r w:rsidRPr="00F71523">
                    <w:t>Wards</w:t>
                  </w:r>
                </w:p>
              </w:tc>
              <w:tc>
                <w:tcPr>
                  <w:tcW w:w="4101" w:type="dxa"/>
                  <w:tcBorders>
                    <w:bottom w:val="nil"/>
                  </w:tcBorders>
                </w:tcPr>
                <w:p w14:paraId="1011A58C" w14:textId="77777777" w:rsidR="00BC6752" w:rsidRPr="00F71523" w:rsidRDefault="00BC6752" w:rsidP="00884D21">
                  <w:pPr>
                    <w:pStyle w:val="TableText"/>
                    <w:jc w:val="center"/>
                  </w:pPr>
                  <w:r w:rsidRPr="00F71523">
                    <w:t>40</w:t>
                  </w:r>
                </w:p>
              </w:tc>
            </w:tr>
          </w:tbl>
          <w:p w14:paraId="286236E5" w14:textId="77777777" w:rsidR="00BC6752" w:rsidRPr="00F71523" w:rsidRDefault="00BC6752" w:rsidP="008A6688">
            <w:pPr>
              <w:pStyle w:val="TableText"/>
              <w:numPr>
                <w:ilvl w:val="0"/>
                <w:numId w:val="0"/>
              </w:numPr>
            </w:pPr>
          </w:p>
        </w:tc>
        <w:tc>
          <w:tcPr>
            <w:tcW w:w="1168" w:type="dxa"/>
          </w:tcPr>
          <w:p w14:paraId="5AE0A5CF" w14:textId="006EEED2" w:rsidR="00BC6752" w:rsidRPr="00F71523" w:rsidRDefault="00BC6752" w:rsidP="00457BDE">
            <w:pPr>
              <w:pStyle w:val="TableText"/>
            </w:pPr>
            <w:r w:rsidRPr="00F71523">
              <w:t>All</w:t>
            </w:r>
          </w:p>
        </w:tc>
        <w:tc>
          <w:tcPr>
            <w:tcW w:w="1276" w:type="dxa"/>
          </w:tcPr>
          <w:p w14:paraId="7745D85A" w14:textId="3ACCAC2E" w:rsidR="00BC6752" w:rsidRPr="00F71523" w:rsidRDefault="00BC6752" w:rsidP="00457BDE">
            <w:pPr>
              <w:pStyle w:val="TableText"/>
            </w:pPr>
            <w:r w:rsidRPr="00F71523">
              <w:t>Construction</w:t>
            </w:r>
          </w:p>
        </w:tc>
        <w:tc>
          <w:tcPr>
            <w:tcW w:w="1383" w:type="dxa"/>
          </w:tcPr>
          <w:p w14:paraId="4D89F2F3" w14:textId="1BC3C5F2" w:rsidR="00BC6752" w:rsidRPr="00F71523" w:rsidRDefault="00BC6752" w:rsidP="00953369">
            <w:pPr>
              <w:pStyle w:val="TableText"/>
              <w:jc w:val="center"/>
            </w:pPr>
            <w:r w:rsidRPr="00F71523">
              <w:t>NV001</w:t>
            </w:r>
          </w:p>
        </w:tc>
      </w:tr>
      <w:tr w:rsidR="00BC6752" w:rsidRPr="00F71523" w14:paraId="0AF3AF3D" w14:textId="77777777" w:rsidTr="00CB066E">
        <w:trPr>
          <w:cantSplit/>
        </w:trPr>
        <w:tc>
          <w:tcPr>
            <w:tcW w:w="2046" w:type="dxa"/>
          </w:tcPr>
          <w:p w14:paraId="6C4DBE1A" w14:textId="77777777" w:rsidR="00BC6752" w:rsidRPr="00F71523" w:rsidRDefault="00BC6752" w:rsidP="00CB1C25">
            <w:pPr>
              <w:pStyle w:val="TableText"/>
            </w:pPr>
          </w:p>
        </w:tc>
        <w:tc>
          <w:tcPr>
            <w:tcW w:w="800" w:type="dxa"/>
            <w:hideMark/>
          </w:tcPr>
          <w:p w14:paraId="7D82CB20" w14:textId="4E9B4994" w:rsidR="00BC6752" w:rsidRPr="00F71523" w:rsidRDefault="00BC6752" w:rsidP="00953369">
            <w:pPr>
              <w:pStyle w:val="TableText"/>
              <w:jc w:val="center"/>
            </w:pPr>
            <w:r w:rsidRPr="00F71523">
              <w:t>NV6</w:t>
            </w:r>
          </w:p>
        </w:tc>
        <w:tc>
          <w:tcPr>
            <w:tcW w:w="7894" w:type="dxa"/>
            <w:hideMark/>
          </w:tcPr>
          <w:p w14:paraId="6498B2D3" w14:textId="77777777" w:rsidR="00D064F5" w:rsidRPr="00CB066E" w:rsidRDefault="00D064F5" w:rsidP="00D064F5">
            <w:pPr>
              <w:pStyle w:val="TableText"/>
              <w:rPr>
                <w:b/>
                <w:u w:val="single"/>
              </w:rPr>
            </w:pPr>
            <w:r w:rsidRPr="00CB066E">
              <w:rPr>
                <w:b/>
                <w:u w:val="single"/>
              </w:rPr>
              <w:t>Vibration Guideline Targets for Structures</w:t>
            </w:r>
          </w:p>
          <w:p w14:paraId="1DB7892E" w14:textId="25660B60" w:rsidR="00BC6752" w:rsidRPr="00F71523" w:rsidRDefault="00BC6752" w:rsidP="00D064F5">
            <w:pPr>
              <w:pStyle w:val="TableText"/>
            </w:pPr>
            <w:r w:rsidRPr="00F71523">
              <w:t>Implement management actions if due to construction activity, the following DIN 4150 Guideline Targets for structural damage to buildings (for short-term vibration or long-term vibration) are not achieved.</w:t>
            </w:r>
          </w:p>
          <w:p w14:paraId="25167B9C" w14:textId="77777777" w:rsidR="00BC6752" w:rsidRPr="00F71523" w:rsidRDefault="00BC6752" w:rsidP="00D064F5">
            <w:pPr>
              <w:pStyle w:val="TableText"/>
              <w:rPr>
                <w:rStyle w:val="CharacterStyle-DarkColour"/>
                <w:b/>
              </w:rPr>
            </w:pPr>
            <w:r w:rsidRPr="00F71523">
              <w:rPr>
                <w:rStyle w:val="CharacterStyle-DarkColour"/>
                <w:b/>
              </w:rPr>
              <w:t>Short-term vibration on structures</w:t>
            </w:r>
          </w:p>
          <w:tbl>
            <w:tblPr>
              <w:tblStyle w:val="RowMainTableStyle"/>
              <w:tblW w:w="0" w:type="auto"/>
              <w:tblLayout w:type="fixed"/>
              <w:tblLook w:val="0400" w:firstRow="0" w:lastRow="0" w:firstColumn="0" w:lastColumn="0" w:noHBand="0" w:noVBand="1"/>
            </w:tblPr>
            <w:tblGrid>
              <w:gridCol w:w="2468"/>
              <w:gridCol w:w="882"/>
              <w:gridCol w:w="884"/>
              <w:gridCol w:w="1000"/>
              <w:gridCol w:w="2268"/>
            </w:tblGrid>
            <w:tr w:rsidR="00BC6752" w:rsidRPr="00F71523" w14:paraId="282A42B3" w14:textId="77777777" w:rsidTr="00AA73EF">
              <w:trPr>
                <w:cantSplit/>
              </w:trPr>
              <w:tc>
                <w:tcPr>
                  <w:tcW w:w="2468" w:type="dxa"/>
                  <w:vMerge w:val="restart"/>
                  <w:shd w:val="clear" w:color="auto" w:fill="F2F2F2" w:themeFill="background1" w:themeFillShade="F2"/>
                  <w:vAlign w:val="bottom"/>
                  <w:hideMark/>
                </w:tcPr>
                <w:p w14:paraId="6A90D79A" w14:textId="77777777" w:rsidR="00BC6752" w:rsidRPr="00F71523" w:rsidRDefault="00BC6752" w:rsidP="001C1CBE">
                  <w:pPr>
                    <w:pStyle w:val="TableText"/>
                    <w:spacing w:before="60" w:after="60"/>
                    <w:rPr>
                      <w:b/>
                    </w:rPr>
                  </w:pPr>
                  <w:r w:rsidRPr="00F71523">
                    <w:rPr>
                      <w:b/>
                    </w:rPr>
                    <w:t>Type of structure</w:t>
                  </w:r>
                </w:p>
              </w:tc>
              <w:tc>
                <w:tcPr>
                  <w:tcW w:w="2766" w:type="dxa"/>
                  <w:gridSpan w:val="3"/>
                  <w:shd w:val="clear" w:color="auto" w:fill="F2F2F2" w:themeFill="background1" w:themeFillShade="F2"/>
                  <w:vAlign w:val="bottom"/>
                  <w:hideMark/>
                </w:tcPr>
                <w:p w14:paraId="51AC172B" w14:textId="77777777" w:rsidR="00BC6752" w:rsidRPr="00F71523" w:rsidRDefault="00BC6752" w:rsidP="001C1CBE">
                  <w:pPr>
                    <w:pStyle w:val="TableText"/>
                    <w:spacing w:before="60" w:after="60"/>
                    <w:jc w:val="center"/>
                    <w:rPr>
                      <w:b/>
                    </w:rPr>
                  </w:pPr>
                  <w:r w:rsidRPr="00F71523">
                    <w:rPr>
                      <w:b/>
                    </w:rPr>
                    <w:t>Vibration at the foundation, mm/s (Peak Component Particle Velocity)</w:t>
                  </w:r>
                </w:p>
              </w:tc>
              <w:tc>
                <w:tcPr>
                  <w:tcW w:w="2268" w:type="dxa"/>
                  <w:shd w:val="clear" w:color="auto" w:fill="F2F2F2" w:themeFill="background1" w:themeFillShade="F2"/>
                  <w:vAlign w:val="bottom"/>
                  <w:hideMark/>
                </w:tcPr>
                <w:p w14:paraId="5201BFDC" w14:textId="77777777" w:rsidR="00BC6752" w:rsidRPr="00F71523" w:rsidRDefault="00BC6752" w:rsidP="001C1CBE">
                  <w:pPr>
                    <w:pStyle w:val="TableText"/>
                    <w:spacing w:before="60" w:after="60"/>
                    <w:jc w:val="center"/>
                    <w:rPr>
                      <w:b/>
                    </w:rPr>
                  </w:pPr>
                  <w:r w:rsidRPr="00F71523">
                    <w:rPr>
                      <w:b/>
                    </w:rPr>
                    <w:t>Vibration at horizontal plane of highest floor at all frequencies</w:t>
                  </w:r>
                </w:p>
              </w:tc>
            </w:tr>
            <w:tr w:rsidR="00BC6752" w:rsidRPr="00F71523" w14:paraId="207F8C4C" w14:textId="77777777" w:rsidTr="00AA73EF">
              <w:trPr>
                <w:cantSplit/>
              </w:trPr>
              <w:tc>
                <w:tcPr>
                  <w:tcW w:w="2468" w:type="dxa"/>
                  <w:vMerge/>
                  <w:shd w:val="clear" w:color="auto" w:fill="F2F2F2" w:themeFill="background1" w:themeFillShade="F2"/>
                  <w:vAlign w:val="bottom"/>
                </w:tcPr>
                <w:p w14:paraId="784D9674" w14:textId="77777777" w:rsidR="00BC6752" w:rsidRPr="00F71523" w:rsidRDefault="00BC6752" w:rsidP="001C1CBE">
                  <w:pPr>
                    <w:pStyle w:val="TableText"/>
                    <w:spacing w:before="60" w:after="60"/>
                    <w:rPr>
                      <w:b/>
                    </w:rPr>
                  </w:pPr>
                </w:p>
              </w:tc>
              <w:tc>
                <w:tcPr>
                  <w:tcW w:w="882" w:type="dxa"/>
                  <w:shd w:val="clear" w:color="auto" w:fill="F2F2F2" w:themeFill="background1" w:themeFillShade="F2"/>
                  <w:tcMar>
                    <w:left w:w="28" w:type="dxa"/>
                    <w:right w:w="28" w:type="dxa"/>
                  </w:tcMar>
                  <w:vAlign w:val="bottom"/>
                </w:tcPr>
                <w:p w14:paraId="5391E0A4" w14:textId="03FC94F7" w:rsidR="00BC6752" w:rsidRPr="00F71523" w:rsidRDefault="00BC6752" w:rsidP="001C1CBE">
                  <w:pPr>
                    <w:pStyle w:val="TableText"/>
                    <w:spacing w:before="60" w:after="60"/>
                    <w:jc w:val="center"/>
                    <w:rPr>
                      <w:b/>
                    </w:rPr>
                  </w:pPr>
                  <w:r w:rsidRPr="00F71523">
                    <w:rPr>
                      <w:b/>
                    </w:rPr>
                    <w:t xml:space="preserve">1 to 10 </w:t>
                  </w:r>
                  <w:r w:rsidRPr="00F71523">
                    <w:rPr>
                      <w:b/>
                    </w:rPr>
                    <w:br/>
                    <w:t>Hz</w:t>
                  </w:r>
                </w:p>
              </w:tc>
              <w:tc>
                <w:tcPr>
                  <w:tcW w:w="884" w:type="dxa"/>
                  <w:shd w:val="clear" w:color="auto" w:fill="F2F2F2" w:themeFill="background1" w:themeFillShade="F2"/>
                  <w:tcMar>
                    <w:left w:w="28" w:type="dxa"/>
                    <w:right w:w="28" w:type="dxa"/>
                  </w:tcMar>
                  <w:vAlign w:val="bottom"/>
                </w:tcPr>
                <w:p w14:paraId="1E63E133" w14:textId="77777777" w:rsidR="00BC6752" w:rsidRPr="00F71523" w:rsidRDefault="00BC6752" w:rsidP="001C1CBE">
                  <w:pPr>
                    <w:pStyle w:val="TableText"/>
                    <w:spacing w:before="60" w:after="60"/>
                    <w:jc w:val="center"/>
                    <w:rPr>
                      <w:b/>
                    </w:rPr>
                  </w:pPr>
                  <w:r w:rsidRPr="00F71523">
                    <w:rPr>
                      <w:b/>
                    </w:rPr>
                    <w:t>10 to 50 Hz</w:t>
                  </w:r>
                </w:p>
              </w:tc>
              <w:tc>
                <w:tcPr>
                  <w:tcW w:w="1000" w:type="dxa"/>
                  <w:shd w:val="clear" w:color="auto" w:fill="F2F2F2" w:themeFill="background1" w:themeFillShade="F2"/>
                  <w:tcMar>
                    <w:left w:w="28" w:type="dxa"/>
                    <w:right w:w="28" w:type="dxa"/>
                  </w:tcMar>
                  <w:vAlign w:val="bottom"/>
                </w:tcPr>
                <w:p w14:paraId="78C33166" w14:textId="77777777" w:rsidR="00BC6752" w:rsidRPr="00F71523" w:rsidRDefault="00BC6752" w:rsidP="001C1CBE">
                  <w:pPr>
                    <w:pStyle w:val="TableText"/>
                    <w:spacing w:before="60" w:after="60"/>
                    <w:jc w:val="center"/>
                    <w:rPr>
                      <w:b/>
                    </w:rPr>
                  </w:pPr>
                  <w:r w:rsidRPr="00F71523">
                    <w:rPr>
                      <w:b/>
                    </w:rPr>
                    <w:t>50 to 100 Hz</w:t>
                  </w:r>
                  <w:r w:rsidRPr="00F71523">
                    <w:rPr>
                      <w:b/>
                      <w:vertAlign w:val="superscript"/>
                    </w:rPr>
                    <w:t>1</w:t>
                  </w:r>
                </w:p>
              </w:tc>
              <w:tc>
                <w:tcPr>
                  <w:tcW w:w="2268" w:type="dxa"/>
                  <w:shd w:val="clear" w:color="auto" w:fill="F2F2F2" w:themeFill="background1" w:themeFillShade="F2"/>
                  <w:vAlign w:val="bottom"/>
                </w:tcPr>
                <w:p w14:paraId="734B0805" w14:textId="77777777" w:rsidR="00BC6752" w:rsidRPr="00F71523" w:rsidRDefault="00BC6752" w:rsidP="001C1CBE">
                  <w:pPr>
                    <w:pStyle w:val="TableText"/>
                    <w:spacing w:before="60" w:after="60"/>
                    <w:jc w:val="center"/>
                    <w:rPr>
                      <w:b/>
                    </w:rPr>
                  </w:pPr>
                  <w:r w:rsidRPr="00F71523">
                    <w:rPr>
                      <w:b/>
                    </w:rPr>
                    <w:t>mm/s (Peak Component Particle Velocity)</w:t>
                  </w:r>
                </w:p>
              </w:tc>
            </w:tr>
            <w:tr w:rsidR="00BC6752" w:rsidRPr="00F71523" w14:paraId="3BD00A91" w14:textId="77777777" w:rsidTr="00AA73EF">
              <w:trPr>
                <w:cantSplit/>
              </w:trPr>
              <w:tc>
                <w:tcPr>
                  <w:tcW w:w="2468" w:type="dxa"/>
                  <w:hideMark/>
                </w:tcPr>
                <w:p w14:paraId="5836096A" w14:textId="77777777" w:rsidR="00BC6752" w:rsidRPr="00F71523" w:rsidRDefault="00BC6752" w:rsidP="001C1CBE">
                  <w:pPr>
                    <w:pStyle w:val="TableText"/>
                    <w:spacing w:before="60" w:after="60"/>
                  </w:pPr>
                  <w:r w:rsidRPr="00F71523">
                    <w:t>Type 1: Buildings used for commercial purposes, industrial buildings and buildings of similar design</w:t>
                  </w:r>
                </w:p>
              </w:tc>
              <w:tc>
                <w:tcPr>
                  <w:tcW w:w="882" w:type="dxa"/>
                  <w:tcMar>
                    <w:left w:w="28" w:type="dxa"/>
                    <w:right w:w="28" w:type="dxa"/>
                  </w:tcMar>
                  <w:hideMark/>
                </w:tcPr>
                <w:p w14:paraId="2C13FE20" w14:textId="77777777" w:rsidR="00BC6752" w:rsidRPr="00F71523" w:rsidRDefault="00BC6752" w:rsidP="001C1CBE">
                  <w:pPr>
                    <w:pStyle w:val="TableText"/>
                    <w:spacing w:before="60" w:after="60"/>
                    <w:jc w:val="center"/>
                  </w:pPr>
                  <w:r w:rsidRPr="00F71523">
                    <w:t>20</w:t>
                  </w:r>
                </w:p>
              </w:tc>
              <w:tc>
                <w:tcPr>
                  <w:tcW w:w="884" w:type="dxa"/>
                  <w:tcMar>
                    <w:left w:w="28" w:type="dxa"/>
                    <w:right w:w="28" w:type="dxa"/>
                  </w:tcMar>
                  <w:hideMark/>
                </w:tcPr>
                <w:p w14:paraId="1608EA91" w14:textId="77777777" w:rsidR="00BC6752" w:rsidRPr="00F71523" w:rsidRDefault="00BC6752" w:rsidP="001C1CBE">
                  <w:pPr>
                    <w:pStyle w:val="TableText"/>
                    <w:spacing w:before="60" w:after="60"/>
                    <w:jc w:val="center"/>
                  </w:pPr>
                  <w:r w:rsidRPr="00F71523">
                    <w:t>20 to 40</w:t>
                  </w:r>
                </w:p>
              </w:tc>
              <w:tc>
                <w:tcPr>
                  <w:tcW w:w="1000" w:type="dxa"/>
                  <w:tcMar>
                    <w:left w:w="28" w:type="dxa"/>
                    <w:right w:w="28" w:type="dxa"/>
                  </w:tcMar>
                  <w:hideMark/>
                </w:tcPr>
                <w:p w14:paraId="6F1B8774" w14:textId="77777777" w:rsidR="00BC6752" w:rsidRPr="00F71523" w:rsidRDefault="00BC6752" w:rsidP="001C1CBE">
                  <w:pPr>
                    <w:pStyle w:val="TableText"/>
                    <w:spacing w:before="60" w:after="60"/>
                    <w:jc w:val="center"/>
                  </w:pPr>
                  <w:r w:rsidRPr="00F71523">
                    <w:t>40 to 50</w:t>
                  </w:r>
                </w:p>
              </w:tc>
              <w:tc>
                <w:tcPr>
                  <w:tcW w:w="2268" w:type="dxa"/>
                  <w:hideMark/>
                </w:tcPr>
                <w:p w14:paraId="0E28519F" w14:textId="77777777" w:rsidR="00BC6752" w:rsidRPr="00F71523" w:rsidRDefault="00BC6752" w:rsidP="001C1CBE">
                  <w:pPr>
                    <w:pStyle w:val="TableText"/>
                    <w:spacing w:before="60" w:after="60"/>
                    <w:jc w:val="center"/>
                  </w:pPr>
                  <w:r w:rsidRPr="00F71523">
                    <w:t>40</w:t>
                  </w:r>
                </w:p>
              </w:tc>
            </w:tr>
            <w:tr w:rsidR="00BC6752" w:rsidRPr="00F71523" w14:paraId="3F6F001A" w14:textId="77777777" w:rsidTr="00AA73EF">
              <w:trPr>
                <w:cantSplit/>
              </w:trPr>
              <w:tc>
                <w:tcPr>
                  <w:tcW w:w="2468" w:type="dxa"/>
                  <w:hideMark/>
                </w:tcPr>
                <w:p w14:paraId="3732334B" w14:textId="77777777" w:rsidR="00BC6752" w:rsidRPr="00F71523" w:rsidRDefault="00BC6752" w:rsidP="001C1CBE">
                  <w:pPr>
                    <w:pStyle w:val="TableText"/>
                    <w:spacing w:before="60" w:after="60"/>
                  </w:pPr>
                  <w:r w:rsidRPr="00F71523">
                    <w:t>Type 2: Dwellings and buildings of similar design and/or occupancy</w:t>
                  </w:r>
                </w:p>
              </w:tc>
              <w:tc>
                <w:tcPr>
                  <w:tcW w:w="882" w:type="dxa"/>
                  <w:tcMar>
                    <w:left w:w="28" w:type="dxa"/>
                    <w:right w:w="28" w:type="dxa"/>
                  </w:tcMar>
                  <w:hideMark/>
                </w:tcPr>
                <w:p w14:paraId="1BE69D30" w14:textId="77777777" w:rsidR="00BC6752" w:rsidRPr="00F71523" w:rsidRDefault="00BC6752" w:rsidP="001C1CBE">
                  <w:pPr>
                    <w:pStyle w:val="TableText"/>
                    <w:spacing w:before="60" w:after="60"/>
                    <w:jc w:val="center"/>
                  </w:pPr>
                  <w:r w:rsidRPr="00F71523">
                    <w:t>5</w:t>
                  </w:r>
                </w:p>
              </w:tc>
              <w:tc>
                <w:tcPr>
                  <w:tcW w:w="884" w:type="dxa"/>
                  <w:tcMar>
                    <w:left w:w="28" w:type="dxa"/>
                    <w:right w:w="28" w:type="dxa"/>
                  </w:tcMar>
                  <w:hideMark/>
                </w:tcPr>
                <w:p w14:paraId="79290536" w14:textId="77777777" w:rsidR="00BC6752" w:rsidRPr="00F71523" w:rsidRDefault="00BC6752" w:rsidP="001C1CBE">
                  <w:pPr>
                    <w:pStyle w:val="TableText"/>
                    <w:spacing w:before="60" w:after="60"/>
                    <w:jc w:val="center"/>
                  </w:pPr>
                  <w:r w:rsidRPr="00F71523">
                    <w:t>5 to15</w:t>
                  </w:r>
                </w:p>
              </w:tc>
              <w:tc>
                <w:tcPr>
                  <w:tcW w:w="1000" w:type="dxa"/>
                  <w:tcMar>
                    <w:left w:w="28" w:type="dxa"/>
                    <w:right w:w="28" w:type="dxa"/>
                  </w:tcMar>
                  <w:hideMark/>
                </w:tcPr>
                <w:p w14:paraId="35B9F376" w14:textId="77777777" w:rsidR="00BC6752" w:rsidRPr="00F71523" w:rsidRDefault="00BC6752" w:rsidP="001C1CBE">
                  <w:pPr>
                    <w:pStyle w:val="TableText"/>
                    <w:spacing w:before="60" w:after="60"/>
                    <w:jc w:val="center"/>
                  </w:pPr>
                  <w:r w:rsidRPr="00F71523">
                    <w:t>15 to 20</w:t>
                  </w:r>
                </w:p>
              </w:tc>
              <w:tc>
                <w:tcPr>
                  <w:tcW w:w="2268" w:type="dxa"/>
                  <w:hideMark/>
                </w:tcPr>
                <w:p w14:paraId="39BDBFAC" w14:textId="77777777" w:rsidR="00BC6752" w:rsidRPr="00F71523" w:rsidRDefault="00BC6752" w:rsidP="001C1CBE">
                  <w:pPr>
                    <w:pStyle w:val="TableText"/>
                    <w:spacing w:before="60" w:after="60"/>
                    <w:jc w:val="center"/>
                  </w:pPr>
                  <w:r w:rsidRPr="00F71523">
                    <w:t>15</w:t>
                  </w:r>
                </w:p>
              </w:tc>
            </w:tr>
            <w:tr w:rsidR="00BC6752" w:rsidRPr="00F71523" w14:paraId="420084B6" w14:textId="77777777" w:rsidTr="00AA73EF">
              <w:trPr>
                <w:cantSplit/>
              </w:trPr>
              <w:tc>
                <w:tcPr>
                  <w:tcW w:w="2468" w:type="dxa"/>
                  <w:hideMark/>
                </w:tcPr>
                <w:p w14:paraId="2063BE63" w14:textId="5FB164E3" w:rsidR="00BC6752" w:rsidRPr="00F71523" w:rsidRDefault="00BC6752" w:rsidP="001C1CBE">
                  <w:pPr>
                    <w:pStyle w:val="TableText"/>
                    <w:spacing w:before="60" w:after="60"/>
                  </w:pPr>
                  <w:r w:rsidRPr="00F71523">
                    <w:t xml:space="preserve">Type 3: Structures that have a particular sensitivity to vibration </w:t>
                  </w:r>
                  <w:r>
                    <w:t>e</w:t>
                  </w:r>
                  <w:r w:rsidR="00D40BED">
                    <w:t>.</w:t>
                  </w:r>
                  <w:r>
                    <w:t>g</w:t>
                  </w:r>
                  <w:r w:rsidR="00D40BED">
                    <w:t>.</w:t>
                  </w:r>
                  <w:r w:rsidRPr="00F71523">
                    <w:t xml:space="preserve"> heritage buildings</w:t>
                  </w:r>
                </w:p>
              </w:tc>
              <w:tc>
                <w:tcPr>
                  <w:tcW w:w="882" w:type="dxa"/>
                  <w:tcMar>
                    <w:left w:w="28" w:type="dxa"/>
                    <w:right w:w="28" w:type="dxa"/>
                  </w:tcMar>
                  <w:hideMark/>
                </w:tcPr>
                <w:p w14:paraId="2D8BA6BF" w14:textId="77777777" w:rsidR="00BC6752" w:rsidRPr="00F71523" w:rsidRDefault="00BC6752" w:rsidP="001C1CBE">
                  <w:pPr>
                    <w:pStyle w:val="TableText"/>
                    <w:spacing w:before="60" w:after="60"/>
                    <w:jc w:val="center"/>
                  </w:pPr>
                  <w:r w:rsidRPr="00F71523">
                    <w:t>3</w:t>
                  </w:r>
                </w:p>
              </w:tc>
              <w:tc>
                <w:tcPr>
                  <w:tcW w:w="884" w:type="dxa"/>
                  <w:tcMar>
                    <w:left w:w="28" w:type="dxa"/>
                    <w:right w:w="28" w:type="dxa"/>
                  </w:tcMar>
                  <w:hideMark/>
                </w:tcPr>
                <w:p w14:paraId="6188AB80" w14:textId="77777777" w:rsidR="00BC6752" w:rsidRPr="00F71523" w:rsidRDefault="00BC6752" w:rsidP="001C1CBE">
                  <w:pPr>
                    <w:pStyle w:val="TableText"/>
                    <w:spacing w:before="60" w:after="60"/>
                    <w:jc w:val="center"/>
                  </w:pPr>
                  <w:r w:rsidRPr="00F71523">
                    <w:t>3 to 8</w:t>
                  </w:r>
                </w:p>
              </w:tc>
              <w:tc>
                <w:tcPr>
                  <w:tcW w:w="1000" w:type="dxa"/>
                  <w:tcMar>
                    <w:left w:w="28" w:type="dxa"/>
                    <w:right w:w="28" w:type="dxa"/>
                  </w:tcMar>
                  <w:hideMark/>
                </w:tcPr>
                <w:p w14:paraId="53283D98" w14:textId="77777777" w:rsidR="00BC6752" w:rsidRPr="00F71523" w:rsidRDefault="00BC6752" w:rsidP="001C1CBE">
                  <w:pPr>
                    <w:pStyle w:val="TableText"/>
                    <w:spacing w:before="60" w:after="60"/>
                    <w:jc w:val="center"/>
                  </w:pPr>
                  <w:r w:rsidRPr="00F71523">
                    <w:t>8 to 10</w:t>
                  </w:r>
                </w:p>
              </w:tc>
              <w:tc>
                <w:tcPr>
                  <w:tcW w:w="2268" w:type="dxa"/>
                  <w:hideMark/>
                </w:tcPr>
                <w:p w14:paraId="49CFBFDE" w14:textId="77777777" w:rsidR="00BC6752" w:rsidRPr="00F71523" w:rsidRDefault="00BC6752" w:rsidP="001C1CBE">
                  <w:pPr>
                    <w:pStyle w:val="TableText"/>
                    <w:spacing w:before="60" w:after="60"/>
                    <w:jc w:val="center"/>
                  </w:pPr>
                  <w:r w:rsidRPr="00F71523">
                    <w:t>8</w:t>
                  </w:r>
                </w:p>
              </w:tc>
            </w:tr>
          </w:tbl>
          <w:p w14:paraId="28F00486" w14:textId="7E881C10" w:rsidR="00BC6752" w:rsidRPr="00F71523" w:rsidRDefault="00BC6752" w:rsidP="00CB4665">
            <w:pPr>
              <w:pStyle w:val="Source"/>
              <w:spacing w:after="60"/>
              <w:rPr>
                <w:b/>
              </w:rPr>
            </w:pPr>
            <w:r w:rsidRPr="00F71523">
              <w:rPr>
                <w:b/>
              </w:rPr>
              <w:t>Notes</w:t>
            </w:r>
          </w:p>
          <w:p w14:paraId="1AEA4A52" w14:textId="209ECD93" w:rsidR="00BC6752" w:rsidRPr="00F71523" w:rsidRDefault="00BC6752" w:rsidP="001C1CBE">
            <w:pPr>
              <w:pStyle w:val="Source"/>
              <w:spacing w:before="40" w:after="40"/>
              <w:ind w:left="340" w:hanging="340"/>
            </w:pPr>
            <w:r w:rsidRPr="00F71523">
              <w:t>1</w:t>
            </w:r>
            <w:r w:rsidRPr="00F71523">
              <w:tab/>
              <w:t>At frequencies above 100 Hz, the values given in this column may be used as minimum values.</w:t>
            </w:r>
          </w:p>
          <w:p w14:paraId="2931E3C3" w14:textId="6E757778" w:rsidR="00BC6752" w:rsidRPr="00F71523" w:rsidRDefault="00BC6752" w:rsidP="001C1CBE">
            <w:pPr>
              <w:pStyle w:val="Source"/>
              <w:spacing w:before="40" w:after="40"/>
              <w:ind w:left="340" w:hanging="340"/>
            </w:pPr>
            <w:r w:rsidRPr="00F71523">
              <w:t>2</w:t>
            </w:r>
            <w:r w:rsidRPr="00F71523">
              <w:tab/>
              <w:t>Vibration levels marginally exceeding those vibration levels in the table would not necessarily mean that damage would occur and further investigation would be required to determine if higher vibration levels can be accommodated without risk of damage.</w:t>
            </w:r>
          </w:p>
          <w:p w14:paraId="5906DA14" w14:textId="0980A38C" w:rsidR="00BC6752" w:rsidRPr="00F71523" w:rsidRDefault="00BC6752" w:rsidP="001C1CBE">
            <w:pPr>
              <w:pStyle w:val="Source"/>
              <w:spacing w:before="40" w:after="40"/>
              <w:ind w:left="340" w:hanging="340"/>
            </w:pPr>
            <w:r w:rsidRPr="00F71523">
              <w:t>3</w:t>
            </w:r>
            <w:r w:rsidRPr="00F71523">
              <w:tab/>
              <w:t>For civil engineering structures (</w:t>
            </w:r>
            <w:r w:rsidR="004B35EB">
              <w:t>e.g.</w:t>
            </w:r>
            <w:r w:rsidRPr="00F71523">
              <w:t xml:space="preserve"> with reinforced concrete constructions used as abutments or foundation pads) the values for Type 1 buildings may be increased by a factor of 2.</w:t>
            </w:r>
          </w:p>
          <w:p w14:paraId="79FB7D9D" w14:textId="6EF410E9" w:rsidR="00BC6752" w:rsidRPr="00F71523" w:rsidRDefault="00BC6752" w:rsidP="00FA5B51">
            <w:pPr>
              <w:pStyle w:val="Source"/>
              <w:spacing w:before="40" w:after="240"/>
              <w:ind w:left="340" w:hanging="340"/>
            </w:pPr>
            <w:r w:rsidRPr="00F71523">
              <w:t>4</w:t>
            </w:r>
            <w:r w:rsidRPr="00F71523">
              <w:tab/>
              <w:t>Short-term vibration is defined as vibration which does not occur often enough to cause structural fatigue and which does not produce resonance in the structure being evaluated.</w:t>
            </w:r>
          </w:p>
        </w:tc>
        <w:tc>
          <w:tcPr>
            <w:tcW w:w="1168" w:type="dxa"/>
            <w:hideMark/>
          </w:tcPr>
          <w:p w14:paraId="400EDEB4" w14:textId="77777777" w:rsidR="00BC6752" w:rsidRPr="00F71523" w:rsidRDefault="00BC6752" w:rsidP="00457BDE">
            <w:pPr>
              <w:pStyle w:val="TableText"/>
            </w:pPr>
            <w:r w:rsidRPr="00F71523">
              <w:t>All</w:t>
            </w:r>
          </w:p>
        </w:tc>
        <w:tc>
          <w:tcPr>
            <w:tcW w:w="1276" w:type="dxa"/>
            <w:hideMark/>
          </w:tcPr>
          <w:p w14:paraId="1582842C" w14:textId="77777777" w:rsidR="00BC6752" w:rsidRPr="00F71523" w:rsidRDefault="00BC6752" w:rsidP="00457BDE">
            <w:pPr>
              <w:pStyle w:val="TableText"/>
            </w:pPr>
            <w:r w:rsidRPr="00F71523">
              <w:t>Construction</w:t>
            </w:r>
          </w:p>
        </w:tc>
        <w:tc>
          <w:tcPr>
            <w:tcW w:w="1383" w:type="dxa"/>
          </w:tcPr>
          <w:p w14:paraId="4B154B39" w14:textId="717F1A67" w:rsidR="00BC6752" w:rsidRPr="00F71523" w:rsidRDefault="00BC6752" w:rsidP="00953369">
            <w:pPr>
              <w:pStyle w:val="TableText"/>
              <w:jc w:val="center"/>
            </w:pPr>
            <w:r>
              <w:t>NV002</w:t>
            </w:r>
            <w:r w:rsidR="0089374D">
              <w:t xml:space="preserve">, </w:t>
            </w:r>
            <w:r>
              <w:t>NV003</w:t>
            </w:r>
            <w:r w:rsidR="0089374D">
              <w:t xml:space="preserve">, </w:t>
            </w:r>
            <w:r>
              <w:t>NV014</w:t>
            </w:r>
            <w:r w:rsidR="0089374D">
              <w:t xml:space="preserve">, </w:t>
            </w:r>
            <w:r>
              <w:t>NV015</w:t>
            </w:r>
            <w:r w:rsidR="0089374D">
              <w:t xml:space="preserve">, </w:t>
            </w:r>
            <w:r>
              <w:t>NV016</w:t>
            </w:r>
            <w:r w:rsidR="0089374D">
              <w:t xml:space="preserve">, </w:t>
            </w:r>
            <w:r w:rsidRPr="00F71523">
              <w:t>NV017</w:t>
            </w:r>
          </w:p>
        </w:tc>
      </w:tr>
      <w:tr w:rsidR="00BC6752" w:rsidRPr="00F71523" w14:paraId="06974AD0" w14:textId="77777777" w:rsidTr="00CB066E">
        <w:trPr>
          <w:cantSplit/>
        </w:trPr>
        <w:tc>
          <w:tcPr>
            <w:tcW w:w="2046" w:type="dxa"/>
            <w:vMerge w:val="restart"/>
          </w:tcPr>
          <w:p w14:paraId="41966F5B" w14:textId="77777777" w:rsidR="00BC6752" w:rsidRPr="00F71523" w:rsidRDefault="00BC6752" w:rsidP="00CB1C25">
            <w:pPr>
              <w:pStyle w:val="TableText"/>
            </w:pPr>
          </w:p>
        </w:tc>
        <w:tc>
          <w:tcPr>
            <w:tcW w:w="800" w:type="dxa"/>
          </w:tcPr>
          <w:p w14:paraId="433AD8BD" w14:textId="77777777" w:rsidR="00BC6752" w:rsidRPr="00F71523" w:rsidRDefault="00BC6752" w:rsidP="00953369">
            <w:pPr>
              <w:pStyle w:val="TableText"/>
              <w:jc w:val="center"/>
            </w:pPr>
          </w:p>
        </w:tc>
        <w:tc>
          <w:tcPr>
            <w:tcW w:w="7894" w:type="dxa"/>
          </w:tcPr>
          <w:p w14:paraId="4399ACF7" w14:textId="77777777" w:rsidR="00BC6752" w:rsidRPr="00F71523" w:rsidRDefault="00BC6752" w:rsidP="00CB1C25">
            <w:pPr>
              <w:pStyle w:val="TableText"/>
              <w:rPr>
                <w:rStyle w:val="CharacterStyle-DarkColour"/>
                <w:b/>
              </w:rPr>
            </w:pPr>
            <w:r w:rsidRPr="00F71523">
              <w:rPr>
                <w:rStyle w:val="CharacterStyle-DarkColour"/>
                <w:b/>
              </w:rPr>
              <w:t>Long-term vibration on structures</w:t>
            </w:r>
          </w:p>
          <w:tbl>
            <w:tblPr>
              <w:tblStyle w:val="RowMainTableStyle"/>
              <w:tblW w:w="0" w:type="auto"/>
              <w:tblLayout w:type="fixed"/>
              <w:tblLook w:val="0400" w:firstRow="0" w:lastRow="0" w:firstColumn="0" w:lastColumn="0" w:noHBand="0" w:noVBand="1"/>
            </w:tblPr>
            <w:tblGrid>
              <w:gridCol w:w="4384"/>
              <w:gridCol w:w="3118"/>
            </w:tblGrid>
            <w:tr w:rsidR="00BC6752" w:rsidRPr="00F71523" w14:paraId="3AE0D92A" w14:textId="77777777" w:rsidTr="00AA73EF">
              <w:trPr>
                <w:cantSplit/>
              </w:trPr>
              <w:tc>
                <w:tcPr>
                  <w:tcW w:w="4384" w:type="dxa"/>
                  <w:shd w:val="clear" w:color="auto" w:fill="F2F2F2" w:themeFill="background1" w:themeFillShade="F2"/>
                  <w:vAlign w:val="bottom"/>
                  <w:hideMark/>
                </w:tcPr>
                <w:p w14:paraId="798D658E" w14:textId="77777777" w:rsidR="00BC6752" w:rsidRPr="00F71523" w:rsidRDefault="00BC6752" w:rsidP="001C1CBE">
                  <w:pPr>
                    <w:pStyle w:val="TableText"/>
                    <w:keepNext/>
                    <w:keepLines/>
                    <w:rPr>
                      <w:b/>
                    </w:rPr>
                  </w:pPr>
                  <w:r w:rsidRPr="00F71523">
                    <w:rPr>
                      <w:b/>
                    </w:rPr>
                    <w:t>Type of Structure</w:t>
                  </w:r>
                </w:p>
              </w:tc>
              <w:tc>
                <w:tcPr>
                  <w:tcW w:w="3118" w:type="dxa"/>
                  <w:shd w:val="clear" w:color="auto" w:fill="F2F2F2" w:themeFill="background1" w:themeFillShade="F2"/>
                  <w:vAlign w:val="bottom"/>
                  <w:hideMark/>
                </w:tcPr>
                <w:p w14:paraId="407DF305" w14:textId="77777777" w:rsidR="00BC6752" w:rsidRPr="00F71523" w:rsidRDefault="00BC6752" w:rsidP="001C1CBE">
                  <w:pPr>
                    <w:pStyle w:val="TableText"/>
                    <w:keepNext/>
                    <w:keepLines/>
                    <w:jc w:val="center"/>
                    <w:rPr>
                      <w:b/>
                    </w:rPr>
                  </w:pPr>
                  <w:r w:rsidRPr="00F71523">
                    <w:rPr>
                      <w:b/>
                    </w:rPr>
                    <w:t>Vibration Velocity, mm/s (Peak Component Particle Velocity) in horizontal plane at all frequencies</w:t>
                  </w:r>
                </w:p>
              </w:tc>
            </w:tr>
            <w:tr w:rsidR="00BC6752" w:rsidRPr="00F71523" w14:paraId="6CBD8A9A" w14:textId="77777777" w:rsidTr="00AA73EF">
              <w:tc>
                <w:tcPr>
                  <w:tcW w:w="4384" w:type="dxa"/>
                  <w:hideMark/>
                </w:tcPr>
                <w:p w14:paraId="5EF7EBA2" w14:textId="77777777" w:rsidR="00BC6752" w:rsidRPr="00F71523" w:rsidRDefault="00BC6752" w:rsidP="00CB1C25">
                  <w:pPr>
                    <w:pStyle w:val="TableText"/>
                  </w:pPr>
                  <w:r w:rsidRPr="00F71523">
                    <w:t>Buildings used for commercial purposes, industrial buildings and similar design</w:t>
                  </w:r>
                </w:p>
              </w:tc>
              <w:tc>
                <w:tcPr>
                  <w:tcW w:w="3118" w:type="dxa"/>
                  <w:hideMark/>
                </w:tcPr>
                <w:p w14:paraId="68179BB6" w14:textId="77777777" w:rsidR="00BC6752" w:rsidRPr="00F71523" w:rsidRDefault="00BC6752" w:rsidP="001C1CBE">
                  <w:pPr>
                    <w:pStyle w:val="TableText"/>
                    <w:jc w:val="center"/>
                  </w:pPr>
                  <w:r w:rsidRPr="00F71523">
                    <w:t>10</w:t>
                  </w:r>
                </w:p>
              </w:tc>
            </w:tr>
            <w:tr w:rsidR="00BC6752" w:rsidRPr="00F71523" w14:paraId="25814914" w14:textId="77777777" w:rsidTr="00AA73EF">
              <w:tc>
                <w:tcPr>
                  <w:tcW w:w="4384" w:type="dxa"/>
                  <w:hideMark/>
                </w:tcPr>
                <w:p w14:paraId="3E7B2EF4" w14:textId="77777777" w:rsidR="00BC6752" w:rsidRPr="00F71523" w:rsidRDefault="00BC6752" w:rsidP="00CB1C25">
                  <w:pPr>
                    <w:pStyle w:val="TableText"/>
                  </w:pPr>
                  <w:r w:rsidRPr="00F71523">
                    <w:t>Dwellings and buildings of similar design and/or occupancy</w:t>
                  </w:r>
                </w:p>
              </w:tc>
              <w:tc>
                <w:tcPr>
                  <w:tcW w:w="3118" w:type="dxa"/>
                  <w:hideMark/>
                </w:tcPr>
                <w:p w14:paraId="16C52DF8" w14:textId="77777777" w:rsidR="00BC6752" w:rsidRPr="00F71523" w:rsidRDefault="00BC6752" w:rsidP="001C1CBE">
                  <w:pPr>
                    <w:pStyle w:val="TableText"/>
                    <w:jc w:val="center"/>
                  </w:pPr>
                  <w:r w:rsidRPr="00F71523">
                    <w:t>5</w:t>
                  </w:r>
                </w:p>
              </w:tc>
            </w:tr>
            <w:tr w:rsidR="00BC6752" w:rsidRPr="00F71523" w14:paraId="054CBE8A" w14:textId="77777777" w:rsidTr="00AA73EF">
              <w:tc>
                <w:tcPr>
                  <w:tcW w:w="4384" w:type="dxa"/>
                  <w:hideMark/>
                </w:tcPr>
                <w:p w14:paraId="6BDD50C4" w14:textId="6587BBEB" w:rsidR="00BC6752" w:rsidRPr="00F71523" w:rsidRDefault="00BC6752" w:rsidP="00CB1C25">
                  <w:pPr>
                    <w:pStyle w:val="TableText"/>
                  </w:pPr>
                  <w:r w:rsidRPr="00F71523">
                    <w:t>Structures that have a particular sensitivity to vibration</w:t>
                  </w:r>
                  <w:r w:rsidR="00C712B8">
                    <w:t>,</w:t>
                  </w:r>
                  <w:r w:rsidRPr="00F71523">
                    <w:t xml:space="preserve"> </w:t>
                  </w:r>
                  <w:r w:rsidR="00C712B8" w:rsidRPr="00F71523">
                    <w:t>e.g.</w:t>
                  </w:r>
                  <w:r w:rsidRPr="00F71523">
                    <w:t xml:space="preserve"> heritage buildings</w:t>
                  </w:r>
                </w:p>
              </w:tc>
              <w:tc>
                <w:tcPr>
                  <w:tcW w:w="3118" w:type="dxa"/>
                  <w:hideMark/>
                </w:tcPr>
                <w:p w14:paraId="24705A81" w14:textId="77777777" w:rsidR="00BC6752" w:rsidRPr="00F71523" w:rsidRDefault="00BC6752" w:rsidP="001C1CBE">
                  <w:pPr>
                    <w:pStyle w:val="TableText"/>
                    <w:jc w:val="center"/>
                  </w:pPr>
                  <w:r w:rsidRPr="00F71523">
                    <w:t>2.5</w:t>
                  </w:r>
                </w:p>
              </w:tc>
            </w:tr>
          </w:tbl>
          <w:p w14:paraId="6C366608" w14:textId="46A9940A" w:rsidR="00BC6752" w:rsidRPr="00F71523" w:rsidRDefault="00BC6752" w:rsidP="001C1CBE">
            <w:pPr>
              <w:pStyle w:val="Source"/>
              <w:spacing w:after="60"/>
              <w:rPr>
                <w:b/>
              </w:rPr>
            </w:pPr>
            <w:r w:rsidRPr="00F71523">
              <w:rPr>
                <w:b/>
              </w:rPr>
              <w:t>Notes</w:t>
            </w:r>
          </w:p>
          <w:p w14:paraId="7DF5400E" w14:textId="283410CE" w:rsidR="00BC6752" w:rsidRPr="00F71523" w:rsidRDefault="00BC6752" w:rsidP="001C1CBE">
            <w:pPr>
              <w:pStyle w:val="Source"/>
              <w:spacing w:before="60" w:after="60"/>
              <w:ind w:left="340" w:hanging="340"/>
            </w:pPr>
            <w:r w:rsidRPr="00F71523">
              <w:t>1</w:t>
            </w:r>
            <w:r w:rsidRPr="00F71523">
              <w:tab/>
              <w:t>Vibration levels marginally exceeding those in the table would not necessarily mean that damage would occur and further investigation is required would be required to determine if higher vibration levels can be accommodated without risk of damage.</w:t>
            </w:r>
          </w:p>
          <w:p w14:paraId="44A762BB" w14:textId="66993712" w:rsidR="00BC6752" w:rsidRPr="00F71523" w:rsidRDefault="00BC6752" w:rsidP="00FA5B51">
            <w:pPr>
              <w:pStyle w:val="Source"/>
              <w:spacing w:before="60" w:after="240"/>
              <w:ind w:left="340" w:hanging="340"/>
            </w:pPr>
            <w:r w:rsidRPr="00F71523">
              <w:t>2</w:t>
            </w:r>
            <w:r w:rsidRPr="00F71523">
              <w:tab/>
              <w:t>Long-term vibration means vibration events that may result in a resonant structural response.</w:t>
            </w:r>
          </w:p>
        </w:tc>
        <w:tc>
          <w:tcPr>
            <w:tcW w:w="1168" w:type="dxa"/>
          </w:tcPr>
          <w:p w14:paraId="64836D55" w14:textId="77777777" w:rsidR="00BC6752" w:rsidRPr="00F71523" w:rsidRDefault="00BC6752" w:rsidP="00457BDE">
            <w:pPr>
              <w:pStyle w:val="TableText"/>
            </w:pPr>
          </w:p>
        </w:tc>
        <w:tc>
          <w:tcPr>
            <w:tcW w:w="1276" w:type="dxa"/>
          </w:tcPr>
          <w:p w14:paraId="21064812" w14:textId="77777777" w:rsidR="00BC6752" w:rsidRPr="00F71523" w:rsidRDefault="00BC6752" w:rsidP="00457BDE">
            <w:pPr>
              <w:pStyle w:val="TableText"/>
            </w:pPr>
          </w:p>
        </w:tc>
        <w:tc>
          <w:tcPr>
            <w:tcW w:w="1383" w:type="dxa"/>
          </w:tcPr>
          <w:p w14:paraId="0907AD7D" w14:textId="77777777" w:rsidR="00BC6752" w:rsidRPr="00F71523" w:rsidRDefault="00BC6752" w:rsidP="00953369">
            <w:pPr>
              <w:pStyle w:val="TableText"/>
              <w:jc w:val="center"/>
            </w:pPr>
          </w:p>
        </w:tc>
      </w:tr>
      <w:tr w:rsidR="00BC6752" w:rsidRPr="00F71523" w14:paraId="68E8844D" w14:textId="77777777" w:rsidTr="00CB066E">
        <w:trPr>
          <w:cantSplit/>
        </w:trPr>
        <w:tc>
          <w:tcPr>
            <w:tcW w:w="2046" w:type="dxa"/>
            <w:vMerge/>
          </w:tcPr>
          <w:p w14:paraId="751DBC17" w14:textId="77777777" w:rsidR="00BC6752" w:rsidRPr="00F71523" w:rsidRDefault="00BC6752" w:rsidP="00CB1C25">
            <w:pPr>
              <w:pStyle w:val="TableText"/>
            </w:pPr>
          </w:p>
        </w:tc>
        <w:tc>
          <w:tcPr>
            <w:tcW w:w="800" w:type="dxa"/>
            <w:hideMark/>
          </w:tcPr>
          <w:p w14:paraId="10C5B6D8" w14:textId="366295D2" w:rsidR="00BC6752" w:rsidRPr="00F71523" w:rsidRDefault="00BC6752" w:rsidP="00953369">
            <w:pPr>
              <w:pStyle w:val="TableText"/>
              <w:jc w:val="center"/>
            </w:pPr>
            <w:r w:rsidRPr="00F71523">
              <w:t>NV7</w:t>
            </w:r>
          </w:p>
        </w:tc>
        <w:tc>
          <w:tcPr>
            <w:tcW w:w="7894" w:type="dxa"/>
            <w:hideMark/>
          </w:tcPr>
          <w:p w14:paraId="0C0432F2" w14:textId="77777777" w:rsidR="00BC6752" w:rsidRPr="00F71523" w:rsidRDefault="00BC6752" w:rsidP="00CB1C25">
            <w:pPr>
              <w:pStyle w:val="TableText"/>
            </w:pPr>
            <w:r w:rsidRPr="00F71523">
              <w:t>Undertake condition assessments of above and below ground utility assets and establish construction vibration limits with asset owners.</w:t>
            </w:r>
          </w:p>
          <w:p w14:paraId="1823236A" w14:textId="77777777" w:rsidR="00BC6752" w:rsidRPr="00F71523" w:rsidRDefault="00BC6752" w:rsidP="00CB1C25">
            <w:pPr>
              <w:pStyle w:val="TableText"/>
            </w:pPr>
            <w:r w:rsidRPr="00F71523">
              <w:t>Monitor vibration during construction to demonstrate compliance with agreed vibration guideline targets. Take remedial action if limits are not met.</w:t>
            </w:r>
          </w:p>
        </w:tc>
        <w:tc>
          <w:tcPr>
            <w:tcW w:w="1168" w:type="dxa"/>
          </w:tcPr>
          <w:p w14:paraId="17126783" w14:textId="77777777" w:rsidR="00BC6752" w:rsidRPr="00F71523" w:rsidRDefault="00BC6752" w:rsidP="00457BDE">
            <w:pPr>
              <w:pStyle w:val="TableText"/>
            </w:pPr>
            <w:r w:rsidRPr="00F71523">
              <w:t>All</w:t>
            </w:r>
          </w:p>
        </w:tc>
        <w:tc>
          <w:tcPr>
            <w:tcW w:w="1276" w:type="dxa"/>
          </w:tcPr>
          <w:p w14:paraId="3819C370" w14:textId="77777777" w:rsidR="00BC6752" w:rsidRPr="00F71523" w:rsidRDefault="00BC6752" w:rsidP="00457BDE">
            <w:pPr>
              <w:pStyle w:val="TableText"/>
            </w:pPr>
            <w:r w:rsidRPr="00F71523">
              <w:t>Construction</w:t>
            </w:r>
          </w:p>
        </w:tc>
        <w:tc>
          <w:tcPr>
            <w:tcW w:w="1383" w:type="dxa"/>
          </w:tcPr>
          <w:p w14:paraId="4F6B7807" w14:textId="00E254F1" w:rsidR="00BC6752" w:rsidRPr="00F71523" w:rsidRDefault="00C712B8" w:rsidP="00953369">
            <w:pPr>
              <w:pStyle w:val="TableText"/>
              <w:jc w:val="center"/>
            </w:pPr>
            <w:r>
              <w:t>NV002</w:t>
            </w:r>
            <w:r w:rsidR="0089374D">
              <w:t xml:space="preserve">, </w:t>
            </w:r>
            <w:r>
              <w:t>NV003</w:t>
            </w:r>
            <w:r w:rsidR="0089374D">
              <w:t xml:space="preserve">, </w:t>
            </w:r>
            <w:r w:rsidR="00BC6752" w:rsidRPr="00F71523">
              <w:t>NV014</w:t>
            </w:r>
            <w:r w:rsidR="0089374D">
              <w:t xml:space="preserve">, </w:t>
            </w:r>
            <w:r>
              <w:t>NV015</w:t>
            </w:r>
            <w:r w:rsidR="0089374D">
              <w:t xml:space="preserve">, </w:t>
            </w:r>
            <w:r>
              <w:t>NV016</w:t>
            </w:r>
            <w:r w:rsidR="0089374D">
              <w:t xml:space="preserve">, </w:t>
            </w:r>
            <w:r w:rsidR="00BC6752" w:rsidRPr="00F71523">
              <w:t>NV017</w:t>
            </w:r>
          </w:p>
        </w:tc>
      </w:tr>
      <w:tr w:rsidR="00BC6752" w:rsidRPr="00F71523" w14:paraId="0E945196" w14:textId="77777777" w:rsidTr="00CB066E">
        <w:trPr>
          <w:cantSplit/>
        </w:trPr>
        <w:tc>
          <w:tcPr>
            <w:tcW w:w="2046" w:type="dxa"/>
          </w:tcPr>
          <w:p w14:paraId="3B285D0F" w14:textId="77777777" w:rsidR="00BC6752" w:rsidRPr="00F71523" w:rsidRDefault="00BC6752" w:rsidP="00CB1C25">
            <w:pPr>
              <w:pStyle w:val="TableText"/>
            </w:pPr>
          </w:p>
        </w:tc>
        <w:tc>
          <w:tcPr>
            <w:tcW w:w="800" w:type="dxa"/>
            <w:hideMark/>
          </w:tcPr>
          <w:p w14:paraId="1686CF2F" w14:textId="7F1A7812" w:rsidR="00BC6752" w:rsidRPr="00F71523" w:rsidRDefault="00BC6752" w:rsidP="00953369">
            <w:pPr>
              <w:pStyle w:val="TableText"/>
              <w:jc w:val="center"/>
            </w:pPr>
            <w:r w:rsidRPr="00F71523">
              <w:t>NV8</w:t>
            </w:r>
          </w:p>
        </w:tc>
        <w:tc>
          <w:tcPr>
            <w:tcW w:w="7894" w:type="dxa"/>
            <w:hideMark/>
          </w:tcPr>
          <w:p w14:paraId="74C64AD2" w14:textId="4726FA53" w:rsidR="00D064F5" w:rsidRPr="00CB066E" w:rsidRDefault="00D064F5" w:rsidP="00D064F5">
            <w:pPr>
              <w:pStyle w:val="TableText"/>
              <w:rPr>
                <w:b/>
                <w:u w:val="single"/>
              </w:rPr>
            </w:pPr>
            <w:r w:rsidRPr="00CB066E">
              <w:rPr>
                <w:b/>
                <w:u w:val="single"/>
              </w:rPr>
              <w:t>Vibration Guideline Targets for</w:t>
            </w:r>
            <w:r w:rsidR="004B35EB">
              <w:rPr>
                <w:b/>
                <w:u w:val="single"/>
              </w:rPr>
              <w:t xml:space="preserve"> Underground</w:t>
            </w:r>
            <w:r w:rsidRPr="00CB066E">
              <w:rPr>
                <w:b/>
                <w:u w:val="single"/>
              </w:rPr>
              <w:t xml:space="preserve"> Infrastructure</w:t>
            </w:r>
          </w:p>
          <w:p w14:paraId="4CC70388" w14:textId="439B04A5" w:rsidR="00BC6752" w:rsidRPr="00F71523" w:rsidRDefault="00BC6752" w:rsidP="00D064F5">
            <w:pPr>
              <w:pStyle w:val="TableText"/>
            </w:pPr>
            <w:r w:rsidRPr="00F71523">
              <w:t>Implement management actions if the following DIN 4150 Guideline Targets for buried pipework/underground infrastructure from construction are not achieved.</w:t>
            </w:r>
          </w:p>
          <w:tbl>
            <w:tblPr>
              <w:tblStyle w:val="RowMainTableStyle"/>
              <w:tblW w:w="0" w:type="auto"/>
              <w:tblLayout w:type="fixed"/>
              <w:tblLook w:val="0400" w:firstRow="0" w:lastRow="0" w:firstColumn="0" w:lastColumn="0" w:noHBand="0" w:noVBand="1"/>
            </w:tblPr>
            <w:tblGrid>
              <w:gridCol w:w="4384"/>
              <w:gridCol w:w="3118"/>
            </w:tblGrid>
            <w:tr w:rsidR="00BC6752" w:rsidRPr="00F71523" w14:paraId="0D884C05" w14:textId="77777777" w:rsidTr="00AA73EF">
              <w:tc>
                <w:tcPr>
                  <w:tcW w:w="4384" w:type="dxa"/>
                  <w:shd w:val="clear" w:color="auto" w:fill="F2F2F2" w:themeFill="background1" w:themeFillShade="F2"/>
                  <w:vAlign w:val="bottom"/>
                  <w:hideMark/>
                </w:tcPr>
                <w:p w14:paraId="09DF60DC" w14:textId="77777777" w:rsidR="00BC6752" w:rsidRPr="00F71523" w:rsidRDefault="00BC6752" w:rsidP="00FA5B51">
                  <w:pPr>
                    <w:pStyle w:val="TableText"/>
                    <w:keepNext/>
                    <w:keepLines/>
                    <w:rPr>
                      <w:b/>
                    </w:rPr>
                  </w:pPr>
                  <w:r w:rsidRPr="00F71523">
                    <w:rPr>
                      <w:b/>
                    </w:rPr>
                    <w:t>Pipe material</w:t>
                  </w:r>
                </w:p>
              </w:tc>
              <w:tc>
                <w:tcPr>
                  <w:tcW w:w="3118" w:type="dxa"/>
                  <w:shd w:val="clear" w:color="auto" w:fill="F2F2F2" w:themeFill="background1" w:themeFillShade="F2"/>
                  <w:vAlign w:val="bottom"/>
                  <w:hideMark/>
                </w:tcPr>
                <w:p w14:paraId="59939357" w14:textId="77777777" w:rsidR="00BC6752" w:rsidRPr="00F71523" w:rsidRDefault="00BC6752" w:rsidP="00FA5B51">
                  <w:pPr>
                    <w:pStyle w:val="TableText"/>
                    <w:keepNext/>
                    <w:keepLines/>
                    <w:jc w:val="center"/>
                    <w:rPr>
                      <w:b/>
                    </w:rPr>
                  </w:pPr>
                  <w:r w:rsidRPr="00F71523">
                    <w:rPr>
                      <w:b/>
                    </w:rPr>
                    <w:t>Vibration Velocity, mm/s (PPV)</w:t>
                  </w:r>
                </w:p>
              </w:tc>
            </w:tr>
            <w:tr w:rsidR="00BC6752" w:rsidRPr="00F71523" w14:paraId="0D385417" w14:textId="77777777" w:rsidTr="00AA73EF">
              <w:tc>
                <w:tcPr>
                  <w:tcW w:w="4384" w:type="dxa"/>
                  <w:hideMark/>
                </w:tcPr>
                <w:p w14:paraId="40D9265F" w14:textId="77777777" w:rsidR="00BC6752" w:rsidRPr="00F71523" w:rsidRDefault="00BC6752" w:rsidP="00CB1C25">
                  <w:pPr>
                    <w:pStyle w:val="TableText"/>
                  </w:pPr>
                  <w:r w:rsidRPr="00F71523">
                    <w:t>Steel</w:t>
                  </w:r>
                </w:p>
              </w:tc>
              <w:tc>
                <w:tcPr>
                  <w:tcW w:w="3118" w:type="dxa"/>
                  <w:hideMark/>
                </w:tcPr>
                <w:p w14:paraId="65A1DA15" w14:textId="77777777" w:rsidR="00BC6752" w:rsidRPr="00F71523" w:rsidRDefault="00BC6752" w:rsidP="00FA5B51">
                  <w:pPr>
                    <w:pStyle w:val="TableText"/>
                    <w:jc w:val="center"/>
                  </w:pPr>
                  <w:r w:rsidRPr="00F71523">
                    <w:t>100</w:t>
                  </w:r>
                </w:p>
              </w:tc>
            </w:tr>
            <w:tr w:rsidR="00BC6752" w:rsidRPr="00F71523" w14:paraId="588CB09F" w14:textId="77777777" w:rsidTr="00AA73EF">
              <w:tc>
                <w:tcPr>
                  <w:tcW w:w="4384" w:type="dxa"/>
                  <w:hideMark/>
                </w:tcPr>
                <w:p w14:paraId="44FE9E84" w14:textId="77777777" w:rsidR="00BC6752" w:rsidRPr="00F71523" w:rsidRDefault="00BC6752" w:rsidP="00CB1C25">
                  <w:pPr>
                    <w:pStyle w:val="TableText"/>
                  </w:pPr>
                  <w:r w:rsidRPr="00F71523">
                    <w:t>Clay, concrete, reinforced concrete, prestressed concrete, metal</w:t>
                  </w:r>
                </w:p>
              </w:tc>
              <w:tc>
                <w:tcPr>
                  <w:tcW w:w="3118" w:type="dxa"/>
                  <w:hideMark/>
                </w:tcPr>
                <w:p w14:paraId="77141593" w14:textId="77777777" w:rsidR="00BC6752" w:rsidRPr="00F71523" w:rsidRDefault="00BC6752" w:rsidP="00FA5B51">
                  <w:pPr>
                    <w:pStyle w:val="TableText"/>
                    <w:jc w:val="center"/>
                  </w:pPr>
                  <w:r w:rsidRPr="00F71523">
                    <w:t>80</w:t>
                  </w:r>
                </w:p>
              </w:tc>
            </w:tr>
            <w:tr w:rsidR="00BC6752" w:rsidRPr="00F71523" w14:paraId="6DD8F81A" w14:textId="77777777" w:rsidTr="00AA73EF">
              <w:tc>
                <w:tcPr>
                  <w:tcW w:w="4384" w:type="dxa"/>
                  <w:hideMark/>
                </w:tcPr>
                <w:p w14:paraId="2860A64B" w14:textId="77777777" w:rsidR="00BC6752" w:rsidRPr="00F71523" w:rsidRDefault="00BC6752" w:rsidP="00CB1C25">
                  <w:pPr>
                    <w:pStyle w:val="TableText"/>
                  </w:pPr>
                  <w:r w:rsidRPr="00F71523">
                    <w:t>Masonry, plastic</w:t>
                  </w:r>
                </w:p>
              </w:tc>
              <w:tc>
                <w:tcPr>
                  <w:tcW w:w="3118" w:type="dxa"/>
                  <w:hideMark/>
                </w:tcPr>
                <w:p w14:paraId="1ED85F9E" w14:textId="77777777" w:rsidR="00BC6752" w:rsidRPr="00F71523" w:rsidRDefault="00BC6752" w:rsidP="00FA5B51">
                  <w:pPr>
                    <w:pStyle w:val="TableText"/>
                    <w:jc w:val="center"/>
                  </w:pPr>
                  <w:r w:rsidRPr="00F71523">
                    <w:t>50</w:t>
                  </w:r>
                </w:p>
              </w:tc>
            </w:tr>
          </w:tbl>
          <w:p w14:paraId="37B2F721" w14:textId="06F86148" w:rsidR="00BC6752" w:rsidRPr="00F71523" w:rsidRDefault="00BC6752" w:rsidP="00FA5B51">
            <w:pPr>
              <w:pStyle w:val="Source"/>
              <w:spacing w:after="60"/>
              <w:rPr>
                <w:b/>
              </w:rPr>
            </w:pPr>
            <w:r w:rsidRPr="00F71523">
              <w:rPr>
                <w:b/>
              </w:rPr>
              <w:t>Notes</w:t>
            </w:r>
          </w:p>
          <w:p w14:paraId="67BF863A" w14:textId="292FCEBA" w:rsidR="00BC6752" w:rsidRPr="00F71523" w:rsidRDefault="00BC6752" w:rsidP="00B82686">
            <w:pPr>
              <w:pStyle w:val="Source"/>
              <w:spacing w:before="60" w:after="60"/>
              <w:ind w:left="340" w:hanging="340"/>
            </w:pPr>
            <w:r w:rsidRPr="00F71523">
              <w:t>1</w:t>
            </w:r>
            <w:r w:rsidRPr="00F71523">
              <w:tab/>
              <w:t>These values may be reduced by 50% when evaluating the effects of long-term vibration on buried pipework.</w:t>
            </w:r>
          </w:p>
          <w:p w14:paraId="398D45B9" w14:textId="2A1A9136" w:rsidR="00BC6752" w:rsidRPr="00F71523" w:rsidRDefault="00BC6752" w:rsidP="00B82686">
            <w:pPr>
              <w:pStyle w:val="Source"/>
              <w:spacing w:before="60" w:after="60"/>
              <w:ind w:left="340" w:hanging="340"/>
            </w:pPr>
            <w:r w:rsidRPr="00F71523">
              <w:t>2</w:t>
            </w:r>
            <w:r w:rsidRPr="00F71523">
              <w:tab/>
              <w:t>It is assumed pipes have been manufactured and laid using current technology (however it is noted that this is not the case for the majority of buried pipework potentially affected by Melbourne Metro).</w:t>
            </w:r>
          </w:p>
          <w:p w14:paraId="7BB89E33" w14:textId="7B2865DB" w:rsidR="00BC6752" w:rsidRPr="00F71523" w:rsidRDefault="00BC6752" w:rsidP="00B82686">
            <w:pPr>
              <w:pStyle w:val="Source"/>
              <w:spacing w:before="60" w:after="240"/>
              <w:ind w:left="340" w:hanging="340"/>
            </w:pPr>
            <w:r w:rsidRPr="00F71523">
              <w:t>3</w:t>
            </w:r>
            <w:r w:rsidRPr="00F71523">
              <w:tab/>
              <w:t>Compliance with is to be achieved with asset owner’s Utility Standards.</w:t>
            </w:r>
          </w:p>
        </w:tc>
        <w:tc>
          <w:tcPr>
            <w:tcW w:w="1168" w:type="dxa"/>
            <w:hideMark/>
          </w:tcPr>
          <w:p w14:paraId="7499FC1E" w14:textId="77777777" w:rsidR="00BC6752" w:rsidRPr="00F71523" w:rsidRDefault="00BC6752" w:rsidP="00457BDE">
            <w:pPr>
              <w:pStyle w:val="TableText"/>
            </w:pPr>
            <w:r w:rsidRPr="00F71523">
              <w:t>All</w:t>
            </w:r>
          </w:p>
        </w:tc>
        <w:tc>
          <w:tcPr>
            <w:tcW w:w="1276" w:type="dxa"/>
            <w:hideMark/>
          </w:tcPr>
          <w:p w14:paraId="5269F2D3" w14:textId="77777777" w:rsidR="00BC6752" w:rsidRPr="00F71523" w:rsidRDefault="00BC6752" w:rsidP="00457BDE">
            <w:pPr>
              <w:pStyle w:val="TableText"/>
            </w:pPr>
            <w:r w:rsidRPr="00F71523">
              <w:t>Construction</w:t>
            </w:r>
          </w:p>
        </w:tc>
        <w:tc>
          <w:tcPr>
            <w:tcW w:w="1383" w:type="dxa"/>
          </w:tcPr>
          <w:p w14:paraId="45956018" w14:textId="5F15F69C" w:rsidR="00BC6752" w:rsidRPr="00F71523" w:rsidRDefault="00C712B8" w:rsidP="00953369">
            <w:pPr>
              <w:pStyle w:val="TableText"/>
              <w:jc w:val="center"/>
            </w:pPr>
            <w:r>
              <w:t>NV002</w:t>
            </w:r>
            <w:r w:rsidR="0089374D">
              <w:t xml:space="preserve">, </w:t>
            </w:r>
            <w:r>
              <w:t>NV003</w:t>
            </w:r>
            <w:r w:rsidR="0089374D">
              <w:t xml:space="preserve">, </w:t>
            </w:r>
            <w:r>
              <w:t>NV014</w:t>
            </w:r>
            <w:r w:rsidR="0089374D">
              <w:t xml:space="preserve">, </w:t>
            </w:r>
            <w:r>
              <w:t>NV015</w:t>
            </w:r>
            <w:r w:rsidR="0089374D">
              <w:t xml:space="preserve">, </w:t>
            </w:r>
            <w:r>
              <w:t>NV016</w:t>
            </w:r>
            <w:r w:rsidR="0089374D">
              <w:t xml:space="preserve">, </w:t>
            </w:r>
            <w:r w:rsidR="00BC6752" w:rsidRPr="00F71523">
              <w:t>NV017</w:t>
            </w:r>
          </w:p>
        </w:tc>
      </w:tr>
      <w:tr w:rsidR="00D064F5" w:rsidRPr="00F71523" w14:paraId="372024BA" w14:textId="77777777" w:rsidTr="00CB066E">
        <w:trPr>
          <w:cantSplit/>
        </w:trPr>
        <w:tc>
          <w:tcPr>
            <w:tcW w:w="2046" w:type="dxa"/>
          </w:tcPr>
          <w:p w14:paraId="6B0AAB4D" w14:textId="77777777" w:rsidR="00D064F5" w:rsidRPr="00F71523" w:rsidRDefault="00D064F5" w:rsidP="00CB1C25">
            <w:pPr>
              <w:pStyle w:val="TableText"/>
            </w:pPr>
          </w:p>
        </w:tc>
        <w:tc>
          <w:tcPr>
            <w:tcW w:w="800" w:type="dxa"/>
            <w:hideMark/>
          </w:tcPr>
          <w:p w14:paraId="135A9193" w14:textId="270EF12D" w:rsidR="00D064F5" w:rsidRPr="00F71523" w:rsidRDefault="00D064F5" w:rsidP="00CB066E">
            <w:pPr>
              <w:pStyle w:val="TableText"/>
            </w:pPr>
            <w:r>
              <w:t>NV9</w:t>
            </w:r>
          </w:p>
        </w:tc>
        <w:tc>
          <w:tcPr>
            <w:tcW w:w="7894" w:type="dxa"/>
            <w:vAlign w:val="bottom"/>
            <w:hideMark/>
          </w:tcPr>
          <w:p w14:paraId="35F5D013" w14:textId="0BF75E17" w:rsidR="00D064F5" w:rsidRPr="00CB066E" w:rsidRDefault="00D064F5" w:rsidP="00D064F5">
            <w:pPr>
              <w:pStyle w:val="TableText"/>
              <w:numPr>
                <w:ilvl w:val="0"/>
                <w:numId w:val="13"/>
              </w:numPr>
              <w:rPr>
                <w:b/>
                <w:u w:val="single"/>
              </w:rPr>
            </w:pPr>
            <w:r w:rsidRPr="00CB066E">
              <w:rPr>
                <w:b/>
                <w:u w:val="single"/>
              </w:rPr>
              <w:t>Vibration Dose Values</w:t>
            </w:r>
            <w:r>
              <w:rPr>
                <w:b/>
                <w:u w:val="single"/>
              </w:rPr>
              <w:t xml:space="preserve"> </w:t>
            </w:r>
            <w:r w:rsidR="004A4D5E">
              <w:rPr>
                <w:b/>
                <w:u w:val="single"/>
              </w:rPr>
              <w:t xml:space="preserve">(VDVs) </w:t>
            </w:r>
            <w:r>
              <w:rPr>
                <w:b/>
                <w:u w:val="single"/>
              </w:rPr>
              <w:t>(Human Comfort)</w:t>
            </w:r>
          </w:p>
          <w:p w14:paraId="323C3927" w14:textId="0347117C" w:rsidR="00D064F5" w:rsidRDefault="004B35EB" w:rsidP="00D064F5">
            <w:pPr>
              <w:pStyle w:val="TableText"/>
              <w:numPr>
                <w:ilvl w:val="0"/>
                <w:numId w:val="13"/>
              </w:numPr>
            </w:pPr>
            <w:r>
              <w:t>I</w:t>
            </w:r>
            <w:r w:rsidR="00D064F5">
              <w:t>mplement management actions if the following Guideline Targets (VDVs) (based Table 1 in BS6472-1:2008) for continuous (as for TBMs and road headers), intermittent, or impulsive vibration are not achieved.</w:t>
            </w:r>
          </w:p>
          <w:tbl>
            <w:tblPr>
              <w:tblStyle w:val="RowMainTableStyle"/>
              <w:tblW w:w="0" w:type="auto"/>
              <w:tblLayout w:type="fixed"/>
              <w:tblLook w:val="0400" w:firstRow="0" w:lastRow="0" w:firstColumn="0" w:lastColumn="0" w:noHBand="0" w:noVBand="1"/>
            </w:tblPr>
            <w:tblGrid>
              <w:gridCol w:w="2410"/>
              <w:gridCol w:w="1204"/>
              <w:gridCol w:w="1205"/>
              <w:gridCol w:w="1205"/>
              <w:gridCol w:w="1205"/>
            </w:tblGrid>
            <w:tr w:rsidR="00D064F5" w14:paraId="29F0DF5C" w14:textId="77777777">
              <w:tc>
                <w:tcPr>
                  <w:tcW w:w="2410" w:type="dxa"/>
                  <w:vMerge w:val="restart"/>
                  <w:tcBorders>
                    <w:top w:val="single" w:sz="4" w:space="0" w:color="A59C94" w:themeColor="accent3"/>
                    <w:left w:val="nil"/>
                    <w:bottom w:val="single" w:sz="4" w:space="0" w:color="A59C94" w:themeColor="accent3"/>
                    <w:right w:val="single" w:sz="4" w:space="0" w:color="A59C94" w:themeColor="accent3"/>
                  </w:tcBorders>
                  <w:shd w:val="clear" w:color="auto" w:fill="F2F2F2" w:themeFill="background1" w:themeFillShade="F2"/>
                  <w:vAlign w:val="bottom"/>
                  <w:hideMark/>
                </w:tcPr>
                <w:p w14:paraId="4B695540" w14:textId="77777777" w:rsidR="00D064F5" w:rsidRPr="009631F9" w:rsidRDefault="00D064F5" w:rsidP="00D064F5">
                  <w:pPr>
                    <w:pStyle w:val="TableText"/>
                    <w:numPr>
                      <w:ilvl w:val="0"/>
                      <w:numId w:val="13"/>
                    </w:numPr>
                    <w:rPr>
                      <w:b/>
                    </w:rPr>
                  </w:pPr>
                  <w:r w:rsidRPr="009631F9">
                    <w:rPr>
                      <w:b/>
                    </w:rPr>
                    <w:t>Location</w:t>
                  </w:r>
                </w:p>
              </w:tc>
              <w:tc>
                <w:tcPr>
                  <w:tcW w:w="4819" w:type="dxa"/>
                  <w:gridSpan w:val="4"/>
                  <w:tcBorders>
                    <w:top w:val="single" w:sz="4" w:space="0" w:color="A59C94" w:themeColor="accent3"/>
                    <w:left w:val="single" w:sz="4" w:space="0" w:color="A59C94" w:themeColor="accent3"/>
                    <w:bottom w:val="single" w:sz="4" w:space="0" w:color="A59C94" w:themeColor="accent3"/>
                    <w:right w:val="nil"/>
                  </w:tcBorders>
                  <w:shd w:val="clear" w:color="auto" w:fill="F2F2F2" w:themeFill="background1" w:themeFillShade="F2"/>
                  <w:vAlign w:val="bottom"/>
                  <w:hideMark/>
                </w:tcPr>
                <w:p w14:paraId="22F8480D" w14:textId="77777777" w:rsidR="00D064F5" w:rsidRPr="009631F9" w:rsidRDefault="00D064F5" w:rsidP="00D064F5">
                  <w:pPr>
                    <w:pStyle w:val="TableText"/>
                    <w:numPr>
                      <w:ilvl w:val="0"/>
                      <w:numId w:val="13"/>
                    </w:numPr>
                    <w:jc w:val="center"/>
                    <w:rPr>
                      <w:b/>
                    </w:rPr>
                  </w:pPr>
                  <w:r w:rsidRPr="009631F9">
                    <w:rPr>
                      <w:b/>
                    </w:rPr>
                    <w:t>VDV (m/s</w:t>
                  </w:r>
                  <w:r w:rsidRPr="009631F9">
                    <w:rPr>
                      <w:b/>
                      <w:vertAlign w:val="superscript"/>
                    </w:rPr>
                    <w:t>1.75</w:t>
                  </w:r>
                  <w:r w:rsidRPr="009631F9">
                    <w:rPr>
                      <w:b/>
                    </w:rPr>
                    <w:t>)</w:t>
                  </w:r>
                </w:p>
              </w:tc>
            </w:tr>
            <w:tr w:rsidR="00D064F5" w14:paraId="56A3D2D5" w14:textId="77777777">
              <w:trPr>
                <w:trHeight w:val="541"/>
              </w:trPr>
              <w:tc>
                <w:tcPr>
                  <w:tcW w:w="2410" w:type="dxa"/>
                  <w:vMerge/>
                  <w:tcBorders>
                    <w:top w:val="single" w:sz="4" w:space="0" w:color="A59C94" w:themeColor="accent3"/>
                    <w:left w:val="nil"/>
                    <w:bottom w:val="single" w:sz="4" w:space="0" w:color="A59C94" w:themeColor="accent3"/>
                    <w:right w:val="single" w:sz="4" w:space="0" w:color="A59C94" w:themeColor="accent3"/>
                  </w:tcBorders>
                  <w:vAlign w:val="center"/>
                  <w:hideMark/>
                </w:tcPr>
                <w:p w14:paraId="18B58E96" w14:textId="77777777" w:rsidR="00D064F5" w:rsidRPr="009631F9" w:rsidRDefault="00D064F5">
                  <w:pPr>
                    <w:spacing w:before="0" w:after="0" w:line="240" w:lineRule="auto"/>
                    <w:rPr>
                      <w:b/>
                      <w:sz w:val="18"/>
                    </w:rPr>
                  </w:pPr>
                </w:p>
              </w:tc>
              <w:tc>
                <w:tcPr>
                  <w:tcW w:w="2409" w:type="dxa"/>
                  <w:gridSpan w:val="2"/>
                  <w:tcBorders>
                    <w:top w:val="single" w:sz="4" w:space="0" w:color="A59C94" w:themeColor="accent3"/>
                    <w:left w:val="single" w:sz="4" w:space="0" w:color="A59C94" w:themeColor="accent3"/>
                    <w:bottom w:val="single" w:sz="4" w:space="0" w:color="A59C94" w:themeColor="accent3"/>
                    <w:right w:val="single" w:sz="4" w:space="0" w:color="A59C94" w:themeColor="accent3"/>
                  </w:tcBorders>
                  <w:shd w:val="clear" w:color="auto" w:fill="F2F2F2" w:themeFill="background1" w:themeFillShade="F2"/>
                  <w:vAlign w:val="bottom"/>
                  <w:hideMark/>
                </w:tcPr>
                <w:p w14:paraId="082BD2E2" w14:textId="77777777" w:rsidR="00D064F5" w:rsidRPr="009631F9" w:rsidRDefault="00D064F5" w:rsidP="00D064F5">
                  <w:pPr>
                    <w:pStyle w:val="TableText"/>
                    <w:numPr>
                      <w:ilvl w:val="0"/>
                      <w:numId w:val="13"/>
                    </w:numPr>
                    <w:jc w:val="center"/>
                    <w:rPr>
                      <w:b/>
                    </w:rPr>
                  </w:pPr>
                  <w:r w:rsidRPr="009631F9">
                    <w:rPr>
                      <w:b/>
                    </w:rPr>
                    <w:t>Day</w:t>
                  </w:r>
                  <w:r w:rsidRPr="009631F9">
                    <w:rPr>
                      <w:b/>
                    </w:rPr>
                    <w:br/>
                    <w:t>7:00am to 10:00pm</w:t>
                  </w:r>
                </w:p>
              </w:tc>
              <w:tc>
                <w:tcPr>
                  <w:tcW w:w="2410" w:type="dxa"/>
                  <w:gridSpan w:val="2"/>
                  <w:tcBorders>
                    <w:top w:val="single" w:sz="4" w:space="0" w:color="A59C94" w:themeColor="accent3"/>
                    <w:left w:val="single" w:sz="4" w:space="0" w:color="A59C94" w:themeColor="accent3"/>
                    <w:bottom w:val="single" w:sz="4" w:space="0" w:color="A59C94" w:themeColor="accent3"/>
                    <w:right w:val="nil"/>
                  </w:tcBorders>
                  <w:shd w:val="clear" w:color="auto" w:fill="F2F2F2" w:themeFill="background1" w:themeFillShade="F2"/>
                  <w:vAlign w:val="bottom"/>
                  <w:hideMark/>
                </w:tcPr>
                <w:p w14:paraId="1445D908" w14:textId="77777777" w:rsidR="00D064F5" w:rsidRPr="009631F9" w:rsidRDefault="00D064F5" w:rsidP="00D064F5">
                  <w:pPr>
                    <w:pStyle w:val="TableText"/>
                    <w:numPr>
                      <w:ilvl w:val="0"/>
                      <w:numId w:val="13"/>
                    </w:numPr>
                    <w:jc w:val="center"/>
                    <w:rPr>
                      <w:b/>
                    </w:rPr>
                  </w:pPr>
                  <w:r w:rsidRPr="009631F9">
                    <w:rPr>
                      <w:b/>
                    </w:rPr>
                    <w:t>Night</w:t>
                  </w:r>
                  <w:r w:rsidRPr="009631F9">
                    <w:rPr>
                      <w:b/>
                    </w:rPr>
                    <w:br/>
                    <w:t>10:00pm to 7:00am</w:t>
                  </w:r>
                </w:p>
              </w:tc>
            </w:tr>
            <w:tr w:rsidR="00D064F5" w14:paraId="1858E52A" w14:textId="77777777">
              <w:tc>
                <w:tcPr>
                  <w:tcW w:w="2410" w:type="dxa"/>
                  <w:vMerge/>
                  <w:tcBorders>
                    <w:top w:val="single" w:sz="4" w:space="0" w:color="A59C94" w:themeColor="accent3"/>
                    <w:left w:val="nil"/>
                    <w:bottom w:val="single" w:sz="4" w:space="0" w:color="A59C94" w:themeColor="accent3"/>
                    <w:right w:val="single" w:sz="4" w:space="0" w:color="A59C94" w:themeColor="accent3"/>
                  </w:tcBorders>
                  <w:vAlign w:val="center"/>
                  <w:hideMark/>
                </w:tcPr>
                <w:p w14:paraId="65DC27CB" w14:textId="77777777" w:rsidR="00D064F5" w:rsidRPr="009631F9" w:rsidRDefault="00D064F5">
                  <w:pPr>
                    <w:spacing w:before="0" w:after="0" w:line="240" w:lineRule="auto"/>
                    <w:rPr>
                      <w:b/>
                      <w:sz w:val="18"/>
                    </w:rPr>
                  </w:pPr>
                </w:p>
              </w:tc>
              <w:tc>
                <w:tcPr>
                  <w:tcW w:w="1204" w:type="dxa"/>
                  <w:tcBorders>
                    <w:top w:val="single" w:sz="4" w:space="0" w:color="A59C94" w:themeColor="accent3"/>
                    <w:left w:val="single" w:sz="4" w:space="0" w:color="A59C94" w:themeColor="accent3"/>
                    <w:bottom w:val="single" w:sz="4" w:space="0" w:color="A59C94" w:themeColor="accent3"/>
                    <w:right w:val="single" w:sz="4" w:space="0" w:color="A59C94" w:themeColor="accent3"/>
                  </w:tcBorders>
                  <w:shd w:val="clear" w:color="auto" w:fill="F2F2F2" w:themeFill="background1" w:themeFillShade="F2"/>
                  <w:vAlign w:val="bottom"/>
                  <w:hideMark/>
                </w:tcPr>
                <w:p w14:paraId="49EF7E99" w14:textId="77777777" w:rsidR="00D064F5" w:rsidRPr="009631F9" w:rsidRDefault="00D064F5" w:rsidP="00D064F5">
                  <w:pPr>
                    <w:pStyle w:val="TableText"/>
                    <w:numPr>
                      <w:ilvl w:val="0"/>
                      <w:numId w:val="13"/>
                    </w:numPr>
                    <w:jc w:val="center"/>
                    <w:rPr>
                      <w:b/>
                    </w:rPr>
                  </w:pPr>
                  <w:r w:rsidRPr="009631F9">
                    <w:rPr>
                      <w:b/>
                    </w:rPr>
                    <w:t>Preferred Value</w:t>
                  </w:r>
                </w:p>
              </w:tc>
              <w:tc>
                <w:tcPr>
                  <w:tcW w:w="1205" w:type="dxa"/>
                  <w:tcBorders>
                    <w:top w:val="single" w:sz="4" w:space="0" w:color="A59C94" w:themeColor="accent3"/>
                    <w:left w:val="single" w:sz="4" w:space="0" w:color="A59C94" w:themeColor="accent3"/>
                    <w:bottom w:val="single" w:sz="4" w:space="0" w:color="A59C94" w:themeColor="accent3"/>
                    <w:right w:val="single" w:sz="4" w:space="0" w:color="A59C94" w:themeColor="accent3"/>
                  </w:tcBorders>
                  <w:shd w:val="clear" w:color="auto" w:fill="F2F2F2" w:themeFill="background1" w:themeFillShade="F2"/>
                  <w:vAlign w:val="bottom"/>
                  <w:hideMark/>
                </w:tcPr>
                <w:p w14:paraId="03D883FC" w14:textId="77777777" w:rsidR="00D064F5" w:rsidRPr="009631F9" w:rsidRDefault="00D064F5" w:rsidP="00D064F5">
                  <w:pPr>
                    <w:pStyle w:val="TableText"/>
                    <w:numPr>
                      <w:ilvl w:val="0"/>
                      <w:numId w:val="13"/>
                    </w:numPr>
                    <w:jc w:val="center"/>
                    <w:rPr>
                      <w:b/>
                    </w:rPr>
                  </w:pPr>
                  <w:r w:rsidRPr="009631F9">
                    <w:rPr>
                      <w:b/>
                    </w:rPr>
                    <w:t>Maximum Value</w:t>
                  </w:r>
                </w:p>
              </w:tc>
              <w:tc>
                <w:tcPr>
                  <w:tcW w:w="1205" w:type="dxa"/>
                  <w:tcBorders>
                    <w:top w:val="single" w:sz="4" w:space="0" w:color="A59C94" w:themeColor="accent3"/>
                    <w:left w:val="single" w:sz="4" w:space="0" w:color="A59C94" w:themeColor="accent3"/>
                    <w:bottom w:val="single" w:sz="4" w:space="0" w:color="A59C94" w:themeColor="accent3"/>
                    <w:right w:val="single" w:sz="4" w:space="0" w:color="A59C94" w:themeColor="accent3"/>
                  </w:tcBorders>
                  <w:shd w:val="clear" w:color="auto" w:fill="F2F2F2" w:themeFill="background1" w:themeFillShade="F2"/>
                  <w:vAlign w:val="bottom"/>
                  <w:hideMark/>
                </w:tcPr>
                <w:p w14:paraId="244C0A34" w14:textId="77777777" w:rsidR="00D064F5" w:rsidRPr="009631F9" w:rsidRDefault="00D064F5" w:rsidP="00D064F5">
                  <w:pPr>
                    <w:pStyle w:val="TableText"/>
                    <w:numPr>
                      <w:ilvl w:val="0"/>
                      <w:numId w:val="13"/>
                    </w:numPr>
                    <w:jc w:val="center"/>
                    <w:rPr>
                      <w:b/>
                    </w:rPr>
                  </w:pPr>
                  <w:r w:rsidRPr="009631F9">
                    <w:rPr>
                      <w:b/>
                    </w:rPr>
                    <w:t>Preferred Value</w:t>
                  </w:r>
                </w:p>
              </w:tc>
              <w:tc>
                <w:tcPr>
                  <w:tcW w:w="1205" w:type="dxa"/>
                  <w:tcBorders>
                    <w:top w:val="single" w:sz="4" w:space="0" w:color="A59C94" w:themeColor="accent3"/>
                    <w:left w:val="single" w:sz="4" w:space="0" w:color="A59C94" w:themeColor="accent3"/>
                    <w:bottom w:val="single" w:sz="4" w:space="0" w:color="A59C94" w:themeColor="accent3"/>
                    <w:right w:val="nil"/>
                  </w:tcBorders>
                  <w:shd w:val="clear" w:color="auto" w:fill="F2F2F2" w:themeFill="background1" w:themeFillShade="F2"/>
                  <w:vAlign w:val="bottom"/>
                  <w:hideMark/>
                </w:tcPr>
                <w:p w14:paraId="14303473" w14:textId="77777777" w:rsidR="00D064F5" w:rsidRPr="009631F9" w:rsidRDefault="00D064F5" w:rsidP="00D064F5">
                  <w:pPr>
                    <w:pStyle w:val="TableText"/>
                    <w:numPr>
                      <w:ilvl w:val="0"/>
                      <w:numId w:val="13"/>
                    </w:numPr>
                    <w:jc w:val="center"/>
                    <w:rPr>
                      <w:b/>
                    </w:rPr>
                  </w:pPr>
                  <w:r w:rsidRPr="009631F9">
                    <w:rPr>
                      <w:b/>
                    </w:rPr>
                    <w:t>Maximum Value</w:t>
                  </w:r>
                </w:p>
              </w:tc>
            </w:tr>
            <w:tr w:rsidR="00D064F5" w14:paraId="2D48DE83" w14:textId="77777777">
              <w:tc>
                <w:tcPr>
                  <w:tcW w:w="2410" w:type="dxa"/>
                  <w:tcBorders>
                    <w:top w:val="single" w:sz="4" w:space="0" w:color="A59C94" w:themeColor="accent3"/>
                    <w:left w:val="nil"/>
                    <w:bottom w:val="single" w:sz="4" w:space="0" w:color="A59C94" w:themeColor="accent3"/>
                    <w:right w:val="single" w:sz="4" w:space="0" w:color="A59C94" w:themeColor="accent3"/>
                  </w:tcBorders>
                  <w:hideMark/>
                </w:tcPr>
                <w:p w14:paraId="255C3761" w14:textId="77777777" w:rsidR="00D064F5" w:rsidRDefault="00D064F5" w:rsidP="00D064F5">
                  <w:pPr>
                    <w:pStyle w:val="TableText"/>
                    <w:numPr>
                      <w:ilvl w:val="0"/>
                      <w:numId w:val="13"/>
                    </w:numPr>
                  </w:pPr>
                  <w:r>
                    <w:t>Residences</w:t>
                  </w:r>
                </w:p>
              </w:tc>
              <w:tc>
                <w:tcPr>
                  <w:tcW w:w="1204" w:type="dxa"/>
                  <w:tcBorders>
                    <w:top w:val="single" w:sz="4" w:space="0" w:color="A59C94" w:themeColor="accent3"/>
                    <w:left w:val="single" w:sz="4" w:space="0" w:color="A59C94" w:themeColor="accent3"/>
                    <w:bottom w:val="single" w:sz="4" w:space="0" w:color="A59C94" w:themeColor="accent3"/>
                    <w:right w:val="single" w:sz="4" w:space="0" w:color="A59C94" w:themeColor="accent3"/>
                  </w:tcBorders>
                  <w:hideMark/>
                </w:tcPr>
                <w:p w14:paraId="5DC543C7" w14:textId="77777777" w:rsidR="00D064F5" w:rsidRDefault="00D064F5" w:rsidP="00D064F5">
                  <w:pPr>
                    <w:pStyle w:val="TableText"/>
                    <w:numPr>
                      <w:ilvl w:val="0"/>
                      <w:numId w:val="13"/>
                    </w:numPr>
                    <w:jc w:val="center"/>
                  </w:pPr>
                  <w:r>
                    <w:t>0.20</w:t>
                  </w:r>
                </w:p>
              </w:tc>
              <w:tc>
                <w:tcPr>
                  <w:tcW w:w="1205" w:type="dxa"/>
                  <w:tcBorders>
                    <w:top w:val="single" w:sz="4" w:space="0" w:color="A59C94" w:themeColor="accent3"/>
                    <w:left w:val="single" w:sz="4" w:space="0" w:color="A59C94" w:themeColor="accent3"/>
                    <w:bottom w:val="single" w:sz="4" w:space="0" w:color="A59C94" w:themeColor="accent3"/>
                    <w:right w:val="single" w:sz="4" w:space="0" w:color="A59C94" w:themeColor="accent3"/>
                  </w:tcBorders>
                  <w:hideMark/>
                </w:tcPr>
                <w:p w14:paraId="73C60454" w14:textId="77777777" w:rsidR="00D064F5" w:rsidRDefault="00D064F5" w:rsidP="00D064F5">
                  <w:pPr>
                    <w:pStyle w:val="TableText"/>
                    <w:numPr>
                      <w:ilvl w:val="0"/>
                      <w:numId w:val="13"/>
                    </w:numPr>
                    <w:jc w:val="center"/>
                  </w:pPr>
                  <w:r>
                    <w:t>0.40</w:t>
                  </w:r>
                </w:p>
              </w:tc>
              <w:tc>
                <w:tcPr>
                  <w:tcW w:w="1205" w:type="dxa"/>
                  <w:tcBorders>
                    <w:top w:val="single" w:sz="4" w:space="0" w:color="A59C94" w:themeColor="accent3"/>
                    <w:left w:val="single" w:sz="4" w:space="0" w:color="A59C94" w:themeColor="accent3"/>
                    <w:bottom w:val="single" w:sz="4" w:space="0" w:color="A59C94" w:themeColor="accent3"/>
                    <w:right w:val="single" w:sz="4" w:space="0" w:color="A59C94" w:themeColor="accent3"/>
                  </w:tcBorders>
                  <w:hideMark/>
                </w:tcPr>
                <w:p w14:paraId="0EA0FEF5" w14:textId="77777777" w:rsidR="00D064F5" w:rsidRDefault="00D064F5" w:rsidP="00D064F5">
                  <w:pPr>
                    <w:pStyle w:val="TableText"/>
                    <w:numPr>
                      <w:ilvl w:val="0"/>
                      <w:numId w:val="13"/>
                    </w:numPr>
                    <w:jc w:val="center"/>
                  </w:pPr>
                  <w:r>
                    <w:t>0.10</w:t>
                  </w:r>
                </w:p>
              </w:tc>
              <w:tc>
                <w:tcPr>
                  <w:tcW w:w="1205" w:type="dxa"/>
                  <w:tcBorders>
                    <w:top w:val="single" w:sz="4" w:space="0" w:color="A59C94" w:themeColor="accent3"/>
                    <w:left w:val="single" w:sz="4" w:space="0" w:color="A59C94" w:themeColor="accent3"/>
                    <w:bottom w:val="single" w:sz="4" w:space="0" w:color="A59C94" w:themeColor="accent3"/>
                    <w:right w:val="nil"/>
                  </w:tcBorders>
                  <w:hideMark/>
                </w:tcPr>
                <w:p w14:paraId="5161BAD2" w14:textId="77777777" w:rsidR="00D064F5" w:rsidRDefault="00D064F5" w:rsidP="00D064F5">
                  <w:pPr>
                    <w:pStyle w:val="TableText"/>
                    <w:numPr>
                      <w:ilvl w:val="0"/>
                      <w:numId w:val="13"/>
                    </w:numPr>
                    <w:jc w:val="center"/>
                  </w:pPr>
                  <w:r>
                    <w:t>0.20</w:t>
                  </w:r>
                </w:p>
              </w:tc>
            </w:tr>
            <w:tr w:rsidR="00D064F5" w14:paraId="135CD3E3" w14:textId="77777777">
              <w:tc>
                <w:tcPr>
                  <w:tcW w:w="2410" w:type="dxa"/>
                  <w:tcBorders>
                    <w:top w:val="single" w:sz="4" w:space="0" w:color="A59C94" w:themeColor="accent3"/>
                    <w:left w:val="nil"/>
                    <w:bottom w:val="single" w:sz="4" w:space="0" w:color="A59C94" w:themeColor="accent3"/>
                    <w:right w:val="single" w:sz="4" w:space="0" w:color="A59C94" w:themeColor="accent3"/>
                  </w:tcBorders>
                  <w:hideMark/>
                </w:tcPr>
                <w:p w14:paraId="5F8D015C" w14:textId="77777777" w:rsidR="00D064F5" w:rsidRDefault="00D064F5" w:rsidP="00D064F5">
                  <w:pPr>
                    <w:pStyle w:val="TableText"/>
                    <w:numPr>
                      <w:ilvl w:val="0"/>
                      <w:numId w:val="13"/>
                    </w:numPr>
                  </w:pPr>
                  <w:r>
                    <w:t>Offices, schools, educational institutions, places of worship</w:t>
                  </w:r>
                </w:p>
              </w:tc>
              <w:tc>
                <w:tcPr>
                  <w:tcW w:w="1204" w:type="dxa"/>
                  <w:tcBorders>
                    <w:top w:val="single" w:sz="4" w:space="0" w:color="A59C94" w:themeColor="accent3"/>
                    <w:left w:val="single" w:sz="4" w:space="0" w:color="A59C94" w:themeColor="accent3"/>
                    <w:bottom w:val="single" w:sz="4" w:space="0" w:color="A59C94" w:themeColor="accent3"/>
                    <w:right w:val="single" w:sz="4" w:space="0" w:color="A59C94" w:themeColor="accent3"/>
                  </w:tcBorders>
                  <w:hideMark/>
                </w:tcPr>
                <w:p w14:paraId="3F7A01FC" w14:textId="77777777" w:rsidR="00D064F5" w:rsidRDefault="00D064F5" w:rsidP="00D064F5">
                  <w:pPr>
                    <w:pStyle w:val="TableText"/>
                    <w:numPr>
                      <w:ilvl w:val="0"/>
                      <w:numId w:val="13"/>
                    </w:numPr>
                    <w:jc w:val="center"/>
                  </w:pPr>
                  <w:r>
                    <w:t>0.40</w:t>
                  </w:r>
                </w:p>
              </w:tc>
              <w:tc>
                <w:tcPr>
                  <w:tcW w:w="1205" w:type="dxa"/>
                  <w:tcBorders>
                    <w:top w:val="single" w:sz="4" w:space="0" w:color="A59C94" w:themeColor="accent3"/>
                    <w:left w:val="single" w:sz="4" w:space="0" w:color="A59C94" w:themeColor="accent3"/>
                    <w:bottom w:val="single" w:sz="4" w:space="0" w:color="A59C94" w:themeColor="accent3"/>
                    <w:right w:val="single" w:sz="4" w:space="0" w:color="A59C94" w:themeColor="accent3"/>
                  </w:tcBorders>
                  <w:hideMark/>
                </w:tcPr>
                <w:p w14:paraId="46AAF909" w14:textId="77777777" w:rsidR="00D064F5" w:rsidRDefault="00D064F5" w:rsidP="00D064F5">
                  <w:pPr>
                    <w:pStyle w:val="TableText"/>
                    <w:numPr>
                      <w:ilvl w:val="0"/>
                      <w:numId w:val="13"/>
                    </w:numPr>
                    <w:jc w:val="center"/>
                  </w:pPr>
                  <w:r>
                    <w:t>0.80</w:t>
                  </w:r>
                </w:p>
              </w:tc>
              <w:tc>
                <w:tcPr>
                  <w:tcW w:w="1205" w:type="dxa"/>
                  <w:tcBorders>
                    <w:top w:val="single" w:sz="4" w:space="0" w:color="A59C94" w:themeColor="accent3"/>
                    <w:left w:val="single" w:sz="4" w:space="0" w:color="A59C94" w:themeColor="accent3"/>
                    <w:bottom w:val="single" w:sz="4" w:space="0" w:color="A59C94" w:themeColor="accent3"/>
                    <w:right w:val="single" w:sz="4" w:space="0" w:color="A59C94" w:themeColor="accent3"/>
                  </w:tcBorders>
                  <w:hideMark/>
                </w:tcPr>
                <w:p w14:paraId="2820BBF7" w14:textId="77777777" w:rsidR="00D064F5" w:rsidRDefault="00D064F5" w:rsidP="00D064F5">
                  <w:pPr>
                    <w:pStyle w:val="TableText"/>
                    <w:numPr>
                      <w:ilvl w:val="0"/>
                      <w:numId w:val="13"/>
                    </w:numPr>
                    <w:jc w:val="center"/>
                  </w:pPr>
                  <w:r>
                    <w:t>0.40</w:t>
                  </w:r>
                </w:p>
              </w:tc>
              <w:tc>
                <w:tcPr>
                  <w:tcW w:w="1205" w:type="dxa"/>
                  <w:tcBorders>
                    <w:top w:val="single" w:sz="4" w:space="0" w:color="A59C94" w:themeColor="accent3"/>
                    <w:left w:val="single" w:sz="4" w:space="0" w:color="A59C94" w:themeColor="accent3"/>
                    <w:bottom w:val="single" w:sz="4" w:space="0" w:color="A59C94" w:themeColor="accent3"/>
                    <w:right w:val="nil"/>
                  </w:tcBorders>
                  <w:hideMark/>
                </w:tcPr>
                <w:p w14:paraId="0AD7C993" w14:textId="77777777" w:rsidR="00D064F5" w:rsidRDefault="00D064F5" w:rsidP="00D064F5">
                  <w:pPr>
                    <w:pStyle w:val="TableText"/>
                    <w:numPr>
                      <w:ilvl w:val="0"/>
                      <w:numId w:val="13"/>
                    </w:numPr>
                    <w:jc w:val="center"/>
                  </w:pPr>
                  <w:r>
                    <w:t>0.80</w:t>
                  </w:r>
                </w:p>
              </w:tc>
            </w:tr>
            <w:tr w:rsidR="00D064F5" w14:paraId="4651FE75" w14:textId="77777777">
              <w:tc>
                <w:tcPr>
                  <w:tcW w:w="2410" w:type="dxa"/>
                  <w:tcBorders>
                    <w:top w:val="single" w:sz="4" w:space="0" w:color="A59C94" w:themeColor="accent3"/>
                    <w:left w:val="nil"/>
                    <w:bottom w:val="single" w:sz="4" w:space="0" w:color="A59C94" w:themeColor="accent3"/>
                    <w:right w:val="single" w:sz="4" w:space="0" w:color="A59C94" w:themeColor="accent3"/>
                  </w:tcBorders>
                  <w:hideMark/>
                </w:tcPr>
                <w:p w14:paraId="6B3969E1" w14:textId="77777777" w:rsidR="00D064F5" w:rsidRDefault="00D064F5" w:rsidP="00D064F5">
                  <w:pPr>
                    <w:pStyle w:val="TableText"/>
                    <w:numPr>
                      <w:ilvl w:val="0"/>
                      <w:numId w:val="13"/>
                    </w:numPr>
                  </w:pPr>
                  <w:r>
                    <w:t>Workshops</w:t>
                  </w:r>
                </w:p>
              </w:tc>
              <w:tc>
                <w:tcPr>
                  <w:tcW w:w="1204" w:type="dxa"/>
                  <w:tcBorders>
                    <w:top w:val="single" w:sz="4" w:space="0" w:color="A59C94" w:themeColor="accent3"/>
                    <w:left w:val="single" w:sz="4" w:space="0" w:color="A59C94" w:themeColor="accent3"/>
                    <w:bottom w:val="single" w:sz="4" w:space="0" w:color="A59C94" w:themeColor="accent3"/>
                    <w:right w:val="single" w:sz="4" w:space="0" w:color="A59C94" w:themeColor="accent3"/>
                  </w:tcBorders>
                  <w:hideMark/>
                </w:tcPr>
                <w:p w14:paraId="149FC258" w14:textId="77777777" w:rsidR="00D064F5" w:rsidRDefault="00D064F5" w:rsidP="00D064F5">
                  <w:pPr>
                    <w:pStyle w:val="TableText"/>
                    <w:numPr>
                      <w:ilvl w:val="0"/>
                      <w:numId w:val="13"/>
                    </w:numPr>
                    <w:jc w:val="center"/>
                  </w:pPr>
                  <w:r>
                    <w:t>0.80</w:t>
                  </w:r>
                </w:p>
              </w:tc>
              <w:tc>
                <w:tcPr>
                  <w:tcW w:w="1205" w:type="dxa"/>
                  <w:tcBorders>
                    <w:top w:val="single" w:sz="4" w:space="0" w:color="A59C94" w:themeColor="accent3"/>
                    <w:left w:val="single" w:sz="4" w:space="0" w:color="A59C94" w:themeColor="accent3"/>
                    <w:bottom w:val="single" w:sz="4" w:space="0" w:color="A59C94" w:themeColor="accent3"/>
                    <w:right w:val="single" w:sz="4" w:space="0" w:color="A59C94" w:themeColor="accent3"/>
                  </w:tcBorders>
                  <w:hideMark/>
                </w:tcPr>
                <w:p w14:paraId="4FEF6922" w14:textId="77777777" w:rsidR="00D064F5" w:rsidRDefault="00D064F5" w:rsidP="00D064F5">
                  <w:pPr>
                    <w:pStyle w:val="TableText"/>
                    <w:numPr>
                      <w:ilvl w:val="0"/>
                      <w:numId w:val="13"/>
                    </w:numPr>
                    <w:jc w:val="center"/>
                  </w:pPr>
                  <w:r>
                    <w:t>1.60</w:t>
                  </w:r>
                </w:p>
              </w:tc>
              <w:tc>
                <w:tcPr>
                  <w:tcW w:w="1205" w:type="dxa"/>
                  <w:tcBorders>
                    <w:top w:val="single" w:sz="4" w:space="0" w:color="A59C94" w:themeColor="accent3"/>
                    <w:left w:val="single" w:sz="4" w:space="0" w:color="A59C94" w:themeColor="accent3"/>
                    <w:bottom w:val="single" w:sz="4" w:space="0" w:color="A59C94" w:themeColor="accent3"/>
                    <w:right w:val="single" w:sz="4" w:space="0" w:color="A59C94" w:themeColor="accent3"/>
                  </w:tcBorders>
                  <w:hideMark/>
                </w:tcPr>
                <w:p w14:paraId="2EA11BEA" w14:textId="77777777" w:rsidR="00D064F5" w:rsidRDefault="00D064F5" w:rsidP="00D064F5">
                  <w:pPr>
                    <w:pStyle w:val="TableText"/>
                    <w:numPr>
                      <w:ilvl w:val="0"/>
                      <w:numId w:val="13"/>
                    </w:numPr>
                    <w:jc w:val="center"/>
                  </w:pPr>
                  <w:r>
                    <w:t>0.80</w:t>
                  </w:r>
                </w:p>
              </w:tc>
              <w:tc>
                <w:tcPr>
                  <w:tcW w:w="1205" w:type="dxa"/>
                  <w:tcBorders>
                    <w:top w:val="single" w:sz="4" w:space="0" w:color="A59C94" w:themeColor="accent3"/>
                    <w:left w:val="single" w:sz="4" w:space="0" w:color="A59C94" w:themeColor="accent3"/>
                    <w:bottom w:val="single" w:sz="4" w:space="0" w:color="A59C94" w:themeColor="accent3"/>
                    <w:right w:val="nil"/>
                  </w:tcBorders>
                  <w:hideMark/>
                </w:tcPr>
                <w:p w14:paraId="75B89C52" w14:textId="77777777" w:rsidR="00D064F5" w:rsidRDefault="00D064F5" w:rsidP="00D064F5">
                  <w:pPr>
                    <w:pStyle w:val="TableText"/>
                    <w:numPr>
                      <w:ilvl w:val="0"/>
                      <w:numId w:val="13"/>
                    </w:numPr>
                    <w:jc w:val="center"/>
                  </w:pPr>
                  <w:r>
                    <w:t>1.60</w:t>
                  </w:r>
                </w:p>
              </w:tc>
            </w:tr>
          </w:tbl>
          <w:p w14:paraId="529BB455" w14:textId="5876761F" w:rsidR="00D064F5" w:rsidRPr="00CB066E" w:rsidRDefault="00D064F5" w:rsidP="00D064F5">
            <w:pPr>
              <w:pStyle w:val="TableText"/>
              <w:numPr>
                <w:ilvl w:val="0"/>
                <w:numId w:val="13"/>
              </w:numPr>
              <w:rPr>
                <w:b/>
                <w:color w:val="796E65" w:themeColor="accent4"/>
                <w:szCs w:val="18"/>
              </w:rPr>
            </w:pPr>
            <w:r w:rsidRPr="00CB066E">
              <w:rPr>
                <w:b/>
                <w:color w:val="796E65" w:themeColor="accent4"/>
                <w:szCs w:val="18"/>
              </w:rPr>
              <w:t>Notes</w:t>
            </w:r>
          </w:p>
          <w:p w14:paraId="567E23C6" w14:textId="66A2BDA8" w:rsidR="005C3FF1" w:rsidRPr="005C3FF1" w:rsidRDefault="005C3FF1" w:rsidP="005C3FF1">
            <w:pPr>
              <w:pStyle w:val="Source"/>
              <w:spacing w:before="60" w:after="60"/>
              <w:ind w:left="340" w:hanging="340"/>
            </w:pPr>
            <w:r w:rsidRPr="00F71523">
              <w:t>1</w:t>
            </w:r>
            <w:r w:rsidRPr="00F71523">
              <w:tab/>
            </w:r>
            <w:r w:rsidR="00D064F5" w:rsidRPr="005C3FF1">
              <w:t>The Guideline Targets are non-mandatory; they are goals that should be sought to be achieved through the application of feasible and reasonable mitigation measures. If exceeded then management actions would be required.</w:t>
            </w:r>
          </w:p>
          <w:p w14:paraId="7E4542E1" w14:textId="55A049E8" w:rsidR="004B35EB" w:rsidRPr="005C3FF1" w:rsidRDefault="005C3FF1" w:rsidP="00083764">
            <w:pPr>
              <w:pStyle w:val="Source"/>
              <w:spacing w:before="60" w:after="60"/>
              <w:ind w:left="340" w:hanging="340"/>
              <w:rPr>
                <w:color w:val="796E65" w:themeColor="accent4"/>
                <w:sz w:val="16"/>
                <w:szCs w:val="16"/>
              </w:rPr>
            </w:pPr>
            <w:r>
              <w:t>2</w:t>
            </w:r>
            <w:r>
              <w:tab/>
              <w:t>The VDV</w:t>
            </w:r>
            <w:r w:rsidR="004A4D5E">
              <w:t>s</w:t>
            </w:r>
            <w:r>
              <w:t xml:space="preserve"> </w:t>
            </w:r>
            <w:r w:rsidR="00083764">
              <w:t>may</w:t>
            </w:r>
            <w:r>
              <w:t xml:space="preserve"> be co</w:t>
            </w:r>
            <w:r w:rsidR="004E010D">
              <w:t>n</w:t>
            </w:r>
            <w:r>
              <w:t>ver</w:t>
            </w:r>
            <w:r w:rsidR="004E010D">
              <w:t>t</w:t>
            </w:r>
            <w:r>
              <w:t>ed to PPVs within a future n</w:t>
            </w:r>
            <w:r w:rsidR="004B35EB">
              <w:t xml:space="preserve">oise and </w:t>
            </w:r>
            <w:r>
              <w:t>v</w:t>
            </w:r>
            <w:r w:rsidR="004B35EB">
              <w:t xml:space="preserve">ibration </w:t>
            </w:r>
            <w:r>
              <w:t>c</w:t>
            </w:r>
            <w:r w:rsidR="004B35EB">
              <w:t>onstruction management plan</w:t>
            </w:r>
          </w:p>
        </w:tc>
        <w:tc>
          <w:tcPr>
            <w:tcW w:w="1168" w:type="dxa"/>
            <w:hideMark/>
          </w:tcPr>
          <w:p w14:paraId="4223A534" w14:textId="77777777" w:rsidR="00D064F5" w:rsidRPr="00F71523" w:rsidRDefault="00D064F5" w:rsidP="00457BDE">
            <w:pPr>
              <w:pStyle w:val="TableText"/>
            </w:pPr>
            <w:r w:rsidRPr="00F71523">
              <w:t>All</w:t>
            </w:r>
          </w:p>
        </w:tc>
        <w:tc>
          <w:tcPr>
            <w:tcW w:w="1276" w:type="dxa"/>
            <w:hideMark/>
          </w:tcPr>
          <w:p w14:paraId="6C859248" w14:textId="77777777" w:rsidR="00D064F5" w:rsidRPr="00F71523" w:rsidRDefault="00D064F5" w:rsidP="00457BDE">
            <w:pPr>
              <w:pStyle w:val="TableText"/>
            </w:pPr>
            <w:r w:rsidRPr="00F71523">
              <w:t>Construction</w:t>
            </w:r>
          </w:p>
        </w:tc>
        <w:tc>
          <w:tcPr>
            <w:tcW w:w="1383" w:type="dxa"/>
          </w:tcPr>
          <w:p w14:paraId="5B49BE8E" w14:textId="457B8EA9" w:rsidR="00D064F5" w:rsidRPr="00F71523" w:rsidRDefault="00D064F5" w:rsidP="00C712B8">
            <w:pPr>
              <w:pStyle w:val="TableText"/>
              <w:jc w:val="center"/>
            </w:pPr>
            <w:r w:rsidRPr="00F71523">
              <w:t>NV004</w:t>
            </w:r>
            <w:r w:rsidR="0089374D">
              <w:t xml:space="preserve">, </w:t>
            </w:r>
            <w:r w:rsidRPr="00F71523">
              <w:t>NV005</w:t>
            </w:r>
            <w:r w:rsidR="0089374D">
              <w:t xml:space="preserve">, </w:t>
            </w:r>
            <w:r w:rsidRPr="00F71523">
              <w:t>NV006</w:t>
            </w:r>
            <w:r w:rsidR="0089374D">
              <w:t xml:space="preserve">, </w:t>
            </w:r>
            <w:r w:rsidRPr="00F71523">
              <w:t>NV018</w:t>
            </w:r>
            <w:r w:rsidR="0089374D">
              <w:t xml:space="preserve">, </w:t>
            </w:r>
            <w:r w:rsidRPr="00F71523">
              <w:t>NV019</w:t>
            </w:r>
            <w:r w:rsidR="0089374D">
              <w:t xml:space="preserve">, </w:t>
            </w:r>
            <w:r w:rsidRPr="00F71523">
              <w:t>NV020</w:t>
            </w:r>
            <w:r w:rsidR="0089374D">
              <w:t xml:space="preserve">, </w:t>
            </w:r>
            <w:r w:rsidRPr="00F71523">
              <w:t>NV021</w:t>
            </w:r>
          </w:p>
        </w:tc>
      </w:tr>
      <w:tr w:rsidR="00BC6752" w:rsidRPr="00F71523" w14:paraId="17F12FC5" w14:textId="77777777" w:rsidTr="00CB066E">
        <w:trPr>
          <w:cantSplit/>
        </w:trPr>
        <w:tc>
          <w:tcPr>
            <w:tcW w:w="2046" w:type="dxa"/>
          </w:tcPr>
          <w:p w14:paraId="672DD6EC" w14:textId="77777777" w:rsidR="00BC6752" w:rsidRPr="00F71523" w:rsidRDefault="00BC6752" w:rsidP="00CB1C25">
            <w:pPr>
              <w:pStyle w:val="TableText"/>
            </w:pPr>
          </w:p>
        </w:tc>
        <w:tc>
          <w:tcPr>
            <w:tcW w:w="800" w:type="dxa"/>
            <w:hideMark/>
          </w:tcPr>
          <w:p w14:paraId="649B1664" w14:textId="215E9B92" w:rsidR="00BC6752" w:rsidRPr="00F71523" w:rsidRDefault="00BC6752" w:rsidP="00953369">
            <w:pPr>
              <w:pStyle w:val="TableText"/>
              <w:jc w:val="center"/>
            </w:pPr>
            <w:r w:rsidRPr="00F71523">
              <w:t>NV10</w:t>
            </w:r>
          </w:p>
        </w:tc>
        <w:tc>
          <w:tcPr>
            <w:tcW w:w="7894" w:type="dxa"/>
            <w:hideMark/>
          </w:tcPr>
          <w:p w14:paraId="6198F82F" w14:textId="179BDC6E" w:rsidR="00D064F5" w:rsidRPr="00CB066E" w:rsidRDefault="00D064F5" w:rsidP="00D064F5">
            <w:pPr>
              <w:pStyle w:val="TableText"/>
              <w:rPr>
                <w:b/>
                <w:u w:val="single"/>
              </w:rPr>
            </w:pPr>
            <w:r w:rsidRPr="00CB066E">
              <w:rPr>
                <w:b/>
                <w:u w:val="single"/>
              </w:rPr>
              <w:t>Vibration</w:t>
            </w:r>
            <w:r w:rsidR="00776776">
              <w:rPr>
                <w:b/>
                <w:u w:val="single"/>
              </w:rPr>
              <w:t>-s</w:t>
            </w:r>
            <w:r w:rsidRPr="00CB066E">
              <w:rPr>
                <w:b/>
                <w:u w:val="single"/>
              </w:rPr>
              <w:t>ensitive Equipment Guideline Targets</w:t>
            </w:r>
          </w:p>
          <w:p w14:paraId="2CB6E16E" w14:textId="51642720" w:rsidR="00BC6752" w:rsidRPr="00F71523" w:rsidRDefault="00BC6752" w:rsidP="00D064F5">
            <w:pPr>
              <w:pStyle w:val="TableText"/>
            </w:pPr>
            <w:r w:rsidRPr="00F71523">
              <w:t>Implement management actions if the following ASHRAE equipment vibration Guideline Targets or measured background levels (whichever is higher) are exceeded for vibration</w:t>
            </w:r>
            <w:r w:rsidR="00776776">
              <w:t>-</w:t>
            </w:r>
            <w:r w:rsidRPr="00F71523">
              <w:t>sensitive equipment during construction and operation at Parkville and CBD North stations.</w:t>
            </w:r>
          </w:p>
          <w:tbl>
            <w:tblPr>
              <w:tblStyle w:val="RowMainTableStyle"/>
              <w:tblW w:w="0" w:type="auto"/>
              <w:tblLayout w:type="fixed"/>
              <w:tblLook w:val="0400" w:firstRow="0" w:lastRow="0" w:firstColumn="0" w:lastColumn="0" w:noHBand="0" w:noVBand="1"/>
            </w:tblPr>
            <w:tblGrid>
              <w:gridCol w:w="6413"/>
              <w:gridCol w:w="1089"/>
            </w:tblGrid>
            <w:tr w:rsidR="00BC6752" w:rsidRPr="00F71523" w14:paraId="36B56C7B" w14:textId="77777777" w:rsidTr="00AA73EF">
              <w:trPr>
                <w:trHeight w:val="20"/>
              </w:trPr>
              <w:tc>
                <w:tcPr>
                  <w:tcW w:w="6413" w:type="dxa"/>
                  <w:shd w:val="clear" w:color="auto" w:fill="F2F2F2" w:themeFill="background1" w:themeFillShade="F2"/>
                  <w:hideMark/>
                </w:tcPr>
                <w:p w14:paraId="7EF31066" w14:textId="77777777" w:rsidR="00BC6752" w:rsidRPr="00F71523" w:rsidRDefault="00BC6752" w:rsidP="003E3E12">
                  <w:pPr>
                    <w:pStyle w:val="TableText"/>
                    <w:keepNext/>
                    <w:keepLines/>
                    <w:rPr>
                      <w:b/>
                    </w:rPr>
                  </w:pPr>
                  <w:r w:rsidRPr="00F71523">
                    <w:rPr>
                      <w:b/>
                    </w:rPr>
                    <w:t>Equipment requirements</w:t>
                  </w:r>
                </w:p>
              </w:tc>
              <w:tc>
                <w:tcPr>
                  <w:tcW w:w="1089" w:type="dxa"/>
                  <w:shd w:val="clear" w:color="auto" w:fill="F2F2F2" w:themeFill="background1" w:themeFillShade="F2"/>
                  <w:hideMark/>
                </w:tcPr>
                <w:p w14:paraId="4DC91848" w14:textId="77777777" w:rsidR="00BC6752" w:rsidRPr="00F71523" w:rsidRDefault="00BC6752" w:rsidP="003E3E12">
                  <w:pPr>
                    <w:pStyle w:val="TableText"/>
                    <w:keepNext/>
                    <w:keepLines/>
                    <w:jc w:val="center"/>
                    <w:rPr>
                      <w:b/>
                    </w:rPr>
                  </w:pPr>
                  <w:r w:rsidRPr="00F71523">
                    <w:rPr>
                      <w:b/>
                    </w:rPr>
                    <w:t>Curve</w:t>
                  </w:r>
                </w:p>
              </w:tc>
            </w:tr>
            <w:tr w:rsidR="00BC6752" w:rsidRPr="00F71523" w14:paraId="34592C31" w14:textId="77777777" w:rsidTr="00AA73EF">
              <w:trPr>
                <w:trHeight w:val="20"/>
              </w:trPr>
              <w:tc>
                <w:tcPr>
                  <w:tcW w:w="6413" w:type="dxa"/>
                  <w:hideMark/>
                </w:tcPr>
                <w:p w14:paraId="690F7ADB" w14:textId="77777777" w:rsidR="00BC6752" w:rsidRPr="00F71523" w:rsidRDefault="00BC6752" w:rsidP="00CB1C25">
                  <w:pPr>
                    <w:pStyle w:val="TableText"/>
                  </w:pPr>
                  <w:r w:rsidRPr="00F71523">
                    <w:t>Bench microscopes up to 100x magnification; laboratory robots</w:t>
                  </w:r>
                </w:p>
              </w:tc>
              <w:tc>
                <w:tcPr>
                  <w:tcW w:w="1089" w:type="dxa"/>
                  <w:hideMark/>
                </w:tcPr>
                <w:p w14:paraId="11E90B0A" w14:textId="77777777" w:rsidR="00BC6752" w:rsidRPr="00F71523" w:rsidRDefault="00BC6752" w:rsidP="003E3E12">
                  <w:pPr>
                    <w:pStyle w:val="TableText"/>
                    <w:jc w:val="center"/>
                  </w:pPr>
                  <w:r w:rsidRPr="00F71523">
                    <w:t>Operating Room</w:t>
                  </w:r>
                </w:p>
              </w:tc>
            </w:tr>
            <w:tr w:rsidR="00BC6752" w:rsidRPr="00F71523" w14:paraId="23985621" w14:textId="77777777" w:rsidTr="00AA73EF">
              <w:trPr>
                <w:trHeight w:val="20"/>
              </w:trPr>
              <w:tc>
                <w:tcPr>
                  <w:tcW w:w="6413" w:type="dxa"/>
                  <w:hideMark/>
                </w:tcPr>
                <w:p w14:paraId="5C01180F" w14:textId="77777777" w:rsidR="00BC6752" w:rsidRPr="00F71523" w:rsidRDefault="00BC6752" w:rsidP="00CB1C25">
                  <w:pPr>
                    <w:pStyle w:val="TableText"/>
                  </w:pPr>
                  <w:r w:rsidRPr="00F71523">
                    <w:t xml:space="preserve">Bench microscopes up to 400x magnification; optical and other precision balances; co-ordinate measuring machines; metrology laboratories; optical comparators; micro electronics manufacturing equipment; proximity and projection aligners, </w:t>
                  </w:r>
                  <w:proofErr w:type="spellStart"/>
                  <w:r w:rsidRPr="00F71523">
                    <w:t>etc</w:t>
                  </w:r>
                  <w:proofErr w:type="spellEnd"/>
                </w:p>
              </w:tc>
              <w:tc>
                <w:tcPr>
                  <w:tcW w:w="1089" w:type="dxa"/>
                  <w:hideMark/>
                </w:tcPr>
                <w:p w14:paraId="3104E37F" w14:textId="77777777" w:rsidR="00BC6752" w:rsidRPr="00F71523" w:rsidRDefault="00BC6752" w:rsidP="003E3E12">
                  <w:pPr>
                    <w:pStyle w:val="TableText"/>
                    <w:jc w:val="center"/>
                  </w:pPr>
                  <w:r w:rsidRPr="00F71523">
                    <w:t>VC-A</w:t>
                  </w:r>
                </w:p>
              </w:tc>
            </w:tr>
            <w:tr w:rsidR="00BC6752" w:rsidRPr="00F71523" w14:paraId="1E6460C8" w14:textId="77777777" w:rsidTr="00AA73EF">
              <w:trPr>
                <w:trHeight w:val="20"/>
              </w:trPr>
              <w:tc>
                <w:tcPr>
                  <w:tcW w:w="6413" w:type="dxa"/>
                  <w:hideMark/>
                </w:tcPr>
                <w:p w14:paraId="262D0569" w14:textId="77777777" w:rsidR="00BC6752" w:rsidRPr="00F71523" w:rsidRDefault="00BC6752" w:rsidP="00CB1C25">
                  <w:pPr>
                    <w:pStyle w:val="TableText"/>
                  </w:pPr>
                  <w:r w:rsidRPr="00F71523">
                    <w:t>Microsurgery, eye surgery, neurosurgery; bench microscope at magnification greater than 400x; optical equipment on isolation tables; microelectronic manufacturing equipment such as inspection and lithography equipment (including steppers) to 3mm line widths</w:t>
                  </w:r>
                </w:p>
              </w:tc>
              <w:tc>
                <w:tcPr>
                  <w:tcW w:w="1089" w:type="dxa"/>
                  <w:hideMark/>
                </w:tcPr>
                <w:p w14:paraId="28354352" w14:textId="77777777" w:rsidR="00BC6752" w:rsidRPr="00F71523" w:rsidRDefault="00BC6752" w:rsidP="003E3E12">
                  <w:pPr>
                    <w:pStyle w:val="TableText"/>
                    <w:jc w:val="center"/>
                  </w:pPr>
                  <w:r w:rsidRPr="00F71523">
                    <w:t>VC-B</w:t>
                  </w:r>
                </w:p>
              </w:tc>
            </w:tr>
            <w:tr w:rsidR="00BC6752" w:rsidRPr="00F71523" w14:paraId="1ACC52CB" w14:textId="77777777" w:rsidTr="00AA73EF">
              <w:trPr>
                <w:trHeight w:val="20"/>
              </w:trPr>
              <w:tc>
                <w:tcPr>
                  <w:tcW w:w="6413" w:type="dxa"/>
                  <w:hideMark/>
                </w:tcPr>
                <w:p w14:paraId="0BE190C8" w14:textId="77777777" w:rsidR="00BC6752" w:rsidRPr="00F71523" w:rsidRDefault="00BC6752" w:rsidP="00CB1C25">
                  <w:pPr>
                    <w:pStyle w:val="TableText"/>
                  </w:pPr>
                  <w:r w:rsidRPr="00F71523">
                    <w:t>Electron microscopes up to 30,000x magnification; microtomes; magnetic resonance images; microelectronics manufacturing equipment such as lithography and inspection equipment to 1mm detail size</w:t>
                  </w:r>
                </w:p>
              </w:tc>
              <w:tc>
                <w:tcPr>
                  <w:tcW w:w="1089" w:type="dxa"/>
                  <w:hideMark/>
                </w:tcPr>
                <w:p w14:paraId="677BFE01" w14:textId="77777777" w:rsidR="00BC6752" w:rsidRPr="00F71523" w:rsidRDefault="00BC6752" w:rsidP="003E3E12">
                  <w:pPr>
                    <w:pStyle w:val="TableText"/>
                    <w:jc w:val="center"/>
                  </w:pPr>
                  <w:r w:rsidRPr="00F71523">
                    <w:t>VC-C</w:t>
                  </w:r>
                </w:p>
              </w:tc>
            </w:tr>
            <w:tr w:rsidR="00BC6752" w:rsidRPr="00F71523" w14:paraId="69F3DCAE" w14:textId="77777777" w:rsidTr="00AA73EF">
              <w:trPr>
                <w:trHeight w:val="20"/>
              </w:trPr>
              <w:tc>
                <w:tcPr>
                  <w:tcW w:w="6413" w:type="dxa"/>
                  <w:tcBorders>
                    <w:bottom w:val="single" w:sz="4" w:space="0" w:color="A59C94" w:themeColor="accent3"/>
                  </w:tcBorders>
                  <w:hideMark/>
                </w:tcPr>
                <w:p w14:paraId="2B90F4D6" w14:textId="77777777" w:rsidR="00BC6752" w:rsidRPr="00F71523" w:rsidRDefault="00BC6752" w:rsidP="00CB1C25">
                  <w:pPr>
                    <w:pStyle w:val="TableText"/>
                  </w:pPr>
                  <w:r w:rsidRPr="00F71523">
                    <w:t>Electron microscopes at magnification greater than 30,000x; mass spectrometers; cell implant equipment; microelectronics manufacturing equipment such as aligners, steppers and other critical equipment for phot-lithography with line widths of ½ micro m; includes electron beam systems</w:t>
                  </w:r>
                </w:p>
              </w:tc>
              <w:tc>
                <w:tcPr>
                  <w:tcW w:w="1089" w:type="dxa"/>
                  <w:tcBorders>
                    <w:bottom w:val="single" w:sz="4" w:space="0" w:color="A59C94" w:themeColor="accent3"/>
                  </w:tcBorders>
                  <w:hideMark/>
                </w:tcPr>
                <w:p w14:paraId="730D8D55" w14:textId="77777777" w:rsidR="00BC6752" w:rsidRPr="00F71523" w:rsidRDefault="00BC6752" w:rsidP="003E3E12">
                  <w:pPr>
                    <w:pStyle w:val="TableText"/>
                    <w:jc w:val="center"/>
                  </w:pPr>
                  <w:r w:rsidRPr="00F71523">
                    <w:t>VC-D</w:t>
                  </w:r>
                </w:p>
              </w:tc>
            </w:tr>
            <w:tr w:rsidR="00BC6752" w:rsidRPr="00F71523" w14:paraId="71723D45" w14:textId="77777777" w:rsidTr="00CB066E">
              <w:trPr>
                <w:trHeight w:val="20"/>
              </w:trPr>
              <w:tc>
                <w:tcPr>
                  <w:tcW w:w="6413" w:type="dxa"/>
                  <w:hideMark/>
                </w:tcPr>
                <w:p w14:paraId="4B65E124" w14:textId="77777777" w:rsidR="00BC6752" w:rsidRPr="00F71523" w:rsidRDefault="00BC6752" w:rsidP="00CB1C25">
                  <w:pPr>
                    <w:pStyle w:val="TableText"/>
                  </w:pPr>
                  <w:proofErr w:type="spellStart"/>
                  <w:r w:rsidRPr="00F71523">
                    <w:t>Unisolated</w:t>
                  </w:r>
                  <w:proofErr w:type="spellEnd"/>
                  <w:r w:rsidRPr="00F71523">
                    <w:t xml:space="preserve"> laser and optical research systems; microelectronics manufacturing equipment such as aligners, steppers and other critical equipment for photolithography with line widths of ¼ micro m; includes electron beam systems</w:t>
                  </w:r>
                </w:p>
              </w:tc>
              <w:tc>
                <w:tcPr>
                  <w:tcW w:w="1089" w:type="dxa"/>
                  <w:hideMark/>
                </w:tcPr>
                <w:p w14:paraId="1E7B0B6E" w14:textId="77777777" w:rsidR="00BC6752" w:rsidRPr="00F71523" w:rsidRDefault="00BC6752" w:rsidP="003E3E12">
                  <w:pPr>
                    <w:pStyle w:val="TableText"/>
                    <w:jc w:val="center"/>
                  </w:pPr>
                  <w:r w:rsidRPr="00F71523">
                    <w:t>VC-E</w:t>
                  </w:r>
                </w:p>
              </w:tc>
            </w:tr>
          </w:tbl>
          <w:p w14:paraId="0EA8B462" w14:textId="539E6652" w:rsidR="005C3FF1" w:rsidRPr="00CB066E" w:rsidRDefault="005C3FF1" w:rsidP="005C3FF1">
            <w:pPr>
              <w:pStyle w:val="TableText"/>
              <w:numPr>
                <w:ilvl w:val="0"/>
                <w:numId w:val="13"/>
              </w:numPr>
              <w:rPr>
                <w:b/>
                <w:color w:val="796E65" w:themeColor="accent4"/>
                <w:szCs w:val="18"/>
              </w:rPr>
            </w:pPr>
            <w:r w:rsidRPr="00CB066E">
              <w:rPr>
                <w:b/>
                <w:color w:val="796E65" w:themeColor="accent4"/>
                <w:szCs w:val="18"/>
              </w:rPr>
              <w:t>Notes</w:t>
            </w:r>
          </w:p>
          <w:p w14:paraId="46A576C1" w14:textId="73CD5B83" w:rsidR="00BC6752" w:rsidRPr="00F71523" w:rsidRDefault="005C3FF1" w:rsidP="00CB066E">
            <w:pPr>
              <w:pStyle w:val="Source"/>
              <w:spacing w:before="60" w:after="60"/>
              <w:ind w:left="340" w:hanging="340"/>
              <w:rPr>
                <w:highlight w:val="yellow"/>
              </w:rPr>
            </w:pPr>
            <w:r w:rsidRPr="00F71523">
              <w:t>1</w:t>
            </w:r>
            <w:r w:rsidRPr="00F71523">
              <w:tab/>
            </w:r>
            <w:r>
              <w:t xml:space="preserve">The proponent </w:t>
            </w:r>
            <w:r w:rsidR="00083764">
              <w:t>may</w:t>
            </w:r>
            <w:r>
              <w:t xml:space="preserve"> undertake consultation with the users and agree alternative Guideline Targets.</w:t>
            </w:r>
          </w:p>
        </w:tc>
        <w:tc>
          <w:tcPr>
            <w:tcW w:w="1168" w:type="dxa"/>
            <w:hideMark/>
          </w:tcPr>
          <w:p w14:paraId="54C99929" w14:textId="77777777" w:rsidR="00BC6752" w:rsidRPr="00F71523" w:rsidRDefault="00BC6752" w:rsidP="00457BDE">
            <w:pPr>
              <w:pStyle w:val="TableText"/>
            </w:pPr>
            <w:r w:rsidRPr="00F71523">
              <w:t>4 – Parkville station</w:t>
            </w:r>
          </w:p>
          <w:p w14:paraId="5505ABEF" w14:textId="24FE1DE0" w:rsidR="00BC6752" w:rsidRPr="00F71523" w:rsidRDefault="00BC6752" w:rsidP="00457BDE">
            <w:pPr>
              <w:pStyle w:val="TableText"/>
            </w:pPr>
            <w:r w:rsidRPr="00F71523">
              <w:t xml:space="preserve">5 – </w:t>
            </w:r>
            <w:r w:rsidRPr="00F71523">
              <w:br/>
              <w:t>CBD North station</w:t>
            </w:r>
          </w:p>
        </w:tc>
        <w:tc>
          <w:tcPr>
            <w:tcW w:w="1276" w:type="dxa"/>
            <w:hideMark/>
          </w:tcPr>
          <w:p w14:paraId="55A1DB32" w14:textId="2D0562B7" w:rsidR="00BC6752" w:rsidRPr="00F71523" w:rsidRDefault="00BC6752" w:rsidP="00457BDE">
            <w:pPr>
              <w:pStyle w:val="TableText"/>
            </w:pPr>
            <w:r>
              <w:t>Construction</w:t>
            </w:r>
            <w:r w:rsidRPr="00F71523">
              <w:t>/ Operation</w:t>
            </w:r>
          </w:p>
        </w:tc>
        <w:tc>
          <w:tcPr>
            <w:tcW w:w="1383" w:type="dxa"/>
          </w:tcPr>
          <w:p w14:paraId="3D62F22B" w14:textId="07580825" w:rsidR="00BC6752" w:rsidRPr="00F71523" w:rsidRDefault="00C712B8" w:rsidP="00C712B8">
            <w:pPr>
              <w:pStyle w:val="TableText"/>
              <w:jc w:val="center"/>
            </w:pPr>
            <w:r>
              <w:t>NV008</w:t>
            </w:r>
            <w:r w:rsidR="0089374D">
              <w:t xml:space="preserve">, </w:t>
            </w:r>
            <w:r w:rsidR="00BC6752" w:rsidRPr="00F71523">
              <w:t>NV009</w:t>
            </w:r>
          </w:p>
        </w:tc>
      </w:tr>
      <w:tr w:rsidR="00BC6752" w:rsidRPr="00F71523" w14:paraId="767CC63D" w14:textId="77777777" w:rsidTr="00CB066E">
        <w:trPr>
          <w:cantSplit/>
        </w:trPr>
        <w:tc>
          <w:tcPr>
            <w:tcW w:w="2046" w:type="dxa"/>
            <w:vMerge w:val="restart"/>
          </w:tcPr>
          <w:p w14:paraId="1AC24B5F" w14:textId="77777777" w:rsidR="00BC6752" w:rsidRPr="00F71523" w:rsidRDefault="00BC6752" w:rsidP="00CB1C25">
            <w:pPr>
              <w:pStyle w:val="TableText"/>
            </w:pPr>
          </w:p>
        </w:tc>
        <w:tc>
          <w:tcPr>
            <w:tcW w:w="800" w:type="dxa"/>
            <w:hideMark/>
          </w:tcPr>
          <w:p w14:paraId="2AD234D5" w14:textId="4582F0A1" w:rsidR="00BC6752" w:rsidRPr="00F71523" w:rsidRDefault="00BC6752" w:rsidP="00953369">
            <w:pPr>
              <w:pStyle w:val="TableText"/>
              <w:jc w:val="center"/>
            </w:pPr>
            <w:r w:rsidRPr="00F71523">
              <w:t>NV11</w:t>
            </w:r>
          </w:p>
        </w:tc>
        <w:tc>
          <w:tcPr>
            <w:tcW w:w="7894" w:type="dxa"/>
            <w:hideMark/>
          </w:tcPr>
          <w:p w14:paraId="63DB88CF" w14:textId="1C0EDE7E" w:rsidR="001469F1" w:rsidRPr="00CB066E" w:rsidRDefault="001469F1" w:rsidP="001469F1">
            <w:pPr>
              <w:pStyle w:val="TableText"/>
              <w:rPr>
                <w:b/>
                <w:u w:val="single"/>
              </w:rPr>
            </w:pPr>
            <w:r w:rsidRPr="00CB066E">
              <w:rPr>
                <w:b/>
                <w:u w:val="single"/>
              </w:rPr>
              <w:t>Ground-borne (</w:t>
            </w:r>
            <w:r w:rsidR="00165176">
              <w:rPr>
                <w:b/>
                <w:u w:val="single"/>
              </w:rPr>
              <w:t>i</w:t>
            </w:r>
            <w:r w:rsidRPr="00CB066E">
              <w:rPr>
                <w:b/>
                <w:u w:val="single"/>
              </w:rPr>
              <w:t>nternal) Noise Guideline Targets for Amenity</w:t>
            </w:r>
          </w:p>
          <w:p w14:paraId="5D41A77E" w14:textId="0A3DD530" w:rsidR="00BC6752" w:rsidRPr="00F71523" w:rsidRDefault="00BC6752" w:rsidP="001469F1">
            <w:pPr>
              <w:pStyle w:val="TableText"/>
            </w:pPr>
            <w:r w:rsidRPr="00F71523">
              <w:t xml:space="preserve">Implement management actions as </w:t>
            </w:r>
            <w:r w:rsidR="00776776">
              <w:t>determined in consultation</w:t>
            </w:r>
            <w:r w:rsidR="00776776" w:rsidRPr="00F71523">
              <w:t xml:space="preserve"> </w:t>
            </w:r>
            <w:r w:rsidRPr="00F71523">
              <w:t>with potentially affected land owners to protect amenity at residences, sleeping areas in hospital wards, student accommodation and hotel rooms where the following ground-borne noise Guideline Targets (from the NSW Interim Construction Noise Guideline) are exceeded during construction.</w:t>
            </w:r>
          </w:p>
          <w:tbl>
            <w:tblPr>
              <w:tblStyle w:val="RowMainTableStyle"/>
              <w:tblW w:w="0" w:type="auto"/>
              <w:tblLayout w:type="fixed"/>
              <w:tblLook w:val="0400" w:firstRow="0" w:lastRow="0" w:firstColumn="0" w:lastColumn="0" w:noHBand="0" w:noVBand="1"/>
            </w:tblPr>
            <w:tblGrid>
              <w:gridCol w:w="3751"/>
              <w:gridCol w:w="3751"/>
            </w:tblGrid>
            <w:tr w:rsidR="00BC6752" w:rsidRPr="00F71523" w14:paraId="41F61508" w14:textId="77777777" w:rsidTr="00AA73EF">
              <w:tc>
                <w:tcPr>
                  <w:tcW w:w="3751" w:type="dxa"/>
                  <w:shd w:val="clear" w:color="auto" w:fill="F2F2F2" w:themeFill="background1" w:themeFillShade="F2"/>
                  <w:hideMark/>
                </w:tcPr>
                <w:p w14:paraId="3AC37DFE" w14:textId="77777777" w:rsidR="00BC6752" w:rsidRPr="00F71523" w:rsidRDefault="00BC6752" w:rsidP="00311B09">
                  <w:pPr>
                    <w:pStyle w:val="TableText"/>
                    <w:keepNext/>
                    <w:keepLines/>
                    <w:rPr>
                      <w:b/>
                    </w:rPr>
                  </w:pPr>
                  <w:r w:rsidRPr="00F71523">
                    <w:rPr>
                      <w:b/>
                    </w:rPr>
                    <w:t>Time Period</w:t>
                  </w:r>
                </w:p>
              </w:tc>
              <w:tc>
                <w:tcPr>
                  <w:tcW w:w="3751" w:type="dxa"/>
                  <w:shd w:val="clear" w:color="auto" w:fill="F2F2F2" w:themeFill="background1" w:themeFillShade="F2"/>
                  <w:hideMark/>
                </w:tcPr>
                <w:p w14:paraId="78C53E5B" w14:textId="77777777" w:rsidR="00BC6752" w:rsidRPr="00F71523" w:rsidRDefault="00BC6752" w:rsidP="00311B09">
                  <w:pPr>
                    <w:pStyle w:val="TableText"/>
                    <w:keepNext/>
                    <w:keepLines/>
                    <w:jc w:val="center"/>
                    <w:rPr>
                      <w:b/>
                    </w:rPr>
                  </w:pPr>
                  <w:r w:rsidRPr="00F71523">
                    <w:rPr>
                      <w:b/>
                    </w:rPr>
                    <w:t>Internal L</w:t>
                  </w:r>
                  <w:r w:rsidRPr="00F71523">
                    <w:rPr>
                      <w:b/>
                      <w:vertAlign w:val="subscript"/>
                    </w:rPr>
                    <w:t>Aeq,15min,</w:t>
                  </w:r>
                  <w:r w:rsidRPr="00F71523">
                    <w:rPr>
                      <w:b/>
                    </w:rPr>
                    <w:t xml:space="preserve"> dB</w:t>
                  </w:r>
                </w:p>
              </w:tc>
            </w:tr>
            <w:tr w:rsidR="00BC6752" w:rsidRPr="00F71523" w14:paraId="0A3B350E" w14:textId="77777777" w:rsidTr="00AA73EF">
              <w:tc>
                <w:tcPr>
                  <w:tcW w:w="3751" w:type="dxa"/>
                  <w:hideMark/>
                </w:tcPr>
                <w:p w14:paraId="1891A402" w14:textId="77777777" w:rsidR="00BC6752" w:rsidRPr="00F71523" w:rsidRDefault="00BC6752" w:rsidP="00CB1C25">
                  <w:pPr>
                    <w:pStyle w:val="TableText"/>
                  </w:pPr>
                  <w:r w:rsidRPr="00F71523">
                    <w:t>Evening, 6pm to 10pm</w:t>
                  </w:r>
                </w:p>
              </w:tc>
              <w:tc>
                <w:tcPr>
                  <w:tcW w:w="3751" w:type="dxa"/>
                  <w:hideMark/>
                </w:tcPr>
                <w:p w14:paraId="264D9ADF" w14:textId="77777777" w:rsidR="00BC6752" w:rsidRPr="00F71523" w:rsidRDefault="00BC6752" w:rsidP="00311B09">
                  <w:pPr>
                    <w:pStyle w:val="TableText"/>
                    <w:jc w:val="center"/>
                  </w:pPr>
                  <w:r w:rsidRPr="00F71523">
                    <w:t>40</w:t>
                  </w:r>
                </w:p>
              </w:tc>
            </w:tr>
            <w:tr w:rsidR="00BC6752" w:rsidRPr="00F71523" w14:paraId="6AB618FD" w14:textId="77777777" w:rsidTr="00AA73EF">
              <w:tc>
                <w:tcPr>
                  <w:tcW w:w="3751" w:type="dxa"/>
                  <w:hideMark/>
                </w:tcPr>
                <w:p w14:paraId="1C6F1DF9" w14:textId="77777777" w:rsidR="00BC6752" w:rsidRPr="00F71523" w:rsidRDefault="00BC6752" w:rsidP="00CB1C25">
                  <w:pPr>
                    <w:pStyle w:val="TableText"/>
                  </w:pPr>
                  <w:r w:rsidRPr="00F71523">
                    <w:t>Night, 10pm to 7am</w:t>
                  </w:r>
                </w:p>
              </w:tc>
              <w:tc>
                <w:tcPr>
                  <w:tcW w:w="3751" w:type="dxa"/>
                  <w:hideMark/>
                </w:tcPr>
                <w:p w14:paraId="6DDDA2A9" w14:textId="77777777" w:rsidR="00BC6752" w:rsidRPr="00F71523" w:rsidRDefault="00BC6752" w:rsidP="00311B09">
                  <w:pPr>
                    <w:pStyle w:val="TableText"/>
                    <w:jc w:val="center"/>
                  </w:pPr>
                  <w:r w:rsidRPr="00F71523">
                    <w:t>35</w:t>
                  </w:r>
                </w:p>
              </w:tc>
            </w:tr>
          </w:tbl>
          <w:p w14:paraId="66E99BD1" w14:textId="37005EB4" w:rsidR="00BC6752" w:rsidRPr="00F71523" w:rsidRDefault="00BC6752" w:rsidP="00311B09">
            <w:pPr>
              <w:pStyle w:val="Source"/>
              <w:spacing w:after="60"/>
              <w:rPr>
                <w:b/>
              </w:rPr>
            </w:pPr>
            <w:r w:rsidRPr="00F71523">
              <w:rPr>
                <w:b/>
              </w:rPr>
              <w:t>Notes</w:t>
            </w:r>
          </w:p>
          <w:p w14:paraId="2B0B8F12" w14:textId="00071732" w:rsidR="00BC6752" w:rsidRPr="00F71523" w:rsidRDefault="00BC6752" w:rsidP="00311B09">
            <w:pPr>
              <w:pStyle w:val="Source"/>
              <w:spacing w:before="60" w:after="60"/>
              <w:ind w:left="340" w:hanging="340"/>
            </w:pPr>
            <w:r w:rsidRPr="00F71523">
              <w:t>1</w:t>
            </w:r>
            <w:r w:rsidRPr="00F71523">
              <w:tab/>
              <w:t>Levels are only applicable when ground-borne noise levels are higher than airborne noise levels.</w:t>
            </w:r>
          </w:p>
          <w:p w14:paraId="757C7FD3" w14:textId="5D5B4995" w:rsidR="00BC6752" w:rsidRPr="00F71523" w:rsidRDefault="00BC6752" w:rsidP="00311B09">
            <w:pPr>
              <w:pStyle w:val="Source"/>
              <w:spacing w:before="60" w:after="60"/>
              <w:ind w:left="340" w:hanging="340"/>
            </w:pPr>
            <w:r w:rsidRPr="00F71523">
              <w:t>2</w:t>
            </w:r>
            <w:r w:rsidRPr="00F71523">
              <w:tab/>
              <w:t>The noise levels are assessed at the centre of the most affected habitable room.</w:t>
            </w:r>
          </w:p>
          <w:p w14:paraId="4440BD22" w14:textId="5C29985F" w:rsidR="00BC6752" w:rsidRPr="00F71523" w:rsidRDefault="00BC6752" w:rsidP="00311B09">
            <w:pPr>
              <w:pStyle w:val="Source"/>
              <w:spacing w:before="60" w:after="240"/>
              <w:ind w:left="340" w:hanging="340"/>
            </w:pPr>
            <w:r w:rsidRPr="00F71523">
              <w:t>3</w:t>
            </w:r>
            <w:r w:rsidRPr="00F71523">
              <w:tab/>
              <w:t>Management actions include extensive community consultation to determine acceptable level of disruption and provision of respite accommodation in some circumstances.</w:t>
            </w:r>
          </w:p>
        </w:tc>
        <w:tc>
          <w:tcPr>
            <w:tcW w:w="1168" w:type="dxa"/>
            <w:hideMark/>
          </w:tcPr>
          <w:p w14:paraId="02A4A862" w14:textId="77777777" w:rsidR="00BC6752" w:rsidRPr="00F71523" w:rsidRDefault="00BC6752" w:rsidP="00457BDE">
            <w:pPr>
              <w:pStyle w:val="TableText"/>
            </w:pPr>
            <w:r w:rsidRPr="00F71523">
              <w:t>All</w:t>
            </w:r>
          </w:p>
        </w:tc>
        <w:tc>
          <w:tcPr>
            <w:tcW w:w="1276" w:type="dxa"/>
            <w:hideMark/>
          </w:tcPr>
          <w:p w14:paraId="01DC61B7" w14:textId="77777777" w:rsidR="00BC6752" w:rsidRPr="00F71523" w:rsidRDefault="00BC6752" w:rsidP="00457BDE">
            <w:pPr>
              <w:pStyle w:val="TableText"/>
            </w:pPr>
            <w:r w:rsidRPr="00F71523">
              <w:t>Construction</w:t>
            </w:r>
          </w:p>
        </w:tc>
        <w:tc>
          <w:tcPr>
            <w:tcW w:w="1383" w:type="dxa"/>
          </w:tcPr>
          <w:p w14:paraId="7E9D601A" w14:textId="60224F6E" w:rsidR="00BC6752" w:rsidRPr="00F71523" w:rsidRDefault="00C712B8" w:rsidP="00953369">
            <w:pPr>
              <w:pStyle w:val="TableText"/>
              <w:jc w:val="center"/>
            </w:pPr>
            <w:r>
              <w:t>NV025</w:t>
            </w:r>
            <w:r w:rsidR="006278EE">
              <w:t xml:space="preserve">, </w:t>
            </w:r>
            <w:r>
              <w:t>NV026</w:t>
            </w:r>
            <w:r w:rsidR="006278EE">
              <w:t xml:space="preserve">, </w:t>
            </w:r>
            <w:r>
              <w:t>NV027</w:t>
            </w:r>
            <w:r w:rsidR="006278EE">
              <w:t xml:space="preserve">, </w:t>
            </w:r>
            <w:r w:rsidR="00BC6752" w:rsidRPr="00F71523">
              <w:t>N</w:t>
            </w:r>
            <w:r>
              <w:t>V028</w:t>
            </w:r>
            <w:r w:rsidR="006278EE">
              <w:t xml:space="preserve">, </w:t>
            </w:r>
            <w:r w:rsidR="00BC6752" w:rsidRPr="00F71523">
              <w:t>NV029</w:t>
            </w:r>
          </w:p>
        </w:tc>
      </w:tr>
      <w:tr w:rsidR="00BC6752" w:rsidRPr="00F71523" w14:paraId="62833563" w14:textId="77777777" w:rsidTr="00CB066E">
        <w:trPr>
          <w:cantSplit/>
        </w:trPr>
        <w:tc>
          <w:tcPr>
            <w:tcW w:w="2046" w:type="dxa"/>
            <w:vMerge/>
          </w:tcPr>
          <w:p w14:paraId="2BCE1403" w14:textId="77777777" w:rsidR="00BC6752" w:rsidRPr="00F71523" w:rsidRDefault="00BC6752" w:rsidP="00CB1C25">
            <w:pPr>
              <w:pStyle w:val="TableText"/>
            </w:pPr>
          </w:p>
        </w:tc>
        <w:tc>
          <w:tcPr>
            <w:tcW w:w="800" w:type="dxa"/>
            <w:hideMark/>
          </w:tcPr>
          <w:p w14:paraId="1BE288B0" w14:textId="4B5619FE" w:rsidR="00BC6752" w:rsidRPr="00F71523" w:rsidRDefault="00BC6752" w:rsidP="00953369">
            <w:pPr>
              <w:pStyle w:val="TableText"/>
              <w:jc w:val="center"/>
            </w:pPr>
            <w:r w:rsidRPr="00F71523">
              <w:t>NV12</w:t>
            </w:r>
          </w:p>
        </w:tc>
        <w:tc>
          <w:tcPr>
            <w:tcW w:w="7894" w:type="dxa"/>
            <w:hideMark/>
          </w:tcPr>
          <w:p w14:paraId="4D13BA58" w14:textId="11581F44" w:rsidR="001469F1" w:rsidRDefault="005C3FF1" w:rsidP="001469F1">
            <w:pPr>
              <w:pStyle w:val="TableBullet1"/>
              <w:numPr>
                <w:ilvl w:val="0"/>
                <w:numId w:val="0"/>
              </w:numPr>
              <w:ind w:left="340" w:hanging="340"/>
            </w:pPr>
            <w:r w:rsidRPr="00CB066E">
              <w:rPr>
                <w:b/>
                <w:u w:val="single"/>
              </w:rPr>
              <w:t>Blasting</w:t>
            </w:r>
          </w:p>
          <w:p w14:paraId="65088DC4" w14:textId="28B5D0ED" w:rsidR="00BC6752" w:rsidRPr="00F71523" w:rsidRDefault="00BC6752" w:rsidP="005C3FF1">
            <w:pPr>
              <w:pStyle w:val="TableBullet1"/>
              <w:numPr>
                <w:ilvl w:val="0"/>
                <w:numId w:val="0"/>
              </w:numPr>
            </w:pPr>
            <w:r w:rsidRPr="00F71523">
              <w:t>Comply with Australian Standard AS2187.2-2006, Explosives – Storage and use Part 2 – Use of explosives for all blasting</w:t>
            </w:r>
          </w:p>
          <w:p w14:paraId="39F2322C" w14:textId="01284EC2" w:rsidR="00136B81" w:rsidRDefault="00136B81" w:rsidP="00136B81">
            <w:pPr>
              <w:pStyle w:val="TableBullet1"/>
              <w:numPr>
                <w:ilvl w:val="0"/>
                <w:numId w:val="0"/>
              </w:numPr>
            </w:pPr>
            <w:r>
              <w:t>For Highly Sensitive Areas, hospital wards, operating theatres and Bio-resources and areas with vibration</w:t>
            </w:r>
            <w:r w:rsidR="00BE48C6">
              <w:t>-</w:t>
            </w:r>
            <w:r>
              <w:t xml:space="preserve">sensitive equipment which are not covered in </w:t>
            </w:r>
            <w:r w:rsidRPr="00F71523">
              <w:t>AS2187.2-2006</w:t>
            </w:r>
            <w:r>
              <w:t xml:space="preserve">, </w:t>
            </w:r>
            <w:r w:rsidR="00776776">
              <w:t>develop</w:t>
            </w:r>
            <w:r>
              <w:t xml:space="preserve"> a plan </w:t>
            </w:r>
            <w:r w:rsidR="00776776">
              <w:t xml:space="preserve">in consultation </w:t>
            </w:r>
            <w:r>
              <w:t>with facilities owners that:</w:t>
            </w:r>
          </w:p>
          <w:p w14:paraId="13E39D97" w14:textId="0262246C" w:rsidR="00083764" w:rsidRDefault="00136B81" w:rsidP="00710B59">
            <w:pPr>
              <w:pStyle w:val="TableBullet1"/>
              <w:numPr>
                <w:ilvl w:val="0"/>
                <w:numId w:val="2"/>
              </w:numPr>
            </w:pPr>
            <w:r>
              <w:t>Avoids damage to vibration</w:t>
            </w:r>
            <w:r w:rsidR="00776776">
              <w:t>-</w:t>
            </w:r>
            <w:r>
              <w:t>sensitive equipment</w:t>
            </w:r>
          </w:p>
          <w:p w14:paraId="143389F3" w14:textId="4C663A82" w:rsidR="005C3FF1" w:rsidRPr="00F71523" w:rsidRDefault="00136B81" w:rsidP="00CB066E">
            <w:pPr>
              <w:pStyle w:val="TableBullet1"/>
            </w:pPr>
            <w:r>
              <w:t>Minimises adverse impact on Highly Sensitive Areas and Bio-resources.</w:t>
            </w:r>
          </w:p>
        </w:tc>
        <w:tc>
          <w:tcPr>
            <w:tcW w:w="1168" w:type="dxa"/>
            <w:hideMark/>
          </w:tcPr>
          <w:p w14:paraId="183FD86A" w14:textId="77777777" w:rsidR="00BC6752" w:rsidRPr="00F71523" w:rsidRDefault="00BC6752" w:rsidP="00457BDE">
            <w:pPr>
              <w:pStyle w:val="TableText"/>
            </w:pPr>
            <w:r w:rsidRPr="00F71523">
              <w:t>4 – Parkville station</w:t>
            </w:r>
          </w:p>
        </w:tc>
        <w:tc>
          <w:tcPr>
            <w:tcW w:w="1276" w:type="dxa"/>
            <w:hideMark/>
          </w:tcPr>
          <w:p w14:paraId="645E29A1" w14:textId="77777777" w:rsidR="00BC6752" w:rsidRPr="00F71523" w:rsidRDefault="00BC6752" w:rsidP="00457BDE">
            <w:pPr>
              <w:pStyle w:val="TableText"/>
            </w:pPr>
            <w:r w:rsidRPr="00F71523">
              <w:t>Construction</w:t>
            </w:r>
          </w:p>
        </w:tc>
        <w:tc>
          <w:tcPr>
            <w:tcW w:w="1383" w:type="dxa"/>
          </w:tcPr>
          <w:p w14:paraId="0B6FFE80" w14:textId="3CCE33B4" w:rsidR="00BC6752" w:rsidRPr="00F71523" w:rsidRDefault="00C712B8" w:rsidP="00953369">
            <w:pPr>
              <w:pStyle w:val="TableText"/>
              <w:jc w:val="center"/>
            </w:pPr>
            <w:r>
              <w:t>NV017</w:t>
            </w:r>
            <w:r w:rsidR="006278EE">
              <w:t xml:space="preserve">, </w:t>
            </w:r>
            <w:r w:rsidR="00BC6752" w:rsidRPr="00F71523">
              <w:t>NV019</w:t>
            </w:r>
          </w:p>
        </w:tc>
      </w:tr>
      <w:tr w:rsidR="00BC6752" w:rsidRPr="00F71523" w14:paraId="1EBDFA38" w14:textId="77777777" w:rsidTr="00CB066E">
        <w:trPr>
          <w:cantSplit/>
        </w:trPr>
        <w:tc>
          <w:tcPr>
            <w:tcW w:w="2046" w:type="dxa"/>
            <w:vMerge w:val="restart"/>
          </w:tcPr>
          <w:p w14:paraId="5EA3FC57" w14:textId="77777777" w:rsidR="00BC6752" w:rsidRPr="00F71523" w:rsidRDefault="00BC6752" w:rsidP="00CB1C25">
            <w:pPr>
              <w:pStyle w:val="TableText"/>
            </w:pPr>
          </w:p>
        </w:tc>
        <w:tc>
          <w:tcPr>
            <w:tcW w:w="800" w:type="dxa"/>
            <w:hideMark/>
          </w:tcPr>
          <w:p w14:paraId="54148C97" w14:textId="242D630A" w:rsidR="00BC6752" w:rsidRPr="00F71523" w:rsidRDefault="00BC6752" w:rsidP="00953369">
            <w:pPr>
              <w:pStyle w:val="TableText"/>
              <w:jc w:val="center"/>
            </w:pPr>
            <w:r w:rsidRPr="00F71523">
              <w:t>NV13</w:t>
            </w:r>
          </w:p>
        </w:tc>
        <w:tc>
          <w:tcPr>
            <w:tcW w:w="7894" w:type="dxa"/>
            <w:hideMark/>
          </w:tcPr>
          <w:p w14:paraId="336267C7" w14:textId="6CC838AD" w:rsidR="00BC6752" w:rsidRPr="00F71523" w:rsidRDefault="00BC6752" w:rsidP="00311B09">
            <w:pPr>
              <w:pStyle w:val="TableText"/>
            </w:pPr>
            <w:r w:rsidRPr="00F71523">
              <w:t>To protect the amenity of Bio-resources and sensitive research during construction and operation</w:t>
            </w:r>
            <w:r w:rsidR="00BE48C6">
              <w:t>,</w:t>
            </w:r>
            <w:r w:rsidRPr="00F71523">
              <w:t xml:space="preserve"> the following criteria apply:</w:t>
            </w:r>
          </w:p>
          <w:p w14:paraId="61341ED9" w14:textId="77777777" w:rsidR="00BC6752" w:rsidRPr="00F71523" w:rsidRDefault="00BC6752" w:rsidP="000452EF">
            <w:pPr>
              <w:pStyle w:val="TableBullet1"/>
            </w:pPr>
            <w:r w:rsidRPr="00F71523">
              <w:t>Background noise should be kept below 50 dB and should be free of distinct tones (internal)</w:t>
            </w:r>
          </w:p>
          <w:p w14:paraId="04DB9C96" w14:textId="77777777" w:rsidR="00BC6752" w:rsidRPr="00F71523" w:rsidRDefault="00BC6752" w:rsidP="000452EF">
            <w:pPr>
              <w:pStyle w:val="TableBullet1"/>
            </w:pPr>
            <w:r w:rsidRPr="00F71523">
              <w:t>Short exposure should be kept to less than 85 dB (internal).</w:t>
            </w:r>
          </w:p>
          <w:p w14:paraId="7812DA31" w14:textId="4B0E45E9" w:rsidR="00BC6752" w:rsidRPr="00F71523" w:rsidRDefault="00BC6752" w:rsidP="00311B09">
            <w:pPr>
              <w:pStyle w:val="Source"/>
              <w:spacing w:after="60"/>
              <w:rPr>
                <w:b/>
              </w:rPr>
            </w:pPr>
            <w:r w:rsidRPr="00F71523">
              <w:rPr>
                <w:b/>
              </w:rPr>
              <w:t>Notes</w:t>
            </w:r>
          </w:p>
          <w:p w14:paraId="06497062" w14:textId="7DC25ACE" w:rsidR="00BC6752" w:rsidRPr="00F71523" w:rsidRDefault="00BC6752" w:rsidP="00A663BD">
            <w:pPr>
              <w:pStyle w:val="Source"/>
              <w:spacing w:before="60" w:after="60"/>
              <w:ind w:left="340" w:hanging="340"/>
            </w:pPr>
            <w:r w:rsidRPr="00F71523">
              <w:t>1</w:t>
            </w:r>
            <w:r w:rsidRPr="00F71523">
              <w:tab/>
              <w:t>The levels above should take into consideration the frequency threshold for the Bio-resource under consideration.</w:t>
            </w:r>
          </w:p>
          <w:p w14:paraId="279057B4" w14:textId="62EA536F" w:rsidR="00BC6752" w:rsidRPr="00F71523" w:rsidRDefault="00BC6752" w:rsidP="00A663BD">
            <w:pPr>
              <w:pStyle w:val="Source"/>
              <w:spacing w:before="60" w:after="240"/>
              <w:ind w:left="340" w:hanging="340"/>
            </w:pPr>
            <w:r w:rsidRPr="00F71523">
              <w:t>2</w:t>
            </w:r>
            <w:r w:rsidRPr="00F71523">
              <w:tab/>
              <w:t>Higher levels may be acceptable if it can be shown that the Bio-resource under consideration is exposed to higher levels and is not adversely impacted by them.</w:t>
            </w:r>
          </w:p>
        </w:tc>
        <w:tc>
          <w:tcPr>
            <w:tcW w:w="1168" w:type="dxa"/>
            <w:hideMark/>
          </w:tcPr>
          <w:p w14:paraId="67816B4E" w14:textId="6E705AE5" w:rsidR="00BC6752" w:rsidRPr="00F71523" w:rsidRDefault="00BC6752" w:rsidP="00457BDE">
            <w:pPr>
              <w:pStyle w:val="TableText"/>
            </w:pPr>
            <w:r w:rsidRPr="00F71523">
              <w:t>4 – Parkville station</w:t>
            </w:r>
          </w:p>
          <w:p w14:paraId="6AFE8426" w14:textId="7EF1386B" w:rsidR="00BC6752" w:rsidRPr="00F71523" w:rsidRDefault="00BC6752" w:rsidP="00457BDE">
            <w:pPr>
              <w:pStyle w:val="TableText"/>
            </w:pPr>
            <w:r w:rsidRPr="00F71523">
              <w:t xml:space="preserve">5 – </w:t>
            </w:r>
            <w:r w:rsidRPr="00F71523">
              <w:br/>
              <w:t>CBD North station</w:t>
            </w:r>
          </w:p>
        </w:tc>
        <w:tc>
          <w:tcPr>
            <w:tcW w:w="1276" w:type="dxa"/>
            <w:hideMark/>
          </w:tcPr>
          <w:p w14:paraId="41208676" w14:textId="62622A97" w:rsidR="00BC6752" w:rsidRPr="00F71523" w:rsidRDefault="00BC6752" w:rsidP="00457BDE">
            <w:pPr>
              <w:pStyle w:val="TableText"/>
            </w:pPr>
            <w:r w:rsidRPr="00F71523">
              <w:t>Construction</w:t>
            </w:r>
            <w:r>
              <w:t xml:space="preserve">/ </w:t>
            </w:r>
            <w:r w:rsidRPr="00F71523">
              <w:t>operation</w:t>
            </w:r>
          </w:p>
        </w:tc>
        <w:tc>
          <w:tcPr>
            <w:tcW w:w="1383" w:type="dxa"/>
          </w:tcPr>
          <w:p w14:paraId="17D342FF" w14:textId="09FCD1CA" w:rsidR="00BC6752" w:rsidRPr="00F71523" w:rsidRDefault="00BC6752" w:rsidP="00953369">
            <w:pPr>
              <w:pStyle w:val="TableText"/>
              <w:jc w:val="center"/>
            </w:pPr>
            <w:r w:rsidRPr="00F71523">
              <w:t>NV012</w:t>
            </w:r>
          </w:p>
        </w:tc>
      </w:tr>
      <w:tr w:rsidR="00BC6752" w:rsidRPr="00F71523" w14:paraId="1D7E065D" w14:textId="77777777" w:rsidTr="00CB066E">
        <w:trPr>
          <w:cantSplit/>
        </w:trPr>
        <w:tc>
          <w:tcPr>
            <w:tcW w:w="2046" w:type="dxa"/>
            <w:vMerge/>
          </w:tcPr>
          <w:p w14:paraId="11FBC7C3" w14:textId="77777777" w:rsidR="00BC6752" w:rsidRPr="00F71523" w:rsidRDefault="00BC6752" w:rsidP="00CB1C25">
            <w:pPr>
              <w:pStyle w:val="TableText"/>
            </w:pPr>
          </w:p>
        </w:tc>
        <w:tc>
          <w:tcPr>
            <w:tcW w:w="800" w:type="dxa"/>
          </w:tcPr>
          <w:p w14:paraId="032B3692" w14:textId="7C3D42D5" w:rsidR="00BC6752" w:rsidRPr="00F71523" w:rsidRDefault="00BC6752" w:rsidP="00953369">
            <w:pPr>
              <w:pStyle w:val="TableText"/>
              <w:jc w:val="center"/>
            </w:pPr>
            <w:r w:rsidRPr="00F71523">
              <w:t>NV14</w:t>
            </w:r>
          </w:p>
        </w:tc>
        <w:tc>
          <w:tcPr>
            <w:tcW w:w="7894" w:type="dxa"/>
          </w:tcPr>
          <w:p w14:paraId="2BD93164" w14:textId="5F2F7D92" w:rsidR="00BC6752" w:rsidRPr="00F71523" w:rsidRDefault="00BC6752" w:rsidP="004C5C39">
            <w:pPr>
              <w:pStyle w:val="TableText"/>
            </w:pPr>
            <w:r w:rsidRPr="00F71523">
              <w:t>Appoint an acoustic and vibration consultant to predict noise and vibration and determine appropriate mitigation to achieve the Environmental Performance Requirements.</w:t>
            </w:r>
            <w:r>
              <w:t xml:space="preserve"> </w:t>
            </w:r>
            <w:r w:rsidRPr="00F71523">
              <w:t>The acoustic and vibration consultant would also be required to undertake commissioning noise and vibration measurements to assess levels with respect to the Environmental Performance Requirements.</w:t>
            </w:r>
          </w:p>
        </w:tc>
        <w:tc>
          <w:tcPr>
            <w:tcW w:w="1168" w:type="dxa"/>
          </w:tcPr>
          <w:p w14:paraId="4648A591" w14:textId="45CAD2A5" w:rsidR="00BC6752" w:rsidRPr="00F71523" w:rsidRDefault="00BC6752" w:rsidP="00457BDE">
            <w:pPr>
              <w:pStyle w:val="TableText"/>
            </w:pPr>
            <w:r w:rsidRPr="00F71523">
              <w:t>All</w:t>
            </w:r>
          </w:p>
        </w:tc>
        <w:tc>
          <w:tcPr>
            <w:tcW w:w="1276" w:type="dxa"/>
          </w:tcPr>
          <w:p w14:paraId="6C048D28" w14:textId="10FFD10C" w:rsidR="00BC6752" w:rsidRPr="00F71523" w:rsidRDefault="00BC6752" w:rsidP="00457BDE">
            <w:pPr>
              <w:pStyle w:val="TableText"/>
            </w:pPr>
            <w:r w:rsidRPr="00F71523">
              <w:t>Operation</w:t>
            </w:r>
          </w:p>
        </w:tc>
        <w:tc>
          <w:tcPr>
            <w:tcW w:w="1383" w:type="dxa"/>
          </w:tcPr>
          <w:p w14:paraId="05A81D70" w14:textId="4CF61C0B" w:rsidR="00BC6752" w:rsidRPr="00F71523" w:rsidRDefault="00BC6752" w:rsidP="00953369">
            <w:pPr>
              <w:pStyle w:val="TableText"/>
              <w:jc w:val="center"/>
            </w:pPr>
            <w:r w:rsidRPr="00F71523">
              <w:t>NV030 to NV038</w:t>
            </w:r>
          </w:p>
        </w:tc>
      </w:tr>
      <w:tr w:rsidR="00BC6752" w:rsidRPr="00F71523" w14:paraId="36BD8347" w14:textId="77777777" w:rsidTr="00CB066E">
        <w:trPr>
          <w:cantSplit/>
        </w:trPr>
        <w:tc>
          <w:tcPr>
            <w:tcW w:w="2046" w:type="dxa"/>
            <w:vMerge w:val="restart"/>
          </w:tcPr>
          <w:p w14:paraId="7934F80D" w14:textId="77777777" w:rsidR="00BC6752" w:rsidRPr="00F71523" w:rsidRDefault="00BC6752" w:rsidP="00CB1C25">
            <w:pPr>
              <w:pStyle w:val="TableText"/>
            </w:pPr>
          </w:p>
        </w:tc>
        <w:tc>
          <w:tcPr>
            <w:tcW w:w="800" w:type="dxa"/>
            <w:hideMark/>
          </w:tcPr>
          <w:p w14:paraId="001D1665" w14:textId="5539DB2A" w:rsidR="00BC6752" w:rsidRPr="00F71523" w:rsidRDefault="00BC6752" w:rsidP="00953369">
            <w:pPr>
              <w:pStyle w:val="TableText"/>
              <w:jc w:val="center"/>
            </w:pPr>
            <w:r w:rsidRPr="00F71523">
              <w:t>NV15</w:t>
            </w:r>
          </w:p>
        </w:tc>
        <w:tc>
          <w:tcPr>
            <w:tcW w:w="7894" w:type="dxa"/>
            <w:hideMark/>
          </w:tcPr>
          <w:p w14:paraId="352AE290" w14:textId="77777777" w:rsidR="001469F1" w:rsidRPr="00CB066E" w:rsidRDefault="001469F1" w:rsidP="001469F1">
            <w:pPr>
              <w:pStyle w:val="TableText"/>
              <w:rPr>
                <w:b/>
                <w:u w:val="single"/>
              </w:rPr>
            </w:pPr>
            <w:r w:rsidRPr="00CB066E">
              <w:rPr>
                <w:b/>
                <w:u w:val="single"/>
              </w:rPr>
              <w:t>Victorian Passenger Rail Infrastructure Noise Policy (PRINP)</w:t>
            </w:r>
          </w:p>
          <w:p w14:paraId="76F0C3FB" w14:textId="4DA26013" w:rsidR="00BC6752" w:rsidRPr="00F71523" w:rsidRDefault="00BC6752" w:rsidP="001469F1">
            <w:pPr>
              <w:pStyle w:val="TableText"/>
            </w:pPr>
            <w:r w:rsidRPr="00F71523">
              <w:t>Avoid, minimise or mitigate rail noise where the following PRINP (April 2013) Investigation Thresholds are exceeded during operation:</w:t>
            </w:r>
          </w:p>
          <w:tbl>
            <w:tblPr>
              <w:tblStyle w:val="RowMainTableStyle"/>
              <w:tblW w:w="0" w:type="auto"/>
              <w:tblLayout w:type="fixed"/>
              <w:tblLook w:val="0400" w:firstRow="0" w:lastRow="0" w:firstColumn="0" w:lastColumn="0" w:noHBand="0" w:noVBand="1"/>
            </w:tblPr>
            <w:tblGrid>
              <w:gridCol w:w="1549"/>
              <w:gridCol w:w="3086"/>
              <w:gridCol w:w="2867"/>
            </w:tblGrid>
            <w:tr w:rsidR="00BC6752" w:rsidRPr="00F71523" w14:paraId="6048861B" w14:textId="77777777" w:rsidTr="00AA73EF">
              <w:tc>
                <w:tcPr>
                  <w:tcW w:w="1549" w:type="dxa"/>
                  <w:shd w:val="clear" w:color="auto" w:fill="F2F2F2" w:themeFill="background1" w:themeFillShade="F2"/>
                  <w:hideMark/>
                </w:tcPr>
                <w:p w14:paraId="0D9B633B" w14:textId="77777777" w:rsidR="00BC6752" w:rsidRPr="00F71523" w:rsidRDefault="00BC6752" w:rsidP="00D8257E">
                  <w:pPr>
                    <w:pStyle w:val="TableText"/>
                    <w:keepNext/>
                    <w:keepLines/>
                    <w:rPr>
                      <w:b/>
                    </w:rPr>
                  </w:pPr>
                  <w:r w:rsidRPr="00F71523">
                    <w:rPr>
                      <w:b/>
                    </w:rPr>
                    <w:t>Time</w:t>
                  </w:r>
                </w:p>
              </w:tc>
              <w:tc>
                <w:tcPr>
                  <w:tcW w:w="3086" w:type="dxa"/>
                  <w:shd w:val="clear" w:color="auto" w:fill="F2F2F2" w:themeFill="background1" w:themeFillShade="F2"/>
                  <w:hideMark/>
                </w:tcPr>
                <w:p w14:paraId="1D3A97A4" w14:textId="77777777" w:rsidR="00BC6752" w:rsidRPr="00F71523" w:rsidRDefault="00BC6752" w:rsidP="00D8257E">
                  <w:pPr>
                    <w:pStyle w:val="TableText"/>
                    <w:keepNext/>
                    <w:keepLines/>
                    <w:rPr>
                      <w:b/>
                    </w:rPr>
                  </w:pPr>
                  <w:r w:rsidRPr="00F71523">
                    <w:rPr>
                      <w:b/>
                    </w:rPr>
                    <w:t>Type of Receiver</w:t>
                  </w:r>
                </w:p>
              </w:tc>
              <w:tc>
                <w:tcPr>
                  <w:tcW w:w="2867" w:type="dxa"/>
                  <w:shd w:val="clear" w:color="auto" w:fill="F2F2F2" w:themeFill="background1" w:themeFillShade="F2"/>
                  <w:hideMark/>
                </w:tcPr>
                <w:p w14:paraId="6BD833CF" w14:textId="77777777" w:rsidR="00BC6752" w:rsidRPr="00F71523" w:rsidRDefault="00BC6752" w:rsidP="00D8257E">
                  <w:pPr>
                    <w:pStyle w:val="TableText"/>
                    <w:keepNext/>
                    <w:keepLines/>
                    <w:rPr>
                      <w:b/>
                    </w:rPr>
                  </w:pPr>
                  <w:r w:rsidRPr="00F71523">
                    <w:rPr>
                      <w:b/>
                    </w:rPr>
                    <w:t>Investigation Thresholds</w:t>
                  </w:r>
                </w:p>
              </w:tc>
            </w:tr>
            <w:tr w:rsidR="00BC6752" w:rsidRPr="00F71523" w14:paraId="2FA77D78" w14:textId="77777777" w:rsidTr="00AA73EF">
              <w:tc>
                <w:tcPr>
                  <w:tcW w:w="1549" w:type="dxa"/>
                  <w:hideMark/>
                </w:tcPr>
                <w:p w14:paraId="594DA807" w14:textId="77777777" w:rsidR="00BC6752" w:rsidRPr="00F71523" w:rsidRDefault="00BC6752" w:rsidP="00CB1C25">
                  <w:pPr>
                    <w:pStyle w:val="TableText"/>
                  </w:pPr>
                  <w:r w:rsidRPr="00F71523">
                    <w:t>Day</w:t>
                  </w:r>
                  <w:r w:rsidRPr="00F71523">
                    <w:br/>
                  </w:r>
                  <w:r w:rsidRPr="00F71523">
                    <w:rPr>
                      <w:i/>
                    </w:rPr>
                    <w:t>(6am – 10pm)</w:t>
                  </w:r>
                </w:p>
              </w:tc>
              <w:tc>
                <w:tcPr>
                  <w:tcW w:w="3086" w:type="dxa"/>
                  <w:hideMark/>
                </w:tcPr>
                <w:p w14:paraId="1333F5CE" w14:textId="77777777" w:rsidR="00BC6752" w:rsidRPr="00F71523" w:rsidRDefault="00BC6752" w:rsidP="00CB1C25">
                  <w:pPr>
                    <w:pStyle w:val="TableBullet1"/>
                  </w:pPr>
                  <w:r w:rsidRPr="00F71523">
                    <w:t>Residential dwellings and other buildings where people sleep including aged persons homes, hospitals, motels and caravan parks</w:t>
                  </w:r>
                </w:p>
                <w:p w14:paraId="4B698A78" w14:textId="77777777" w:rsidR="00BC6752" w:rsidRPr="00F71523" w:rsidRDefault="00BC6752" w:rsidP="00CB1C25">
                  <w:pPr>
                    <w:pStyle w:val="TableBullet1"/>
                  </w:pPr>
                  <w:r w:rsidRPr="00F71523">
                    <w:t>Noise sensitive community buildings, including schools, kindergartens, libraries</w:t>
                  </w:r>
                </w:p>
              </w:tc>
              <w:tc>
                <w:tcPr>
                  <w:tcW w:w="2867" w:type="dxa"/>
                  <w:hideMark/>
                </w:tcPr>
                <w:p w14:paraId="2AF204FF" w14:textId="77777777" w:rsidR="00BC6752" w:rsidRPr="00F71523" w:rsidRDefault="00BC6752" w:rsidP="0066216E">
                  <w:pPr>
                    <w:pStyle w:val="TableText"/>
                  </w:pPr>
                  <w:r w:rsidRPr="00F71523">
                    <w:t>65 </w:t>
                  </w:r>
                  <w:proofErr w:type="spellStart"/>
                  <w:r w:rsidRPr="00F71523">
                    <w:t>dBL</w:t>
                  </w:r>
                  <w:r w:rsidRPr="00F71523">
                    <w:rPr>
                      <w:vertAlign w:val="subscript"/>
                    </w:rPr>
                    <w:t>Aeq</w:t>
                  </w:r>
                  <w:proofErr w:type="spellEnd"/>
                  <w:r w:rsidRPr="00F71523">
                    <w:t xml:space="preserve"> and a change in 3 dB(A) or more</w:t>
                  </w:r>
                </w:p>
                <w:p w14:paraId="21B67797" w14:textId="77777777" w:rsidR="00BC6752" w:rsidRPr="00F71523" w:rsidRDefault="00BC6752" w:rsidP="0066216E">
                  <w:pPr>
                    <w:pStyle w:val="TableText"/>
                  </w:pPr>
                  <w:r w:rsidRPr="00F71523">
                    <w:t>or</w:t>
                  </w:r>
                </w:p>
                <w:p w14:paraId="7016A43C" w14:textId="77777777" w:rsidR="00BC6752" w:rsidRPr="00F71523" w:rsidRDefault="00BC6752" w:rsidP="0066216E">
                  <w:pPr>
                    <w:pStyle w:val="TableText"/>
                  </w:pPr>
                  <w:r w:rsidRPr="00F71523">
                    <w:t>85 </w:t>
                  </w:r>
                  <w:proofErr w:type="spellStart"/>
                  <w:r w:rsidRPr="00F71523">
                    <w:t>dBL</w:t>
                  </w:r>
                  <w:r w:rsidRPr="00F71523">
                    <w:rPr>
                      <w:vertAlign w:val="subscript"/>
                    </w:rPr>
                    <w:t>Amax</w:t>
                  </w:r>
                  <w:proofErr w:type="spellEnd"/>
                  <w:r w:rsidRPr="00F71523">
                    <w:t xml:space="preserve"> and a change in 3 dB(A) or more</w:t>
                  </w:r>
                </w:p>
              </w:tc>
            </w:tr>
            <w:tr w:rsidR="00BC6752" w:rsidRPr="00F71523" w14:paraId="6006A292" w14:textId="77777777" w:rsidTr="00AA73EF">
              <w:tc>
                <w:tcPr>
                  <w:tcW w:w="1549" w:type="dxa"/>
                  <w:hideMark/>
                </w:tcPr>
                <w:p w14:paraId="47853F2F" w14:textId="77777777" w:rsidR="00BC6752" w:rsidRPr="00F71523" w:rsidRDefault="00BC6752" w:rsidP="00CB1C25">
                  <w:pPr>
                    <w:pStyle w:val="TableText"/>
                  </w:pPr>
                  <w:r w:rsidRPr="00F71523">
                    <w:t>Night</w:t>
                  </w:r>
                  <w:r w:rsidRPr="00F71523">
                    <w:br/>
                  </w:r>
                  <w:r w:rsidRPr="00F71523">
                    <w:rPr>
                      <w:i/>
                    </w:rPr>
                    <w:t>(10pm – 6am)</w:t>
                  </w:r>
                </w:p>
              </w:tc>
              <w:tc>
                <w:tcPr>
                  <w:tcW w:w="3086" w:type="dxa"/>
                  <w:hideMark/>
                </w:tcPr>
                <w:p w14:paraId="5DD5B8B4" w14:textId="77777777" w:rsidR="00BC6752" w:rsidRPr="00F71523" w:rsidRDefault="00BC6752" w:rsidP="00CB1C25">
                  <w:pPr>
                    <w:pStyle w:val="TableBullet1"/>
                  </w:pPr>
                  <w:r w:rsidRPr="00F71523">
                    <w:t>Residential dwellings and other buildings where people sleep including aged persons homes, hospitals, motels and caravan parks</w:t>
                  </w:r>
                </w:p>
              </w:tc>
              <w:tc>
                <w:tcPr>
                  <w:tcW w:w="2867" w:type="dxa"/>
                  <w:hideMark/>
                </w:tcPr>
                <w:p w14:paraId="6B1BA7EE" w14:textId="77777777" w:rsidR="00BC6752" w:rsidRPr="00F71523" w:rsidRDefault="00BC6752" w:rsidP="0066216E">
                  <w:pPr>
                    <w:pStyle w:val="TableText"/>
                  </w:pPr>
                  <w:r w:rsidRPr="00F71523">
                    <w:t>60 </w:t>
                  </w:r>
                  <w:proofErr w:type="spellStart"/>
                  <w:r w:rsidRPr="00F71523">
                    <w:t>dBL</w:t>
                  </w:r>
                  <w:r w:rsidRPr="00F71523">
                    <w:rPr>
                      <w:vertAlign w:val="subscript"/>
                    </w:rPr>
                    <w:t>Aeq</w:t>
                  </w:r>
                  <w:proofErr w:type="spellEnd"/>
                  <w:r w:rsidRPr="00F71523">
                    <w:t xml:space="preserve"> and a change in 3 dB(A) or more</w:t>
                  </w:r>
                </w:p>
                <w:p w14:paraId="1F064DCC" w14:textId="77777777" w:rsidR="00BC6752" w:rsidRPr="00F71523" w:rsidRDefault="00BC6752" w:rsidP="0066216E">
                  <w:pPr>
                    <w:pStyle w:val="TableText"/>
                  </w:pPr>
                  <w:r w:rsidRPr="00F71523">
                    <w:t>or</w:t>
                  </w:r>
                </w:p>
                <w:p w14:paraId="4FE35A28" w14:textId="77777777" w:rsidR="00BC6752" w:rsidRPr="00F71523" w:rsidRDefault="00BC6752" w:rsidP="0066216E">
                  <w:pPr>
                    <w:pStyle w:val="TableText"/>
                  </w:pPr>
                  <w:r w:rsidRPr="00F71523">
                    <w:t>85 </w:t>
                  </w:r>
                  <w:proofErr w:type="spellStart"/>
                  <w:r w:rsidRPr="00F71523">
                    <w:t>dBL</w:t>
                  </w:r>
                  <w:r w:rsidRPr="00F71523">
                    <w:rPr>
                      <w:vertAlign w:val="subscript"/>
                    </w:rPr>
                    <w:t>Amax</w:t>
                  </w:r>
                  <w:proofErr w:type="spellEnd"/>
                  <w:r w:rsidRPr="00F71523">
                    <w:t xml:space="preserve"> and a change in 3 dB(A) or more</w:t>
                  </w:r>
                </w:p>
              </w:tc>
            </w:tr>
          </w:tbl>
          <w:p w14:paraId="7997A668" w14:textId="3E4443AA" w:rsidR="00BC6752" w:rsidRPr="00F71523" w:rsidRDefault="00BC6752" w:rsidP="00D8257E">
            <w:pPr>
              <w:pStyle w:val="Source"/>
              <w:spacing w:after="60"/>
              <w:rPr>
                <w:b/>
              </w:rPr>
            </w:pPr>
            <w:r w:rsidRPr="00F71523">
              <w:rPr>
                <w:b/>
              </w:rPr>
              <w:t>Notes</w:t>
            </w:r>
          </w:p>
          <w:p w14:paraId="49D7EF26" w14:textId="211B8ABF" w:rsidR="00BC6752" w:rsidRPr="00F71523" w:rsidRDefault="00BC6752" w:rsidP="00D8257E">
            <w:pPr>
              <w:pStyle w:val="Source"/>
              <w:spacing w:before="60" w:after="60"/>
              <w:ind w:left="340" w:hanging="340"/>
            </w:pPr>
            <w:r w:rsidRPr="00F71523">
              <w:t>1</w:t>
            </w:r>
            <w:r w:rsidRPr="00F71523">
              <w:tab/>
              <w:t>If an investigation shows that the thresholds are not exceeded, then no further action is considered under the PRINP.</w:t>
            </w:r>
          </w:p>
          <w:p w14:paraId="7BFE58F2" w14:textId="2E3F11CC" w:rsidR="00BC6752" w:rsidRPr="00F71523" w:rsidRDefault="00BC6752" w:rsidP="00D8257E">
            <w:pPr>
              <w:pStyle w:val="Source"/>
              <w:spacing w:before="60" w:after="60"/>
              <w:ind w:left="340" w:hanging="340"/>
            </w:pPr>
            <w:r w:rsidRPr="00F71523">
              <w:t>2</w:t>
            </w:r>
            <w:r w:rsidRPr="00F71523">
              <w:tab/>
            </w:r>
            <w:proofErr w:type="spellStart"/>
            <w:proofErr w:type="gramStart"/>
            <w:r w:rsidRPr="00F71523">
              <w:t>L</w:t>
            </w:r>
            <w:r w:rsidRPr="00F71523">
              <w:rPr>
                <w:vertAlign w:val="subscript"/>
              </w:rPr>
              <w:t>Amax</w:t>
            </w:r>
            <w:proofErr w:type="spellEnd"/>
            <w:r w:rsidRPr="00F71523">
              <w:t>,</w:t>
            </w:r>
            <w:proofErr w:type="gramEnd"/>
            <w:r>
              <w:t xml:space="preserve"> </w:t>
            </w:r>
            <w:r w:rsidRPr="00F71523">
              <w:t>is defined as maximum A-weighted sound pressure level and is the 95 percentile of the highest value of the A-weighed sound pressure level reached within the day or night.</w:t>
            </w:r>
          </w:p>
          <w:p w14:paraId="67A73B71" w14:textId="542A5D69" w:rsidR="00BC6752" w:rsidRPr="00F71523" w:rsidRDefault="00BC6752" w:rsidP="00D8257E">
            <w:pPr>
              <w:pStyle w:val="Source"/>
              <w:spacing w:before="60" w:after="240"/>
              <w:ind w:left="340" w:hanging="340"/>
            </w:pPr>
            <w:r w:rsidRPr="00F71523">
              <w:t>3</w:t>
            </w:r>
            <w:r w:rsidRPr="00F71523">
              <w:tab/>
              <w:t>For Melbourne Metro the location of assessment is at 1m from the centre of the window of the most exposed external façade.</w:t>
            </w:r>
          </w:p>
        </w:tc>
        <w:tc>
          <w:tcPr>
            <w:tcW w:w="1168" w:type="dxa"/>
            <w:hideMark/>
          </w:tcPr>
          <w:p w14:paraId="15A03DE3" w14:textId="77777777" w:rsidR="00BC6752" w:rsidRPr="00F71523" w:rsidRDefault="00BC6752" w:rsidP="00457BDE">
            <w:pPr>
              <w:pStyle w:val="TableText"/>
            </w:pPr>
            <w:r w:rsidRPr="00F71523">
              <w:t>All</w:t>
            </w:r>
          </w:p>
        </w:tc>
        <w:tc>
          <w:tcPr>
            <w:tcW w:w="1276" w:type="dxa"/>
            <w:hideMark/>
          </w:tcPr>
          <w:p w14:paraId="3F72ED27" w14:textId="77777777" w:rsidR="00BC6752" w:rsidRPr="00F71523" w:rsidRDefault="00BC6752" w:rsidP="00457BDE">
            <w:pPr>
              <w:pStyle w:val="TableText"/>
            </w:pPr>
            <w:r w:rsidRPr="00F71523">
              <w:t>Operation</w:t>
            </w:r>
          </w:p>
        </w:tc>
        <w:tc>
          <w:tcPr>
            <w:tcW w:w="1383" w:type="dxa"/>
          </w:tcPr>
          <w:p w14:paraId="3700DA25" w14:textId="670D689E" w:rsidR="00BC6752" w:rsidRPr="00F71523" w:rsidRDefault="00BC6752" w:rsidP="00953369">
            <w:pPr>
              <w:pStyle w:val="TableText"/>
              <w:jc w:val="center"/>
            </w:pPr>
            <w:r w:rsidRPr="00F71523">
              <w:t>NV031</w:t>
            </w:r>
          </w:p>
        </w:tc>
      </w:tr>
      <w:tr w:rsidR="00BC6752" w:rsidRPr="00F71523" w14:paraId="3BD653B7" w14:textId="77777777" w:rsidTr="00CB066E">
        <w:trPr>
          <w:cantSplit/>
        </w:trPr>
        <w:tc>
          <w:tcPr>
            <w:tcW w:w="2046" w:type="dxa"/>
            <w:vMerge/>
          </w:tcPr>
          <w:p w14:paraId="1F61F95C" w14:textId="77777777" w:rsidR="00BC6752" w:rsidRPr="00F71523" w:rsidRDefault="00BC6752" w:rsidP="00CB1C25">
            <w:pPr>
              <w:pStyle w:val="TableText"/>
            </w:pPr>
          </w:p>
        </w:tc>
        <w:tc>
          <w:tcPr>
            <w:tcW w:w="800" w:type="dxa"/>
            <w:hideMark/>
          </w:tcPr>
          <w:p w14:paraId="0CA80B9A" w14:textId="2799C8C7" w:rsidR="00BC6752" w:rsidRPr="00F71523" w:rsidRDefault="00BC6752" w:rsidP="00953369">
            <w:pPr>
              <w:pStyle w:val="TableText"/>
              <w:jc w:val="center"/>
            </w:pPr>
            <w:r w:rsidRPr="00F71523">
              <w:t>NV16</w:t>
            </w:r>
          </w:p>
        </w:tc>
        <w:tc>
          <w:tcPr>
            <w:tcW w:w="7894" w:type="dxa"/>
            <w:hideMark/>
          </w:tcPr>
          <w:p w14:paraId="25D1C9DF" w14:textId="7CB2D896" w:rsidR="00BC6752" w:rsidRPr="00F71523" w:rsidRDefault="00BC6752" w:rsidP="004E010D">
            <w:pPr>
              <w:pStyle w:val="TableText"/>
            </w:pPr>
            <w:r w:rsidRPr="00F71523">
              <w:t>For operation, comply with State Environment Protection Policy (Control of Noise from Commerce, Industry and Trade) No. N-1 (SEPP N-1</w:t>
            </w:r>
            <w:r w:rsidR="004E010D">
              <w:t>).</w:t>
            </w:r>
            <w:r w:rsidR="00A92091">
              <w:t xml:space="preserve"> This does not apply to trains and trams.</w:t>
            </w:r>
          </w:p>
        </w:tc>
        <w:tc>
          <w:tcPr>
            <w:tcW w:w="1168" w:type="dxa"/>
            <w:hideMark/>
          </w:tcPr>
          <w:p w14:paraId="7C3A28F4" w14:textId="77777777" w:rsidR="00BC6752" w:rsidRPr="00F71523" w:rsidRDefault="00BC6752" w:rsidP="00457BDE">
            <w:pPr>
              <w:pStyle w:val="TableText"/>
            </w:pPr>
            <w:r w:rsidRPr="00F71523">
              <w:t>All</w:t>
            </w:r>
          </w:p>
        </w:tc>
        <w:tc>
          <w:tcPr>
            <w:tcW w:w="1276" w:type="dxa"/>
            <w:hideMark/>
          </w:tcPr>
          <w:p w14:paraId="5E421AA4" w14:textId="4C6F057A" w:rsidR="00BC6752" w:rsidRPr="00F71523" w:rsidRDefault="00BC6752" w:rsidP="00457BDE">
            <w:pPr>
              <w:pStyle w:val="TableText"/>
            </w:pPr>
            <w:r w:rsidRPr="00F71523">
              <w:t>Design</w:t>
            </w:r>
            <w:r>
              <w:t xml:space="preserve">/ </w:t>
            </w:r>
            <w:r w:rsidRPr="00F71523">
              <w:t>Operation</w:t>
            </w:r>
          </w:p>
        </w:tc>
        <w:tc>
          <w:tcPr>
            <w:tcW w:w="1383" w:type="dxa"/>
          </w:tcPr>
          <w:p w14:paraId="2904E51D" w14:textId="694C9104" w:rsidR="00BC6752" w:rsidRPr="00F71523" w:rsidRDefault="00C712B8" w:rsidP="00953369">
            <w:pPr>
              <w:pStyle w:val="TableText"/>
              <w:jc w:val="center"/>
            </w:pPr>
            <w:r>
              <w:t>NV032</w:t>
            </w:r>
            <w:r w:rsidR="006278EE">
              <w:t xml:space="preserve">, </w:t>
            </w:r>
            <w:r w:rsidR="00BC6752" w:rsidRPr="00F71523">
              <w:t>NV035</w:t>
            </w:r>
          </w:p>
        </w:tc>
      </w:tr>
      <w:tr w:rsidR="00BC6752" w:rsidRPr="00F71523" w14:paraId="3670DF86" w14:textId="77777777" w:rsidTr="00CB066E">
        <w:tc>
          <w:tcPr>
            <w:tcW w:w="2046" w:type="dxa"/>
          </w:tcPr>
          <w:p w14:paraId="28566694" w14:textId="77777777" w:rsidR="00BC6752" w:rsidRPr="00F71523" w:rsidRDefault="00BC6752" w:rsidP="00831AD1">
            <w:pPr>
              <w:pStyle w:val="TableText"/>
              <w:pageBreakBefore/>
            </w:pPr>
          </w:p>
        </w:tc>
        <w:tc>
          <w:tcPr>
            <w:tcW w:w="800" w:type="dxa"/>
            <w:hideMark/>
          </w:tcPr>
          <w:p w14:paraId="15AA001A" w14:textId="51B8510F" w:rsidR="00BC6752" w:rsidRPr="00F71523" w:rsidRDefault="00BC6752" w:rsidP="00953369">
            <w:pPr>
              <w:pStyle w:val="TableText"/>
              <w:jc w:val="center"/>
              <w:rPr>
                <w:highlight w:val="cyan"/>
              </w:rPr>
            </w:pPr>
            <w:r w:rsidRPr="00F71523">
              <w:t>NV17</w:t>
            </w:r>
          </w:p>
        </w:tc>
        <w:tc>
          <w:tcPr>
            <w:tcW w:w="7894" w:type="dxa"/>
            <w:hideMark/>
          </w:tcPr>
          <w:p w14:paraId="1778680B" w14:textId="77777777" w:rsidR="001469F1" w:rsidRPr="00CB066E" w:rsidRDefault="001469F1" w:rsidP="001469F1">
            <w:pPr>
              <w:pStyle w:val="TableText"/>
              <w:rPr>
                <w:b/>
                <w:u w:val="single"/>
              </w:rPr>
            </w:pPr>
            <w:r w:rsidRPr="00CB066E">
              <w:rPr>
                <w:b/>
                <w:u w:val="single"/>
              </w:rPr>
              <w:t>Ground-borne Noise Guideline Targets for Operation</w:t>
            </w:r>
          </w:p>
          <w:p w14:paraId="35D2B219" w14:textId="58333623" w:rsidR="00BC6752" w:rsidRPr="00F71523" w:rsidRDefault="00BC6752" w:rsidP="001469F1">
            <w:pPr>
              <w:pStyle w:val="TableText"/>
            </w:pPr>
            <w:r w:rsidRPr="00F71523">
              <w:t>Where operational ground-borne noise trigger levels are exceeded for sensitive occupancies as shown in the table below (trigger levels are based on the Rail Infrastructure Noise Guideline,</w:t>
            </w:r>
            <w:r w:rsidR="00BE48C6">
              <w:t xml:space="preserve"> </w:t>
            </w:r>
            <w:r w:rsidRPr="00F71523">
              <w:t>17 May 2013 (</w:t>
            </w:r>
            <w:proofErr w:type="gramStart"/>
            <w:r w:rsidRPr="00F71523">
              <w:t>RING</w:t>
            </w:r>
            <w:r w:rsidRPr="00F71523">
              <w:rPr>
                <w:vertAlign w:val="superscript"/>
              </w:rPr>
              <w:t>(</w:t>
            </w:r>
            <w:proofErr w:type="gramEnd"/>
            <w:r w:rsidRPr="00F71523">
              <w:rPr>
                <w:vertAlign w:val="superscript"/>
              </w:rPr>
              <w:t>1)</w:t>
            </w:r>
            <w:r w:rsidRPr="00F71523">
              <w:t>), assess feasible and reasonable mitigation to reduce noise towards the relevant ground-borne noise trigger level.</w:t>
            </w:r>
          </w:p>
          <w:tbl>
            <w:tblPr>
              <w:tblStyle w:val="RowMainTableStyle"/>
              <w:tblW w:w="0" w:type="auto"/>
              <w:tblLayout w:type="fixed"/>
              <w:tblLook w:val="0400" w:firstRow="0" w:lastRow="0" w:firstColumn="0" w:lastColumn="0" w:noHBand="0" w:noVBand="1"/>
            </w:tblPr>
            <w:tblGrid>
              <w:gridCol w:w="2683"/>
              <w:gridCol w:w="1275"/>
              <w:gridCol w:w="3544"/>
            </w:tblGrid>
            <w:tr w:rsidR="00BC6752" w:rsidRPr="00F71523" w14:paraId="3367A739" w14:textId="77777777" w:rsidTr="00BE48C6">
              <w:tc>
                <w:tcPr>
                  <w:tcW w:w="2683" w:type="dxa"/>
                  <w:shd w:val="clear" w:color="auto" w:fill="F2F2F2" w:themeFill="background1" w:themeFillShade="F2"/>
                  <w:hideMark/>
                </w:tcPr>
                <w:p w14:paraId="6F073BF3" w14:textId="77777777" w:rsidR="00BC6752" w:rsidRPr="00F71523" w:rsidRDefault="00BC6752" w:rsidP="000F4680">
                  <w:pPr>
                    <w:pStyle w:val="TableText"/>
                    <w:keepNext/>
                    <w:keepLines/>
                    <w:rPr>
                      <w:b/>
                    </w:rPr>
                  </w:pPr>
                  <w:r w:rsidRPr="00F71523">
                    <w:rPr>
                      <w:b/>
                    </w:rPr>
                    <w:t>Sensitive land use</w:t>
                  </w:r>
                </w:p>
              </w:tc>
              <w:tc>
                <w:tcPr>
                  <w:tcW w:w="1275" w:type="dxa"/>
                  <w:shd w:val="clear" w:color="auto" w:fill="F2F2F2" w:themeFill="background1" w:themeFillShade="F2"/>
                  <w:hideMark/>
                </w:tcPr>
                <w:p w14:paraId="0393D570" w14:textId="77777777" w:rsidR="00BC6752" w:rsidRPr="00F71523" w:rsidRDefault="00BC6752" w:rsidP="000F4680">
                  <w:pPr>
                    <w:pStyle w:val="TableText"/>
                    <w:keepNext/>
                    <w:keepLines/>
                    <w:jc w:val="center"/>
                    <w:rPr>
                      <w:b/>
                    </w:rPr>
                  </w:pPr>
                  <w:r w:rsidRPr="00F71523">
                    <w:rPr>
                      <w:b/>
                    </w:rPr>
                    <w:t>Time of day</w:t>
                  </w:r>
                </w:p>
              </w:tc>
              <w:tc>
                <w:tcPr>
                  <w:tcW w:w="3544" w:type="dxa"/>
                  <w:shd w:val="clear" w:color="auto" w:fill="F2F2F2" w:themeFill="background1" w:themeFillShade="F2"/>
                  <w:hideMark/>
                </w:tcPr>
                <w:p w14:paraId="596FDC6A" w14:textId="77777777" w:rsidR="00BC6752" w:rsidRPr="00F71523" w:rsidRDefault="00BC6752" w:rsidP="000F4680">
                  <w:pPr>
                    <w:pStyle w:val="TableText"/>
                    <w:keepNext/>
                    <w:keepLines/>
                    <w:rPr>
                      <w:b/>
                    </w:rPr>
                  </w:pPr>
                  <w:r w:rsidRPr="00F71523">
                    <w:rPr>
                      <w:b/>
                    </w:rPr>
                    <w:t>Internal noise trigger levels</w:t>
                  </w:r>
                </w:p>
              </w:tc>
            </w:tr>
            <w:tr w:rsidR="00BC6752" w:rsidRPr="00F71523" w14:paraId="78E3EFD2" w14:textId="77777777" w:rsidTr="00BE48C6">
              <w:tc>
                <w:tcPr>
                  <w:tcW w:w="2683" w:type="dxa"/>
                  <w:vMerge w:val="restart"/>
                  <w:hideMark/>
                </w:tcPr>
                <w:p w14:paraId="2A8711F2" w14:textId="77777777" w:rsidR="00BC6752" w:rsidRPr="00F71523" w:rsidRDefault="00BC6752" w:rsidP="00CB1C25">
                  <w:pPr>
                    <w:pStyle w:val="TableText"/>
                  </w:pPr>
                  <w:r w:rsidRPr="00F71523">
                    <w:t>Residential</w:t>
                  </w:r>
                </w:p>
              </w:tc>
              <w:tc>
                <w:tcPr>
                  <w:tcW w:w="1275" w:type="dxa"/>
                  <w:hideMark/>
                </w:tcPr>
                <w:p w14:paraId="1AC83B65" w14:textId="77777777" w:rsidR="00BC6752" w:rsidRPr="00F71523" w:rsidRDefault="00BC6752" w:rsidP="000F4680">
                  <w:pPr>
                    <w:pStyle w:val="TableText"/>
                    <w:jc w:val="center"/>
                  </w:pPr>
                  <w:r w:rsidRPr="00F71523">
                    <w:t xml:space="preserve">Day </w:t>
                  </w:r>
                  <w:r w:rsidRPr="00F71523">
                    <w:rPr>
                      <w:i/>
                    </w:rPr>
                    <w:t>(7am</w:t>
                  </w:r>
                  <w:r w:rsidRPr="00F71523">
                    <w:rPr>
                      <w:i/>
                    </w:rPr>
                    <w:noBreakHyphen/>
                    <w:t>10pm)</w:t>
                  </w:r>
                </w:p>
              </w:tc>
              <w:tc>
                <w:tcPr>
                  <w:tcW w:w="3544" w:type="dxa"/>
                  <w:hideMark/>
                </w:tcPr>
                <w:p w14:paraId="0E9B5A4D" w14:textId="77777777" w:rsidR="00BC6752" w:rsidRPr="00F71523" w:rsidRDefault="00BC6752" w:rsidP="00CB1C25">
                  <w:pPr>
                    <w:pStyle w:val="TableText"/>
                  </w:pPr>
                  <w:r w:rsidRPr="00F71523">
                    <w:t>40 </w:t>
                  </w:r>
                  <w:proofErr w:type="spellStart"/>
                  <w:r w:rsidRPr="00F71523">
                    <w:t>dBL</w:t>
                  </w:r>
                  <w:r w:rsidRPr="00F71523">
                    <w:rPr>
                      <w:vertAlign w:val="subscript"/>
                    </w:rPr>
                    <w:t>ASmax</w:t>
                  </w:r>
                  <w:proofErr w:type="spellEnd"/>
                  <w:r w:rsidRPr="00F71523">
                    <w:t xml:space="preserve"> and an increase in existing rail noise level by 3 dB(A) or more</w:t>
                  </w:r>
                </w:p>
              </w:tc>
            </w:tr>
            <w:tr w:rsidR="00BC6752" w:rsidRPr="00F71523" w14:paraId="070CAF53" w14:textId="77777777" w:rsidTr="00BE48C6">
              <w:tc>
                <w:tcPr>
                  <w:tcW w:w="2683" w:type="dxa"/>
                  <w:vMerge/>
                  <w:hideMark/>
                </w:tcPr>
                <w:p w14:paraId="5B743FCD" w14:textId="77777777" w:rsidR="00BC6752" w:rsidRPr="00F71523" w:rsidRDefault="00BC6752" w:rsidP="00CB1C25">
                  <w:pPr>
                    <w:pStyle w:val="TableText"/>
                  </w:pPr>
                </w:p>
              </w:tc>
              <w:tc>
                <w:tcPr>
                  <w:tcW w:w="1275" w:type="dxa"/>
                  <w:hideMark/>
                </w:tcPr>
                <w:p w14:paraId="15C086B3" w14:textId="77777777" w:rsidR="00BC6752" w:rsidRPr="00F71523" w:rsidRDefault="00BC6752" w:rsidP="000F4680">
                  <w:pPr>
                    <w:pStyle w:val="TableText"/>
                    <w:jc w:val="center"/>
                  </w:pPr>
                  <w:r w:rsidRPr="00F71523">
                    <w:t xml:space="preserve">Night </w:t>
                  </w:r>
                  <w:r w:rsidRPr="00F71523">
                    <w:rPr>
                      <w:i/>
                    </w:rPr>
                    <w:t>(10pm</w:t>
                  </w:r>
                  <w:r w:rsidRPr="00F71523">
                    <w:rPr>
                      <w:i/>
                    </w:rPr>
                    <w:noBreakHyphen/>
                    <w:t>7am)</w:t>
                  </w:r>
                </w:p>
              </w:tc>
              <w:tc>
                <w:tcPr>
                  <w:tcW w:w="3544" w:type="dxa"/>
                  <w:hideMark/>
                </w:tcPr>
                <w:p w14:paraId="15FC31BC" w14:textId="77777777" w:rsidR="00BC6752" w:rsidRPr="00F71523" w:rsidRDefault="00BC6752" w:rsidP="00CB1C25">
                  <w:pPr>
                    <w:pStyle w:val="TableText"/>
                  </w:pPr>
                  <w:r w:rsidRPr="00F71523">
                    <w:t>35 </w:t>
                  </w:r>
                  <w:proofErr w:type="spellStart"/>
                  <w:r w:rsidRPr="00F71523">
                    <w:t>dBL</w:t>
                  </w:r>
                  <w:r w:rsidRPr="00F71523">
                    <w:rPr>
                      <w:vertAlign w:val="subscript"/>
                    </w:rPr>
                    <w:t>ASmax</w:t>
                  </w:r>
                  <w:proofErr w:type="spellEnd"/>
                  <w:r w:rsidRPr="00F71523">
                    <w:t xml:space="preserve"> and an increase in existing rail noise level by 3 dB(A) or more</w:t>
                  </w:r>
                </w:p>
              </w:tc>
            </w:tr>
            <w:tr w:rsidR="00BC6752" w:rsidRPr="00F71523" w14:paraId="684DA0E4" w14:textId="77777777" w:rsidTr="00BE48C6">
              <w:tc>
                <w:tcPr>
                  <w:tcW w:w="2683" w:type="dxa"/>
                  <w:hideMark/>
                </w:tcPr>
                <w:p w14:paraId="0CAEB535" w14:textId="77777777" w:rsidR="00BC6752" w:rsidRPr="00F71523" w:rsidRDefault="00BC6752" w:rsidP="00CB1C25">
                  <w:pPr>
                    <w:pStyle w:val="TableText"/>
                  </w:pPr>
                  <w:r w:rsidRPr="00F71523">
                    <w:t>Schools, educational institutions, places of worship</w:t>
                  </w:r>
                </w:p>
              </w:tc>
              <w:tc>
                <w:tcPr>
                  <w:tcW w:w="1275" w:type="dxa"/>
                  <w:hideMark/>
                </w:tcPr>
                <w:p w14:paraId="256A729F" w14:textId="77777777" w:rsidR="00BC6752" w:rsidRPr="00F71523" w:rsidRDefault="00BC6752" w:rsidP="000F4680">
                  <w:pPr>
                    <w:pStyle w:val="TableText"/>
                    <w:jc w:val="center"/>
                  </w:pPr>
                  <w:r w:rsidRPr="00F71523">
                    <w:t>When in use</w:t>
                  </w:r>
                </w:p>
              </w:tc>
              <w:tc>
                <w:tcPr>
                  <w:tcW w:w="3544" w:type="dxa"/>
                  <w:hideMark/>
                </w:tcPr>
                <w:p w14:paraId="7FBBF25C" w14:textId="77777777" w:rsidR="00BC6752" w:rsidRPr="00F71523" w:rsidRDefault="00BC6752" w:rsidP="00CB1C25">
                  <w:pPr>
                    <w:pStyle w:val="TableText"/>
                  </w:pPr>
                  <w:r w:rsidRPr="00F71523">
                    <w:t>40-45 </w:t>
                  </w:r>
                  <w:proofErr w:type="spellStart"/>
                  <w:r w:rsidRPr="00F71523">
                    <w:t>dBL</w:t>
                  </w:r>
                  <w:r w:rsidRPr="00F71523">
                    <w:rPr>
                      <w:vertAlign w:val="subscript"/>
                    </w:rPr>
                    <w:t>ASmax</w:t>
                  </w:r>
                  <w:proofErr w:type="spellEnd"/>
                  <w:r w:rsidRPr="00F71523">
                    <w:t xml:space="preserve"> and an increase in existing rail noise level by 3 dB(A) or more</w:t>
                  </w:r>
                </w:p>
              </w:tc>
            </w:tr>
            <w:tr w:rsidR="00BC6752" w:rsidRPr="00F71523" w14:paraId="59435247" w14:textId="77777777" w:rsidTr="00BE48C6">
              <w:tc>
                <w:tcPr>
                  <w:tcW w:w="2683" w:type="dxa"/>
                  <w:hideMark/>
                </w:tcPr>
                <w:p w14:paraId="05223335" w14:textId="77777777" w:rsidR="00BC6752" w:rsidRPr="00F71523" w:rsidRDefault="00BC6752" w:rsidP="00CB1C25">
                  <w:pPr>
                    <w:pStyle w:val="TableText"/>
                  </w:pPr>
                  <w:r w:rsidRPr="00F71523">
                    <w:t>Hospitals(bed wards and operating theatres)</w:t>
                  </w:r>
                </w:p>
              </w:tc>
              <w:tc>
                <w:tcPr>
                  <w:tcW w:w="1275" w:type="dxa"/>
                  <w:hideMark/>
                </w:tcPr>
                <w:p w14:paraId="0C132CB5" w14:textId="77777777" w:rsidR="00BC6752" w:rsidRPr="00F71523" w:rsidRDefault="00BC6752" w:rsidP="000F4680">
                  <w:pPr>
                    <w:pStyle w:val="TableText"/>
                    <w:jc w:val="center"/>
                  </w:pPr>
                  <w:r w:rsidRPr="00F71523">
                    <w:t>24 hours</w:t>
                  </w:r>
                </w:p>
              </w:tc>
              <w:tc>
                <w:tcPr>
                  <w:tcW w:w="3544" w:type="dxa"/>
                  <w:hideMark/>
                </w:tcPr>
                <w:p w14:paraId="56A6D4EC" w14:textId="77777777" w:rsidR="00BC6752" w:rsidRPr="00F71523" w:rsidRDefault="00BC6752" w:rsidP="00CB1C25">
                  <w:pPr>
                    <w:pStyle w:val="TableText"/>
                  </w:pPr>
                  <w:r w:rsidRPr="00F71523">
                    <w:t xml:space="preserve">35 dB(A) </w:t>
                  </w:r>
                  <w:proofErr w:type="spellStart"/>
                  <w:r w:rsidRPr="00F71523">
                    <w:t>L</w:t>
                  </w:r>
                  <w:r w:rsidRPr="00F71523">
                    <w:rPr>
                      <w:vertAlign w:val="subscript"/>
                    </w:rPr>
                    <w:t>ASMax</w:t>
                  </w:r>
                  <w:proofErr w:type="spellEnd"/>
                </w:p>
              </w:tc>
            </w:tr>
            <w:tr w:rsidR="00BC6752" w:rsidRPr="00F71523" w14:paraId="696EFF83" w14:textId="77777777" w:rsidTr="00BE48C6">
              <w:tc>
                <w:tcPr>
                  <w:tcW w:w="2683" w:type="dxa"/>
                  <w:hideMark/>
                </w:tcPr>
                <w:p w14:paraId="06B840E4" w14:textId="77777777" w:rsidR="00BC6752" w:rsidRPr="00F71523" w:rsidRDefault="00BC6752" w:rsidP="00CB1C25">
                  <w:pPr>
                    <w:pStyle w:val="TableText"/>
                  </w:pPr>
                  <w:r w:rsidRPr="00F71523">
                    <w:t>Offices</w:t>
                  </w:r>
                </w:p>
              </w:tc>
              <w:tc>
                <w:tcPr>
                  <w:tcW w:w="1275" w:type="dxa"/>
                  <w:hideMark/>
                </w:tcPr>
                <w:p w14:paraId="659E2F29" w14:textId="77777777" w:rsidR="00BC6752" w:rsidRPr="00F71523" w:rsidRDefault="00BC6752" w:rsidP="000F4680">
                  <w:pPr>
                    <w:pStyle w:val="TableText"/>
                    <w:jc w:val="center"/>
                  </w:pPr>
                  <w:r w:rsidRPr="00F71523">
                    <w:t>When in use</w:t>
                  </w:r>
                </w:p>
              </w:tc>
              <w:tc>
                <w:tcPr>
                  <w:tcW w:w="3544" w:type="dxa"/>
                  <w:hideMark/>
                </w:tcPr>
                <w:p w14:paraId="00842AEA" w14:textId="77777777" w:rsidR="00BC6752" w:rsidRPr="00F71523" w:rsidRDefault="00BC6752" w:rsidP="00CB1C25">
                  <w:pPr>
                    <w:pStyle w:val="TableText"/>
                  </w:pPr>
                  <w:r w:rsidRPr="00F71523">
                    <w:t xml:space="preserve">45 dB(A) </w:t>
                  </w:r>
                  <w:proofErr w:type="spellStart"/>
                  <w:r w:rsidRPr="00F71523">
                    <w:t>L</w:t>
                  </w:r>
                  <w:r w:rsidRPr="00F71523">
                    <w:rPr>
                      <w:vertAlign w:val="subscript"/>
                    </w:rPr>
                    <w:t>ASMax</w:t>
                  </w:r>
                  <w:proofErr w:type="spellEnd"/>
                </w:p>
              </w:tc>
            </w:tr>
            <w:tr w:rsidR="00BC6752" w:rsidRPr="00F71523" w14:paraId="0CBB89E4" w14:textId="77777777" w:rsidTr="00BE48C6">
              <w:tc>
                <w:tcPr>
                  <w:tcW w:w="2683" w:type="dxa"/>
                  <w:hideMark/>
                </w:tcPr>
                <w:p w14:paraId="624D40BF" w14:textId="77777777" w:rsidR="00BC6752" w:rsidRPr="00F71523" w:rsidRDefault="00BC6752" w:rsidP="00CB1C25">
                  <w:pPr>
                    <w:pStyle w:val="TableText"/>
                  </w:pPr>
                  <w:r w:rsidRPr="00F71523">
                    <w:t>Cinemas and Public Halls</w:t>
                  </w:r>
                </w:p>
              </w:tc>
              <w:tc>
                <w:tcPr>
                  <w:tcW w:w="1275" w:type="dxa"/>
                  <w:hideMark/>
                </w:tcPr>
                <w:p w14:paraId="48B9C3DE" w14:textId="77777777" w:rsidR="00BC6752" w:rsidRPr="00F71523" w:rsidRDefault="00BC6752" w:rsidP="000F4680">
                  <w:pPr>
                    <w:pStyle w:val="TableText"/>
                    <w:jc w:val="center"/>
                  </w:pPr>
                  <w:r w:rsidRPr="00F71523">
                    <w:t>When in use</w:t>
                  </w:r>
                </w:p>
              </w:tc>
              <w:tc>
                <w:tcPr>
                  <w:tcW w:w="3544" w:type="dxa"/>
                  <w:hideMark/>
                </w:tcPr>
                <w:p w14:paraId="199BE561" w14:textId="77777777" w:rsidR="00BC6752" w:rsidRPr="00F71523" w:rsidRDefault="00BC6752" w:rsidP="00CB1C25">
                  <w:pPr>
                    <w:pStyle w:val="TableText"/>
                  </w:pPr>
                  <w:r w:rsidRPr="00F71523">
                    <w:t xml:space="preserve">30 dB(A) </w:t>
                  </w:r>
                  <w:proofErr w:type="spellStart"/>
                  <w:r w:rsidRPr="00F71523">
                    <w:t>L</w:t>
                  </w:r>
                  <w:r w:rsidRPr="00F71523">
                    <w:rPr>
                      <w:vertAlign w:val="subscript"/>
                    </w:rPr>
                    <w:t>ASMax</w:t>
                  </w:r>
                  <w:proofErr w:type="spellEnd"/>
                </w:p>
              </w:tc>
            </w:tr>
            <w:tr w:rsidR="00BC6752" w:rsidRPr="00F71523" w14:paraId="6519D4D7" w14:textId="77777777" w:rsidTr="00BE48C6">
              <w:tc>
                <w:tcPr>
                  <w:tcW w:w="2683" w:type="dxa"/>
                  <w:hideMark/>
                </w:tcPr>
                <w:p w14:paraId="11A5A687" w14:textId="77777777" w:rsidR="00BC6752" w:rsidRPr="00F71523" w:rsidRDefault="00BC6752" w:rsidP="00CB1C25">
                  <w:pPr>
                    <w:pStyle w:val="TableText"/>
                  </w:pPr>
                  <w:r w:rsidRPr="00F71523">
                    <w:t>Drama Theatres</w:t>
                  </w:r>
                </w:p>
              </w:tc>
              <w:tc>
                <w:tcPr>
                  <w:tcW w:w="1275" w:type="dxa"/>
                  <w:hideMark/>
                </w:tcPr>
                <w:p w14:paraId="1AF25373" w14:textId="77777777" w:rsidR="00BC6752" w:rsidRPr="00F71523" w:rsidRDefault="00BC6752" w:rsidP="000F4680">
                  <w:pPr>
                    <w:pStyle w:val="TableText"/>
                    <w:jc w:val="center"/>
                  </w:pPr>
                  <w:r w:rsidRPr="00F71523">
                    <w:t>When in use</w:t>
                  </w:r>
                </w:p>
              </w:tc>
              <w:tc>
                <w:tcPr>
                  <w:tcW w:w="3544" w:type="dxa"/>
                  <w:hideMark/>
                </w:tcPr>
                <w:p w14:paraId="5D78246A" w14:textId="77777777" w:rsidR="00BC6752" w:rsidRPr="00F71523" w:rsidRDefault="00BC6752" w:rsidP="00CB1C25">
                  <w:pPr>
                    <w:pStyle w:val="TableText"/>
                  </w:pPr>
                  <w:r w:rsidRPr="00F71523">
                    <w:t xml:space="preserve">25 dB(A) </w:t>
                  </w:r>
                  <w:proofErr w:type="spellStart"/>
                  <w:r w:rsidRPr="00F71523">
                    <w:t>L</w:t>
                  </w:r>
                  <w:r w:rsidRPr="00F71523">
                    <w:rPr>
                      <w:vertAlign w:val="subscript"/>
                    </w:rPr>
                    <w:t>ASMax</w:t>
                  </w:r>
                  <w:proofErr w:type="spellEnd"/>
                </w:p>
              </w:tc>
            </w:tr>
            <w:tr w:rsidR="00BC6752" w:rsidRPr="00F71523" w14:paraId="2A8DB080" w14:textId="77777777" w:rsidTr="00BE48C6">
              <w:tc>
                <w:tcPr>
                  <w:tcW w:w="2683" w:type="dxa"/>
                  <w:hideMark/>
                </w:tcPr>
                <w:p w14:paraId="2B07303F" w14:textId="77777777" w:rsidR="00BC6752" w:rsidRPr="00F71523" w:rsidRDefault="00BC6752" w:rsidP="00CB1C25">
                  <w:pPr>
                    <w:pStyle w:val="TableText"/>
                  </w:pPr>
                  <w:r w:rsidRPr="00F71523">
                    <w:t>Concert halls, Television and Sound Recording Studios</w:t>
                  </w:r>
                </w:p>
              </w:tc>
              <w:tc>
                <w:tcPr>
                  <w:tcW w:w="1275" w:type="dxa"/>
                  <w:hideMark/>
                </w:tcPr>
                <w:p w14:paraId="4DD2A931" w14:textId="77777777" w:rsidR="00BC6752" w:rsidRPr="00F71523" w:rsidRDefault="00BC6752" w:rsidP="000F4680">
                  <w:pPr>
                    <w:pStyle w:val="TableText"/>
                    <w:jc w:val="center"/>
                  </w:pPr>
                  <w:r w:rsidRPr="00F71523">
                    <w:t>When in use</w:t>
                  </w:r>
                </w:p>
              </w:tc>
              <w:tc>
                <w:tcPr>
                  <w:tcW w:w="3544" w:type="dxa"/>
                  <w:hideMark/>
                </w:tcPr>
                <w:p w14:paraId="25B1A182" w14:textId="77777777" w:rsidR="00BC6752" w:rsidRPr="00F71523" w:rsidRDefault="00BC6752" w:rsidP="00CB1C25">
                  <w:pPr>
                    <w:pStyle w:val="TableText"/>
                  </w:pPr>
                  <w:r w:rsidRPr="00F71523">
                    <w:t xml:space="preserve">25 dB(A) </w:t>
                  </w:r>
                  <w:proofErr w:type="spellStart"/>
                  <w:r w:rsidRPr="00F71523">
                    <w:t>L</w:t>
                  </w:r>
                  <w:r w:rsidRPr="00F71523">
                    <w:rPr>
                      <w:vertAlign w:val="subscript"/>
                    </w:rPr>
                    <w:t>ASMax</w:t>
                  </w:r>
                  <w:proofErr w:type="spellEnd"/>
                </w:p>
              </w:tc>
            </w:tr>
          </w:tbl>
          <w:p w14:paraId="18B8E1CA" w14:textId="43D59A25" w:rsidR="00BC6752" w:rsidRPr="00F71523" w:rsidRDefault="00BC6752" w:rsidP="00831AD1">
            <w:pPr>
              <w:pStyle w:val="Source"/>
              <w:spacing w:after="60"/>
              <w:rPr>
                <w:b/>
              </w:rPr>
            </w:pPr>
            <w:r w:rsidRPr="00F71523">
              <w:rPr>
                <w:b/>
              </w:rPr>
              <w:t>Notes</w:t>
            </w:r>
          </w:p>
          <w:p w14:paraId="4B137076" w14:textId="790D1DE7" w:rsidR="00BC6752" w:rsidRPr="00F71523" w:rsidRDefault="00BC6752" w:rsidP="00BE48C6">
            <w:pPr>
              <w:pStyle w:val="Source"/>
              <w:spacing w:before="60" w:after="60"/>
              <w:ind w:left="340" w:right="-142" w:hanging="340"/>
            </w:pPr>
            <w:r w:rsidRPr="00F71523">
              <w:t>1</w:t>
            </w:r>
            <w:r w:rsidRPr="00F71523">
              <w:tab/>
              <w:t>RING provides trigger levels for residential and schools, educational institutions and places of worship, but does not provide guidance on acceptable ground-borne noise levels for other types of sensitive receivers.</w:t>
            </w:r>
            <w:r>
              <w:t xml:space="preserve"> </w:t>
            </w:r>
            <w:r w:rsidRPr="00F71523">
              <w:t>Ground-borne noise trigger levels for other types of sensitive occupancies have been devised based on RING and industry knowledge.</w:t>
            </w:r>
          </w:p>
          <w:p w14:paraId="58DF16B5" w14:textId="1C0C22BE" w:rsidR="00BC6752" w:rsidRPr="00F71523" w:rsidRDefault="00BC6752" w:rsidP="00456013">
            <w:pPr>
              <w:pStyle w:val="Source"/>
              <w:spacing w:before="60" w:after="60"/>
              <w:ind w:left="340" w:hanging="340"/>
            </w:pPr>
            <w:r w:rsidRPr="00F71523">
              <w:t>2</w:t>
            </w:r>
            <w:r w:rsidRPr="00F71523">
              <w:tab/>
              <w:t>Specified noise levels refer to noise from heavy or light rail transportation only (not ambient noise from other sources).</w:t>
            </w:r>
          </w:p>
        </w:tc>
        <w:tc>
          <w:tcPr>
            <w:tcW w:w="1168" w:type="dxa"/>
            <w:hideMark/>
          </w:tcPr>
          <w:p w14:paraId="01770A41" w14:textId="77777777" w:rsidR="00BC6752" w:rsidRPr="00F71523" w:rsidRDefault="00BC6752" w:rsidP="00457BDE">
            <w:pPr>
              <w:pStyle w:val="TableText"/>
            </w:pPr>
            <w:r w:rsidRPr="00F71523">
              <w:t>All</w:t>
            </w:r>
          </w:p>
        </w:tc>
        <w:tc>
          <w:tcPr>
            <w:tcW w:w="1276" w:type="dxa"/>
            <w:hideMark/>
          </w:tcPr>
          <w:p w14:paraId="4ED113B0" w14:textId="77777777" w:rsidR="00BC6752" w:rsidRPr="00F71523" w:rsidRDefault="00BC6752" w:rsidP="00457BDE">
            <w:pPr>
              <w:pStyle w:val="TableText"/>
            </w:pPr>
            <w:r w:rsidRPr="00F71523">
              <w:t>Operation</w:t>
            </w:r>
          </w:p>
        </w:tc>
        <w:tc>
          <w:tcPr>
            <w:tcW w:w="1383" w:type="dxa"/>
          </w:tcPr>
          <w:p w14:paraId="45ED29FE" w14:textId="06BBB1F0" w:rsidR="00BC6752" w:rsidRPr="00F71523" w:rsidRDefault="00BC6752" w:rsidP="00953369">
            <w:pPr>
              <w:pStyle w:val="TableText"/>
              <w:jc w:val="center"/>
            </w:pPr>
            <w:r w:rsidRPr="00F71523">
              <w:t>NV038</w:t>
            </w:r>
          </w:p>
        </w:tc>
      </w:tr>
      <w:tr w:rsidR="00BC6752" w:rsidRPr="00F71523" w14:paraId="623C3688" w14:textId="77777777" w:rsidTr="00CB066E">
        <w:tc>
          <w:tcPr>
            <w:tcW w:w="2046" w:type="dxa"/>
          </w:tcPr>
          <w:p w14:paraId="687D2760" w14:textId="77777777" w:rsidR="00BC6752" w:rsidRPr="00F71523" w:rsidRDefault="00BC6752" w:rsidP="00831AD1">
            <w:pPr>
              <w:pStyle w:val="TableText"/>
              <w:pageBreakBefore/>
            </w:pPr>
          </w:p>
        </w:tc>
        <w:tc>
          <w:tcPr>
            <w:tcW w:w="800" w:type="dxa"/>
          </w:tcPr>
          <w:p w14:paraId="245C8610" w14:textId="77777777" w:rsidR="00BC6752" w:rsidRPr="00F71523" w:rsidRDefault="00BC6752" w:rsidP="00953369">
            <w:pPr>
              <w:pStyle w:val="TableText"/>
              <w:jc w:val="center"/>
            </w:pPr>
          </w:p>
        </w:tc>
        <w:tc>
          <w:tcPr>
            <w:tcW w:w="7894" w:type="dxa"/>
          </w:tcPr>
          <w:p w14:paraId="189D950A" w14:textId="77777777" w:rsidR="00BC6752" w:rsidRPr="00F71523" w:rsidRDefault="00BC6752" w:rsidP="00456013">
            <w:pPr>
              <w:pStyle w:val="Source"/>
              <w:spacing w:before="60" w:after="60"/>
              <w:ind w:left="340" w:hanging="340"/>
            </w:pPr>
            <w:r w:rsidRPr="00F71523">
              <w:t>3</w:t>
            </w:r>
            <w:r w:rsidRPr="00F71523">
              <w:tab/>
              <w:t>Assessment location is internal near to the centre of the most affected habitable room.</w:t>
            </w:r>
          </w:p>
          <w:p w14:paraId="706B5514" w14:textId="77777777" w:rsidR="00BC6752" w:rsidRPr="00F71523" w:rsidRDefault="00BC6752" w:rsidP="00456013">
            <w:pPr>
              <w:pStyle w:val="Source"/>
              <w:spacing w:before="60" w:after="60"/>
              <w:ind w:left="340" w:hanging="340"/>
            </w:pPr>
            <w:r w:rsidRPr="00F71523">
              <w:t>4</w:t>
            </w:r>
            <w:r w:rsidRPr="00F71523">
              <w:tab/>
            </w:r>
            <w:proofErr w:type="spellStart"/>
            <w:r w:rsidRPr="00F71523">
              <w:t>L</w:t>
            </w:r>
            <w:r w:rsidRPr="00F71523">
              <w:rPr>
                <w:vertAlign w:val="subscript"/>
              </w:rPr>
              <w:t>ASmax</w:t>
            </w:r>
            <w:proofErr w:type="spellEnd"/>
            <w:r w:rsidRPr="00F71523">
              <w:t xml:space="preserve"> refers to the maximum noise level not exceeded for 95% of the rail pass-by events.</w:t>
            </w:r>
          </w:p>
          <w:p w14:paraId="60ABE629" w14:textId="77777777" w:rsidR="00BC6752" w:rsidRPr="00F71523" w:rsidRDefault="00BC6752" w:rsidP="00456013">
            <w:pPr>
              <w:pStyle w:val="Source"/>
              <w:spacing w:before="60" w:after="60"/>
              <w:ind w:left="340" w:hanging="340"/>
            </w:pPr>
            <w:r w:rsidRPr="00F71523">
              <w:t>5</w:t>
            </w:r>
            <w:r w:rsidRPr="00F71523">
              <w:tab/>
              <w:t>For schools, educational institutions, places of worship the lower value of the range is most applicable where low internal noise levels is expected.</w:t>
            </w:r>
          </w:p>
          <w:p w14:paraId="0C8FD4C7" w14:textId="3DA9A383" w:rsidR="00BC6752" w:rsidRPr="00F71523" w:rsidRDefault="00BC6752" w:rsidP="00456013">
            <w:pPr>
              <w:pStyle w:val="Source"/>
              <w:spacing w:before="60" w:after="240"/>
              <w:ind w:left="340" w:hanging="340"/>
            </w:pPr>
            <w:r w:rsidRPr="00F71523">
              <w:t>6</w:t>
            </w:r>
            <w:r w:rsidRPr="00F71523">
              <w:tab/>
              <w:t>The values for performing arts spaces may need to be reassessed to address the specific requirements of a venue.</w:t>
            </w:r>
          </w:p>
        </w:tc>
        <w:tc>
          <w:tcPr>
            <w:tcW w:w="1168" w:type="dxa"/>
          </w:tcPr>
          <w:p w14:paraId="04E29C48" w14:textId="77777777" w:rsidR="00BC6752" w:rsidRPr="00F71523" w:rsidRDefault="00BC6752" w:rsidP="00457BDE">
            <w:pPr>
              <w:pStyle w:val="TableText"/>
            </w:pPr>
          </w:p>
        </w:tc>
        <w:tc>
          <w:tcPr>
            <w:tcW w:w="1276" w:type="dxa"/>
          </w:tcPr>
          <w:p w14:paraId="04921C4C" w14:textId="77777777" w:rsidR="00BC6752" w:rsidRPr="00F71523" w:rsidRDefault="00BC6752" w:rsidP="00457BDE">
            <w:pPr>
              <w:pStyle w:val="TableText"/>
            </w:pPr>
          </w:p>
        </w:tc>
        <w:tc>
          <w:tcPr>
            <w:tcW w:w="1383" w:type="dxa"/>
          </w:tcPr>
          <w:p w14:paraId="7454548A" w14:textId="77777777" w:rsidR="00BC6752" w:rsidRPr="00F71523" w:rsidRDefault="00BC6752" w:rsidP="00953369">
            <w:pPr>
              <w:pStyle w:val="TableText"/>
              <w:jc w:val="center"/>
            </w:pPr>
          </w:p>
        </w:tc>
      </w:tr>
      <w:tr w:rsidR="00BC6752" w:rsidRPr="00F71523" w14:paraId="0B30D805" w14:textId="77777777" w:rsidTr="00CB066E">
        <w:trPr>
          <w:cantSplit/>
        </w:trPr>
        <w:tc>
          <w:tcPr>
            <w:tcW w:w="2046" w:type="dxa"/>
          </w:tcPr>
          <w:p w14:paraId="233BE0E3" w14:textId="77777777" w:rsidR="00BC6752" w:rsidRPr="00F71523" w:rsidRDefault="00BC6752" w:rsidP="00CB1C25">
            <w:pPr>
              <w:pStyle w:val="TableText"/>
            </w:pPr>
          </w:p>
        </w:tc>
        <w:tc>
          <w:tcPr>
            <w:tcW w:w="800" w:type="dxa"/>
            <w:hideMark/>
          </w:tcPr>
          <w:p w14:paraId="4B2F29B3" w14:textId="270A9354" w:rsidR="00BC6752" w:rsidRPr="00F71523" w:rsidRDefault="00BC6752" w:rsidP="00953369">
            <w:pPr>
              <w:pStyle w:val="TableText"/>
              <w:jc w:val="center"/>
            </w:pPr>
            <w:r w:rsidRPr="00F71523">
              <w:t>NV18</w:t>
            </w:r>
          </w:p>
        </w:tc>
        <w:tc>
          <w:tcPr>
            <w:tcW w:w="7894" w:type="dxa"/>
            <w:hideMark/>
          </w:tcPr>
          <w:p w14:paraId="41D464A8" w14:textId="77777777" w:rsidR="00440A29" w:rsidRPr="00CB066E" w:rsidRDefault="00440A29" w:rsidP="00440A29">
            <w:pPr>
              <w:pStyle w:val="TableText"/>
              <w:rPr>
                <w:b/>
                <w:u w:val="single"/>
              </w:rPr>
            </w:pPr>
            <w:r w:rsidRPr="00CB066E">
              <w:rPr>
                <w:b/>
                <w:u w:val="single"/>
              </w:rPr>
              <w:t>Vibration Guideline Targets for Operation</w:t>
            </w:r>
          </w:p>
          <w:p w14:paraId="0C2667FC" w14:textId="77777777" w:rsidR="00440A29" w:rsidRDefault="00440A29" w:rsidP="00440A29">
            <w:pPr>
              <w:pStyle w:val="TableText"/>
            </w:pPr>
            <w:r>
              <w:t>During operation, achieve the Guideline Targets (based on Table 1 in BS6472-1:2008) or background levels (whichever is higher) for vibration as follows:</w:t>
            </w:r>
          </w:p>
          <w:tbl>
            <w:tblPr>
              <w:tblStyle w:val="RowMainTableStyle"/>
              <w:tblW w:w="0" w:type="auto"/>
              <w:tblLayout w:type="fixed"/>
              <w:tblLook w:val="0400" w:firstRow="0" w:lastRow="0" w:firstColumn="0" w:lastColumn="0" w:noHBand="0" w:noVBand="1"/>
            </w:tblPr>
            <w:tblGrid>
              <w:gridCol w:w="2276"/>
              <w:gridCol w:w="1253"/>
              <w:gridCol w:w="1255"/>
              <w:gridCol w:w="1306"/>
              <w:gridCol w:w="1204"/>
            </w:tblGrid>
            <w:tr w:rsidR="00440A29" w14:paraId="24E30D71" w14:textId="77777777" w:rsidTr="00440A29">
              <w:tc>
                <w:tcPr>
                  <w:tcW w:w="2276" w:type="dxa"/>
                  <w:vMerge w:val="restart"/>
                  <w:tcBorders>
                    <w:top w:val="single" w:sz="4" w:space="0" w:color="A59C94" w:themeColor="accent3"/>
                    <w:left w:val="nil"/>
                    <w:bottom w:val="single" w:sz="4" w:space="0" w:color="A59C94" w:themeColor="accent3"/>
                    <w:right w:val="single" w:sz="4" w:space="0" w:color="A59C94" w:themeColor="accent3"/>
                  </w:tcBorders>
                  <w:shd w:val="clear" w:color="auto" w:fill="F2F2F2" w:themeFill="background1" w:themeFillShade="F2"/>
                  <w:vAlign w:val="bottom"/>
                  <w:hideMark/>
                </w:tcPr>
                <w:p w14:paraId="386FF80D" w14:textId="77777777" w:rsidR="00440A29" w:rsidRPr="009631F9" w:rsidRDefault="00440A29" w:rsidP="00440A29">
                  <w:pPr>
                    <w:pStyle w:val="TableText"/>
                    <w:numPr>
                      <w:ilvl w:val="0"/>
                      <w:numId w:val="13"/>
                    </w:numPr>
                    <w:rPr>
                      <w:b/>
                    </w:rPr>
                  </w:pPr>
                  <w:r w:rsidRPr="009631F9">
                    <w:rPr>
                      <w:b/>
                    </w:rPr>
                    <w:t>Location</w:t>
                  </w:r>
                </w:p>
              </w:tc>
              <w:tc>
                <w:tcPr>
                  <w:tcW w:w="5018" w:type="dxa"/>
                  <w:gridSpan w:val="4"/>
                  <w:tcBorders>
                    <w:top w:val="single" w:sz="4" w:space="0" w:color="A59C94" w:themeColor="accent3"/>
                    <w:left w:val="single" w:sz="4" w:space="0" w:color="A59C94" w:themeColor="accent3"/>
                    <w:bottom w:val="single" w:sz="4" w:space="0" w:color="A59C94" w:themeColor="accent3"/>
                    <w:right w:val="nil"/>
                  </w:tcBorders>
                  <w:shd w:val="clear" w:color="auto" w:fill="F2F2F2" w:themeFill="background1" w:themeFillShade="F2"/>
                  <w:vAlign w:val="bottom"/>
                  <w:hideMark/>
                </w:tcPr>
                <w:p w14:paraId="3A8BEBD5" w14:textId="77777777" w:rsidR="00440A29" w:rsidRPr="009631F9" w:rsidRDefault="00440A29" w:rsidP="00440A29">
                  <w:pPr>
                    <w:pStyle w:val="TableText"/>
                    <w:numPr>
                      <w:ilvl w:val="0"/>
                      <w:numId w:val="13"/>
                    </w:numPr>
                    <w:jc w:val="center"/>
                    <w:rPr>
                      <w:b/>
                    </w:rPr>
                  </w:pPr>
                  <w:r w:rsidRPr="009631F9">
                    <w:rPr>
                      <w:b/>
                    </w:rPr>
                    <w:t>VDV (m/s</w:t>
                  </w:r>
                  <w:r w:rsidRPr="009631F9">
                    <w:rPr>
                      <w:b/>
                      <w:vertAlign w:val="superscript"/>
                    </w:rPr>
                    <w:t>1.75</w:t>
                  </w:r>
                  <w:r w:rsidRPr="009631F9">
                    <w:rPr>
                      <w:b/>
                    </w:rPr>
                    <w:t>)</w:t>
                  </w:r>
                </w:p>
              </w:tc>
            </w:tr>
            <w:tr w:rsidR="00440A29" w14:paraId="2557A83E" w14:textId="77777777" w:rsidTr="00440A29">
              <w:trPr>
                <w:trHeight w:val="541"/>
              </w:trPr>
              <w:tc>
                <w:tcPr>
                  <w:tcW w:w="2276" w:type="dxa"/>
                  <w:vMerge/>
                  <w:tcBorders>
                    <w:top w:val="single" w:sz="4" w:space="0" w:color="A59C94" w:themeColor="accent3"/>
                    <w:left w:val="nil"/>
                    <w:bottom w:val="single" w:sz="4" w:space="0" w:color="A59C94" w:themeColor="accent3"/>
                    <w:right w:val="single" w:sz="4" w:space="0" w:color="A59C94" w:themeColor="accent3"/>
                  </w:tcBorders>
                  <w:vAlign w:val="center"/>
                  <w:hideMark/>
                </w:tcPr>
                <w:p w14:paraId="35877155" w14:textId="77777777" w:rsidR="00440A29" w:rsidRPr="009631F9" w:rsidRDefault="00440A29">
                  <w:pPr>
                    <w:spacing w:before="0" w:after="0" w:line="240" w:lineRule="auto"/>
                    <w:rPr>
                      <w:b/>
                      <w:sz w:val="18"/>
                    </w:rPr>
                  </w:pPr>
                </w:p>
              </w:tc>
              <w:tc>
                <w:tcPr>
                  <w:tcW w:w="2508" w:type="dxa"/>
                  <w:gridSpan w:val="2"/>
                  <w:tcBorders>
                    <w:top w:val="single" w:sz="4" w:space="0" w:color="A59C94" w:themeColor="accent3"/>
                    <w:left w:val="single" w:sz="4" w:space="0" w:color="A59C94" w:themeColor="accent3"/>
                    <w:bottom w:val="single" w:sz="4" w:space="0" w:color="A59C94" w:themeColor="accent3"/>
                    <w:right w:val="single" w:sz="4" w:space="0" w:color="A59C94" w:themeColor="accent3"/>
                  </w:tcBorders>
                  <w:shd w:val="clear" w:color="auto" w:fill="F2F2F2" w:themeFill="background1" w:themeFillShade="F2"/>
                  <w:vAlign w:val="bottom"/>
                  <w:hideMark/>
                </w:tcPr>
                <w:p w14:paraId="28139615" w14:textId="77777777" w:rsidR="00440A29" w:rsidRPr="009631F9" w:rsidRDefault="00440A29" w:rsidP="00440A29">
                  <w:pPr>
                    <w:pStyle w:val="TableText"/>
                    <w:numPr>
                      <w:ilvl w:val="0"/>
                      <w:numId w:val="13"/>
                    </w:numPr>
                    <w:jc w:val="center"/>
                    <w:rPr>
                      <w:b/>
                    </w:rPr>
                  </w:pPr>
                  <w:r w:rsidRPr="009631F9">
                    <w:rPr>
                      <w:b/>
                    </w:rPr>
                    <w:t>Day</w:t>
                  </w:r>
                  <w:r w:rsidRPr="009631F9">
                    <w:rPr>
                      <w:b/>
                    </w:rPr>
                    <w:br/>
                    <w:t>7:00am to 10:00pm</w:t>
                  </w:r>
                </w:p>
              </w:tc>
              <w:tc>
                <w:tcPr>
                  <w:tcW w:w="2510" w:type="dxa"/>
                  <w:gridSpan w:val="2"/>
                  <w:tcBorders>
                    <w:top w:val="single" w:sz="4" w:space="0" w:color="A59C94" w:themeColor="accent3"/>
                    <w:left w:val="single" w:sz="4" w:space="0" w:color="A59C94" w:themeColor="accent3"/>
                    <w:bottom w:val="single" w:sz="4" w:space="0" w:color="A59C94" w:themeColor="accent3"/>
                    <w:right w:val="nil"/>
                  </w:tcBorders>
                  <w:shd w:val="clear" w:color="auto" w:fill="F2F2F2" w:themeFill="background1" w:themeFillShade="F2"/>
                  <w:vAlign w:val="bottom"/>
                  <w:hideMark/>
                </w:tcPr>
                <w:p w14:paraId="1271730E" w14:textId="77777777" w:rsidR="00440A29" w:rsidRPr="009631F9" w:rsidRDefault="00440A29" w:rsidP="00440A29">
                  <w:pPr>
                    <w:pStyle w:val="TableText"/>
                    <w:numPr>
                      <w:ilvl w:val="0"/>
                      <w:numId w:val="13"/>
                    </w:numPr>
                    <w:jc w:val="center"/>
                    <w:rPr>
                      <w:b/>
                    </w:rPr>
                  </w:pPr>
                  <w:r w:rsidRPr="009631F9">
                    <w:rPr>
                      <w:b/>
                    </w:rPr>
                    <w:t>Night</w:t>
                  </w:r>
                  <w:r w:rsidRPr="009631F9">
                    <w:rPr>
                      <w:b/>
                    </w:rPr>
                    <w:br/>
                    <w:t>10:00pm to 7:00am</w:t>
                  </w:r>
                </w:p>
              </w:tc>
            </w:tr>
            <w:tr w:rsidR="00440A29" w14:paraId="15749BF1" w14:textId="77777777" w:rsidTr="00440A29">
              <w:tc>
                <w:tcPr>
                  <w:tcW w:w="2276" w:type="dxa"/>
                  <w:vMerge/>
                  <w:tcBorders>
                    <w:top w:val="single" w:sz="4" w:space="0" w:color="A59C94" w:themeColor="accent3"/>
                    <w:left w:val="nil"/>
                    <w:bottom w:val="single" w:sz="4" w:space="0" w:color="A59C94" w:themeColor="accent3"/>
                    <w:right w:val="single" w:sz="4" w:space="0" w:color="A59C94" w:themeColor="accent3"/>
                  </w:tcBorders>
                  <w:vAlign w:val="center"/>
                  <w:hideMark/>
                </w:tcPr>
                <w:p w14:paraId="2EDE294B" w14:textId="77777777" w:rsidR="00440A29" w:rsidRPr="009631F9" w:rsidRDefault="00440A29">
                  <w:pPr>
                    <w:spacing w:before="0" w:after="0" w:line="240" w:lineRule="auto"/>
                    <w:rPr>
                      <w:b/>
                      <w:sz w:val="18"/>
                    </w:rPr>
                  </w:pPr>
                </w:p>
              </w:tc>
              <w:tc>
                <w:tcPr>
                  <w:tcW w:w="1253" w:type="dxa"/>
                  <w:tcBorders>
                    <w:top w:val="single" w:sz="4" w:space="0" w:color="A59C94" w:themeColor="accent3"/>
                    <w:left w:val="single" w:sz="4" w:space="0" w:color="A59C94" w:themeColor="accent3"/>
                    <w:bottom w:val="single" w:sz="4" w:space="0" w:color="A59C94" w:themeColor="accent3"/>
                    <w:right w:val="single" w:sz="4" w:space="0" w:color="A59C94" w:themeColor="accent3"/>
                  </w:tcBorders>
                  <w:shd w:val="clear" w:color="auto" w:fill="F2F2F2" w:themeFill="background1" w:themeFillShade="F2"/>
                  <w:vAlign w:val="bottom"/>
                  <w:hideMark/>
                </w:tcPr>
                <w:p w14:paraId="1BE2E2C3" w14:textId="77777777" w:rsidR="00440A29" w:rsidRPr="009631F9" w:rsidRDefault="00440A29" w:rsidP="00440A29">
                  <w:pPr>
                    <w:pStyle w:val="TableText"/>
                    <w:numPr>
                      <w:ilvl w:val="0"/>
                      <w:numId w:val="13"/>
                    </w:numPr>
                    <w:jc w:val="center"/>
                    <w:rPr>
                      <w:b/>
                    </w:rPr>
                  </w:pPr>
                  <w:r w:rsidRPr="009631F9">
                    <w:rPr>
                      <w:b/>
                    </w:rPr>
                    <w:t>Preferred Value</w:t>
                  </w:r>
                </w:p>
              </w:tc>
              <w:tc>
                <w:tcPr>
                  <w:tcW w:w="1255" w:type="dxa"/>
                  <w:tcBorders>
                    <w:top w:val="single" w:sz="4" w:space="0" w:color="A59C94" w:themeColor="accent3"/>
                    <w:left w:val="single" w:sz="4" w:space="0" w:color="A59C94" w:themeColor="accent3"/>
                    <w:bottom w:val="single" w:sz="4" w:space="0" w:color="A59C94" w:themeColor="accent3"/>
                    <w:right w:val="single" w:sz="4" w:space="0" w:color="A59C94" w:themeColor="accent3"/>
                  </w:tcBorders>
                  <w:shd w:val="clear" w:color="auto" w:fill="F2F2F2" w:themeFill="background1" w:themeFillShade="F2"/>
                  <w:vAlign w:val="bottom"/>
                  <w:hideMark/>
                </w:tcPr>
                <w:p w14:paraId="6A221560" w14:textId="77777777" w:rsidR="00440A29" w:rsidRPr="009631F9" w:rsidRDefault="00440A29" w:rsidP="00440A29">
                  <w:pPr>
                    <w:pStyle w:val="TableText"/>
                    <w:numPr>
                      <w:ilvl w:val="0"/>
                      <w:numId w:val="13"/>
                    </w:numPr>
                    <w:jc w:val="center"/>
                    <w:rPr>
                      <w:b/>
                    </w:rPr>
                  </w:pPr>
                  <w:r w:rsidRPr="009631F9">
                    <w:rPr>
                      <w:b/>
                    </w:rPr>
                    <w:t>Maximum Value</w:t>
                  </w:r>
                </w:p>
              </w:tc>
              <w:tc>
                <w:tcPr>
                  <w:tcW w:w="1306" w:type="dxa"/>
                  <w:tcBorders>
                    <w:top w:val="single" w:sz="4" w:space="0" w:color="A59C94" w:themeColor="accent3"/>
                    <w:left w:val="single" w:sz="4" w:space="0" w:color="A59C94" w:themeColor="accent3"/>
                    <w:bottom w:val="single" w:sz="4" w:space="0" w:color="A59C94" w:themeColor="accent3"/>
                    <w:right w:val="single" w:sz="4" w:space="0" w:color="A59C94" w:themeColor="accent3"/>
                  </w:tcBorders>
                  <w:shd w:val="clear" w:color="auto" w:fill="F2F2F2" w:themeFill="background1" w:themeFillShade="F2"/>
                  <w:vAlign w:val="bottom"/>
                  <w:hideMark/>
                </w:tcPr>
                <w:p w14:paraId="389AE91B" w14:textId="77777777" w:rsidR="00440A29" w:rsidRPr="009631F9" w:rsidRDefault="00440A29" w:rsidP="00440A29">
                  <w:pPr>
                    <w:pStyle w:val="TableText"/>
                    <w:numPr>
                      <w:ilvl w:val="0"/>
                      <w:numId w:val="13"/>
                    </w:numPr>
                    <w:jc w:val="center"/>
                    <w:rPr>
                      <w:b/>
                    </w:rPr>
                  </w:pPr>
                  <w:r w:rsidRPr="009631F9">
                    <w:rPr>
                      <w:b/>
                    </w:rPr>
                    <w:t>Preferred Value</w:t>
                  </w:r>
                </w:p>
              </w:tc>
              <w:tc>
                <w:tcPr>
                  <w:tcW w:w="1204" w:type="dxa"/>
                  <w:tcBorders>
                    <w:top w:val="single" w:sz="4" w:space="0" w:color="A59C94" w:themeColor="accent3"/>
                    <w:left w:val="single" w:sz="4" w:space="0" w:color="A59C94" w:themeColor="accent3"/>
                    <w:bottom w:val="single" w:sz="4" w:space="0" w:color="A59C94" w:themeColor="accent3"/>
                    <w:right w:val="nil"/>
                  </w:tcBorders>
                  <w:shd w:val="clear" w:color="auto" w:fill="F2F2F2" w:themeFill="background1" w:themeFillShade="F2"/>
                  <w:vAlign w:val="bottom"/>
                  <w:hideMark/>
                </w:tcPr>
                <w:p w14:paraId="29ED737F" w14:textId="77777777" w:rsidR="00440A29" w:rsidRPr="009631F9" w:rsidRDefault="00440A29" w:rsidP="00440A29">
                  <w:pPr>
                    <w:pStyle w:val="TableText"/>
                    <w:numPr>
                      <w:ilvl w:val="0"/>
                      <w:numId w:val="13"/>
                    </w:numPr>
                    <w:jc w:val="center"/>
                    <w:rPr>
                      <w:b/>
                    </w:rPr>
                  </w:pPr>
                  <w:r w:rsidRPr="009631F9">
                    <w:rPr>
                      <w:b/>
                    </w:rPr>
                    <w:t>Maximum Value</w:t>
                  </w:r>
                </w:p>
              </w:tc>
            </w:tr>
            <w:tr w:rsidR="00440A29" w14:paraId="674A0DC8" w14:textId="77777777" w:rsidTr="00440A29">
              <w:tc>
                <w:tcPr>
                  <w:tcW w:w="2276" w:type="dxa"/>
                  <w:tcBorders>
                    <w:top w:val="single" w:sz="4" w:space="0" w:color="A59C94" w:themeColor="accent3"/>
                    <w:left w:val="nil"/>
                    <w:bottom w:val="single" w:sz="4" w:space="0" w:color="A59C94" w:themeColor="accent3"/>
                    <w:right w:val="single" w:sz="4" w:space="0" w:color="A59C94" w:themeColor="accent3"/>
                  </w:tcBorders>
                  <w:hideMark/>
                </w:tcPr>
                <w:p w14:paraId="358F26FF" w14:textId="77777777" w:rsidR="00440A29" w:rsidRDefault="00440A29" w:rsidP="00440A29">
                  <w:pPr>
                    <w:pStyle w:val="TableText"/>
                    <w:numPr>
                      <w:ilvl w:val="0"/>
                      <w:numId w:val="13"/>
                    </w:numPr>
                  </w:pPr>
                  <w:r>
                    <w:t>Residences</w:t>
                  </w:r>
                </w:p>
              </w:tc>
              <w:tc>
                <w:tcPr>
                  <w:tcW w:w="1253" w:type="dxa"/>
                  <w:tcBorders>
                    <w:top w:val="single" w:sz="4" w:space="0" w:color="A59C94" w:themeColor="accent3"/>
                    <w:left w:val="single" w:sz="4" w:space="0" w:color="A59C94" w:themeColor="accent3"/>
                    <w:bottom w:val="single" w:sz="4" w:space="0" w:color="A59C94" w:themeColor="accent3"/>
                    <w:right w:val="single" w:sz="4" w:space="0" w:color="A59C94" w:themeColor="accent3"/>
                  </w:tcBorders>
                  <w:hideMark/>
                </w:tcPr>
                <w:p w14:paraId="4FD7D230" w14:textId="77777777" w:rsidR="00440A29" w:rsidRDefault="00440A29" w:rsidP="00440A29">
                  <w:pPr>
                    <w:pStyle w:val="TableText"/>
                    <w:numPr>
                      <w:ilvl w:val="0"/>
                      <w:numId w:val="13"/>
                    </w:numPr>
                    <w:jc w:val="center"/>
                  </w:pPr>
                  <w:r>
                    <w:t>0.20</w:t>
                  </w:r>
                </w:p>
              </w:tc>
              <w:tc>
                <w:tcPr>
                  <w:tcW w:w="1255" w:type="dxa"/>
                  <w:tcBorders>
                    <w:top w:val="single" w:sz="4" w:space="0" w:color="A59C94" w:themeColor="accent3"/>
                    <w:left w:val="single" w:sz="4" w:space="0" w:color="A59C94" w:themeColor="accent3"/>
                    <w:bottom w:val="single" w:sz="4" w:space="0" w:color="A59C94" w:themeColor="accent3"/>
                    <w:right w:val="single" w:sz="4" w:space="0" w:color="A59C94" w:themeColor="accent3"/>
                  </w:tcBorders>
                  <w:hideMark/>
                </w:tcPr>
                <w:p w14:paraId="25A75534" w14:textId="77777777" w:rsidR="00440A29" w:rsidRDefault="00440A29" w:rsidP="00440A29">
                  <w:pPr>
                    <w:pStyle w:val="TableText"/>
                    <w:numPr>
                      <w:ilvl w:val="0"/>
                      <w:numId w:val="13"/>
                    </w:numPr>
                    <w:jc w:val="center"/>
                  </w:pPr>
                  <w:r>
                    <w:t>0.40</w:t>
                  </w:r>
                </w:p>
              </w:tc>
              <w:tc>
                <w:tcPr>
                  <w:tcW w:w="1306" w:type="dxa"/>
                  <w:tcBorders>
                    <w:top w:val="single" w:sz="4" w:space="0" w:color="A59C94" w:themeColor="accent3"/>
                    <w:left w:val="single" w:sz="4" w:space="0" w:color="A59C94" w:themeColor="accent3"/>
                    <w:bottom w:val="single" w:sz="4" w:space="0" w:color="A59C94" w:themeColor="accent3"/>
                    <w:right w:val="single" w:sz="4" w:space="0" w:color="A59C94" w:themeColor="accent3"/>
                  </w:tcBorders>
                  <w:hideMark/>
                </w:tcPr>
                <w:p w14:paraId="1F7C7699" w14:textId="77777777" w:rsidR="00440A29" w:rsidRDefault="00440A29" w:rsidP="00440A29">
                  <w:pPr>
                    <w:pStyle w:val="TableText"/>
                    <w:numPr>
                      <w:ilvl w:val="0"/>
                      <w:numId w:val="13"/>
                    </w:numPr>
                    <w:jc w:val="center"/>
                  </w:pPr>
                  <w:r>
                    <w:t>0.10</w:t>
                  </w:r>
                </w:p>
              </w:tc>
              <w:tc>
                <w:tcPr>
                  <w:tcW w:w="1204" w:type="dxa"/>
                  <w:tcBorders>
                    <w:top w:val="single" w:sz="4" w:space="0" w:color="A59C94" w:themeColor="accent3"/>
                    <w:left w:val="single" w:sz="4" w:space="0" w:color="A59C94" w:themeColor="accent3"/>
                    <w:bottom w:val="single" w:sz="4" w:space="0" w:color="A59C94" w:themeColor="accent3"/>
                    <w:right w:val="nil"/>
                  </w:tcBorders>
                  <w:hideMark/>
                </w:tcPr>
                <w:p w14:paraId="04DE82BC" w14:textId="77777777" w:rsidR="00440A29" w:rsidRDefault="00440A29" w:rsidP="00440A29">
                  <w:pPr>
                    <w:pStyle w:val="TableText"/>
                    <w:numPr>
                      <w:ilvl w:val="0"/>
                      <w:numId w:val="13"/>
                    </w:numPr>
                    <w:jc w:val="center"/>
                  </w:pPr>
                  <w:r>
                    <w:t>0.20</w:t>
                  </w:r>
                </w:p>
              </w:tc>
            </w:tr>
            <w:tr w:rsidR="00440A29" w14:paraId="35E653DF" w14:textId="77777777" w:rsidTr="00440A29">
              <w:tc>
                <w:tcPr>
                  <w:tcW w:w="2276" w:type="dxa"/>
                  <w:tcBorders>
                    <w:top w:val="single" w:sz="4" w:space="0" w:color="A59C94" w:themeColor="accent3"/>
                    <w:left w:val="nil"/>
                    <w:bottom w:val="single" w:sz="4" w:space="0" w:color="A59C94" w:themeColor="accent3"/>
                    <w:right w:val="single" w:sz="4" w:space="0" w:color="A59C94" w:themeColor="accent3"/>
                  </w:tcBorders>
                  <w:hideMark/>
                </w:tcPr>
                <w:p w14:paraId="1EFFA74C" w14:textId="77777777" w:rsidR="00440A29" w:rsidRDefault="00440A29" w:rsidP="00440A29">
                  <w:pPr>
                    <w:pStyle w:val="TableText"/>
                    <w:numPr>
                      <w:ilvl w:val="0"/>
                      <w:numId w:val="13"/>
                    </w:numPr>
                  </w:pPr>
                  <w:r>
                    <w:t>Offices, schools, educational institutions, places of worship</w:t>
                  </w:r>
                </w:p>
              </w:tc>
              <w:tc>
                <w:tcPr>
                  <w:tcW w:w="1253" w:type="dxa"/>
                  <w:tcBorders>
                    <w:top w:val="single" w:sz="4" w:space="0" w:color="A59C94" w:themeColor="accent3"/>
                    <w:left w:val="single" w:sz="4" w:space="0" w:color="A59C94" w:themeColor="accent3"/>
                    <w:bottom w:val="single" w:sz="4" w:space="0" w:color="A59C94" w:themeColor="accent3"/>
                    <w:right w:val="single" w:sz="4" w:space="0" w:color="A59C94" w:themeColor="accent3"/>
                  </w:tcBorders>
                  <w:hideMark/>
                </w:tcPr>
                <w:p w14:paraId="50C1C8D4" w14:textId="77777777" w:rsidR="00440A29" w:rsidRDefault="00440A29" w:rsidP="00440A29">
                  <w:pPr>
                    <w:pStyle w:val="TableText"/>
                    <w:numPr>
                      <w:ilvl w:val="0"/>
                      <w:numId w:val="13"/>
                    </w:numPr>
                    <w:jc w:val="center"/>
                  </w:pPr>
                  <w:r>
                    <w:t>0.40</w:t>
                  </w:r>
                </w:p>
              </w:tc>
              <w:tc>
                <w:tcPr>
                  <w:tcW w:w="1255" w:type="dxa"/>
                  <w:tcBorders>
                    <w:top w:val="single" w:sz="4" w:space="0" w:color="A59C94" w:themeColor="accent3"/>
                    <w:left w:val="single" w:sz="4" w:space="0" w:color="A59C94" w:themeColor="accent3"/>
                    <w:bottom w:val="single" w:sz="4" w:space="0" w:color="A59C94" w:themeColor="accent3"/>
                    <w:right w:val="single" w:sz="4" w:space="0" w:color="A59C94" w:themeColor="accent3"/>
                  </w:tcBorders>
                  <w:hideMark/>
                </w:tcPr>
                <w:p w14:paraId="35424C07" w14:textId="77777777" w:rsidR="00440A29" w:rsidRDefault="00440A29" w:rsidP="00440A29">
                  <w:pPr>
                    <w:pStyle w:val="TableText"/>
                    <w:numPr>
                      <w:ilvl w:val="0"/>
                      <w:numId w:val="13"/>
                    </w:numPr>
                    <w:jc w:val="center"/>
                  </w:pPr>
                  <w:r>
                    <w:t>0.80</w:t>
                  </w:r>
                </w:p>
              </w:tc>
              <w:tc>
                <w:tcPr>
                  <w:tcW w:w="1306" w:type="dxa"/>
                  <w:tcBorders>
                    <w:top w:val="single" w:sz="4" w:space="0" w:color="A59C94" w:themeColor="accent3"/>
                    <w:left w:val="single" w:sz="4" w:space="0" w:color="A59C94" w:themeColor="accent3"/>
                    <w:bottom w:val="single" w:sz="4" w:space="0" w:color="A59C94" w:themeColor="accent3"/>
                    <w:right w:val="single" w:sz="4" w:space="0" w:color="A59C94" w:themeColor="accent3"/>
                  </w:tcBorders>
                  <w:hideMark/>
                </w:tcPr>
                <w:p w14:paraId="4B6B684E" w14:textId="77777777" w:rsidR="00440A29" w:rsidRDefault="00440A29" w:rsidP="00440A29">
                  <w:pPr>
                    <w:pStyle w:val="TableText"/>
                    <w:numPr>
                      <w:ilvl w:val="0"/>
                      <w:numId w:val="13"/>
                    </w:numPr>
                    <w:jc w:val="center"/>
                  </w:pPr>
                  <w:r>
                    <w:t>0.40</w:t>
                  </w:r>
                </w:p>
              </w:tc>
              <w:tc>
                <w:tcPr>
                  <w:tcW w:w="1204" w:type="dxa"/>
                  <w:tcBorders>
                    <w:top w:val="single" w:sz="4" w:space="0" w:color="A59C94" w:themeColor="accent3"/>
                    <w:left w:val="single" w:sz="4" w:space="0" w:color="A59C94" w:themeColor="accent3"/>
                    <w:bottom w:val="single" w:sz="4" w:space="0" w:color="A59C94" w:themeColor="accent3"/>
                    <w:right w:val="nil"/>
                  </w:tcBorders>
                  <w:hideMark/>
                </w:tcPr>
                <w:p w14:paraId="728D6847" w14:textId="77777777" w:rsidR="00440A29" w:rsidRDefault="00440A29" w:rsidP="00440A29">
                  <w:pPr>
                    <w:pStyle w:val="TableText"/>
                    <w:numPr>
                      <w:ilvl w:val="0"/>
                      <w:numId w:val="13"/>
                    </w:numPr>
                    <w:jc w:val="center"/>
                  </w:pPr>
                  <w:r>
                    <w:t>0.80</w:t>
                  </w:r>
                </w:p>
              </w:tc>
            </w:tr>
            <w:tr w:rsidR="00440A29" w14:paraId="6EDA5564" w14:textId="77777777" w:rsidTr="00440A29">
              <w:tc>
                <w:tcPr>
                  <w:tcW w:w="2276" w:type="dxa"/>
                  <w:tcBorders>
                    <w:top w:val="single" w:sz="4" w:space="0" w:color="A59C94" w:themeColor="accent3"/>
                    <w:left w:val="nil"/>
                    <w:bottom w:val="single" w:sz="4" w:space="0" w:color="A59C94" w:themeColor="accent3"/>
                    <w:right w:val="single" w:sz="4" w:space="0" w:color="A59C94" w:themeColor="accent3"/>
                  </w:tcBorders>
                  <w:hideMark/>
                </w:tcPr>
                <w:p w14:paraId="602C5106" w14:textId="77777777" w:rsidR="00440A29" w:rsidRDefault="00440A29" w:rsidP="00440A29">
                  <w:pPr>
                    <w:pStyle w:val="TableText"/>
                    <w:numPr>
                      <w:ilvl w:val="0"/>
                      <w:numId w:val="13"/>
                    </w:numPr>
                  </w:pPr>
                  <w:r>
                    <w:t>Workshops</w:t>
                  </w:r>
                </w:p>
              </w:tc>
              <w:tc>
                <w:tcPr>
                  <w:tcW w:w="1253" w:type="dxa"/>
                  <w:tcBorders>
                    <w:top w:val="single" w:sz="4" w:space="0" w:color="A59C94" w:themeColor="accent3"/>
                    <w:left w:val="single" w:sz="4" w:space="0" w:color="A59C94" w:themeColor="accent3"/>
                    <w:bottom w:val="single" w:sz="4" w:space="0" w:color="A59C94" w:themeColor="accent3"/>
                    <w:right w:val="single" w:sz="4" w:space="0" w:color="A59C94" w:themeColor="accent3"/>
                  </w:tcBorders>
                  <w:hideMark/>
                </w:tcPr>
                <w:p w14:paraId="1F2D4A2B" w14:textId="77777777" w:rsidR="00440A29" w:rsidRDefault="00440A29" w:rsidP="00440A29">
                  <w:pPr>
                    <w:pStyle w:val="TableText"/>
                    <w:numPr>
                      <w:ilvl w:val="0"/>
                      <w:numId w:val="13"/>
                    </w:numPr>
                    <w:jc w:val="center"/>
                  </w:pPr>
                  <w:r>
                    <w:t>0.80</w:t>
                  </w:r>
                </w:p>
              </w:tc>
              <w:tc>
                <w:tcPr>
                  <w:tcW w:w="1255" w:type="dxa"/>
                  <w:tcBorders>
                    <w:top w:val="single" w:sz="4" w:space="0" w:color="A59C94" w:themeColor="accent3"/>
                    <w:left w:val="single" w:sz="4" w:space="0" w:color="A59C94" w:themeColor="accent3"/>
                    <w:bottom w:val="single" w:sz="4" w:space="0" w:color="A59C94" w:themeColor="accent3"/>
                    <w:right w:val="single" w:sz="4" w:space="0" w:color="A59C94" w:themeColor="accent3"/>
                  </w:tcBorders>
                  <w:hideMark/>
                </w:tcPr>
                <w:p w14:paraId="2783182F" w14:textId="77777777" w:rsidR="00440A29" w:rsidRDefault="00440A29" w:rsidP="00440A29">
                  <w:pPr>
                    <w:pStyle w:val="TableText"/>
                    <w:numPr>
                      <w:ilvl w:val="0"/>
                      <w:numId w:val="13"/>
                    </w:numPr>
                    <w:jc w:val="center"/>
                  </w:pPr>
                  <w:r>
                    <w:t>1.60</w:t>
                  </w:r>
                </w:p>
              </w:tc>
              <w:tc>
                <w:tcPr>
                  <w:tcW w:w="1306" w:type="dxa"/>
                  <w:tcBorders>
                    <w:top w:val="single" w:sz="4" w:space="0" w:color="A59C94" w:themeColor="accent3"/>
                    <w:left w:val="single" w:sz="4" w:space="0" w:color="A59C94" w:themeColor="accent3"/>
                    <w:bottom w:val="single" w:sz="4" w:space="0" w:color="A59C94" w:themeColor="accent3"/>
                    <w:right w:val="single" w:sz="4" w:space="0" w:color="A59C94" w:themeColor="accent3"/>
                  </w:tcBorders>
                  <w:hideMark/>
                </w:tcPr>
                <w:p w14:paraId="6B437E44" w14:textId="77777777" w:rsidR="00440A29" w:rsidRDefault="00440A29" w:rsidP="00440A29">
                  <w:pPr>
                    <w:pStyle w:val="TableText"/>
                    <w:numPr>
                      <w:ilvl w:val="0"/>
                      <w:numId w:val="13"/>
                    </w:numPr>
                    <w:jc w:val="center"/>
                  </w:pPr>
                  <w:r>
                    <w:t>0.80</w:t>
                  </w:r>
                </w:p>
              </w:tc>
              <w:tc>
                <w:tcPr>
                  <w:tcW w:w="1204" w:type="dxa"/>
                  <w:tcBorders>
                    <w:top w:val="single" w:sz="4" w:space="0" w:color="A59C94" w:themeColor="accent3"/>
                    <w:left w:val="single" w:sz="4" w:space="0" w:color="A59C94" w:themeColor="accent3"/>
                    <w:bottom w:val="single" w:sz="4" w:space="0" w:color="A59C94" w:themeColor="accent3"/>
                    <w:right w:val="nil"/>
                  </w:tcBorders>
                  <w:hideMark/>
                </w:tcPr>
                <w:p w14:paraId="174FE394" w14:textId="77777777" w:rsidR="00440A29" w:rsidRDefault="00440A29" w:rsidP="00440A29">
                  <w:pPr>
                    <w:pStyle w:val="TableText"/>
                    <w:numPr>
                      <w:ilvl w:val="0"/>
                      <w:numId w:val="13"/>
                    </w:numPr>
                    <w:jc w:val="center"/>
                  </w:pPr>
                  <w:r>
                    <w:t>1.60</w:t>
                  </w:r>
                </w:p>
              </w:tc>
            </w:tr>
          </w:tbl>
          <w:p w14:paraId="25C1EA47" w14:textId="27069023" w:rsidR="00BC6752" w:rsidRPr="00F71523" w:rsidRDefault="00BC6752" w:rsidP="000F4680">
            <w:pPr>
              <w:pStyle w:val="Source"/>
              <w:spacing w:after="60"/>
              <w:rPr>
                <w:b/>
              </w:rPr>
            </w:pPr>
            <w:r w:rsidRPr="00F71523">
              <w:rPr>
                <w:b/>
              </w:rPr>
              <w:t>Notes</w:t>
            </w:r>
          </w:p>
          <w:p w14:paraId="4F13F703" w14:textId="73BFBD3D" w:rsidR="00BC6752" w:rsidRPr="00F71523" w:rsidRDefault="00BC6752" w:rsidP="00BE48C6">
            <w:pPr>
              <w:pStyle w:val="Source"/>
              <w:spacing w:before="60" w:after="60"/>
              <w:ind w:left="340" w:right="-142" w:hanging="340"/>
            </w:pPr>
            <w:r w:rsidRPr="00F71523">
              <w:t>1</w:t>
            </w:r>
            <w:r w:rsidRPr="00F71523">
              <w:tab/>
              <w:t>The Guideline Targets are non-mandatory; they are goals that should be sought to be achieved through the application of feasible and reasonable mitigation measures.</w:t>
            </w:r>
          </w:p>
          <w:p w14:paraId="4BF8175D" w14:textId="2B731E7C" w:rsidR="00BC6752" w:rsidRPr="00F71523" w:rsidRDefault="00BC6752" w:rsidP="007E3877">
            <w:pPr>
              <w:pStyle w:val="Source"/>
              <w:spacing w:before="60" w:after="240"/>
              <w:ind w:left="340" w:hanging="340"/>
            </w:pPr>
            <w:r w:rsidRPr="00F71523">
              <w:t>2</w:t>
            </w:r>
            <w:r w:rsidRPr="00F71523">
              <w:tab/>
              <w:t>Compliance with these values implies no structural damage due to operation.</w:t>
            </w:r>
          </w:p>
        </w:tc>
        <w:tc>
          <w:tcPr>
            <w:tcW w:w="1168" w:type="dxa"/>
            <w:hideMark/>
          </w:tcPr>
          <w:p w14:paraId="07A52C7F" w14:textId="77777777" w:rsidR="00BC6752" w:rsidRPr="00F71523" w:rsidRDefault="00BC6752" w:rsidP="00457BDE">
            <w:pPr>
              <w:pStyle w:val="TableText"/>
            </w:pPr>
            <w:r w:rsidRPr="00F71523">
              <w:t>All</w:t>
            </w:r>
          </w:p>
        </w:tc>
        <w:tc>
          <w:tcPr>
            <w:tcW w:w="1276" w:type="dxa"/>
            <w:hideMark/>
          </w:tcPr>
          <w:p w14:paraId="66A8B237" w14:textId="77777777" w:rsidR="00BC6752" w:rsidRPr="00F71523" w:rsidRDefault="00BC6752" w:rsidP="00457BDE">
            <w:pPr>
              <w:pStyle w:val="TableText"/>
            </w:pPr>
            <w:r w:rsidRPr="00F71523">
              <w:t>Operation</w:t>
            </w:r>
          </w:p>
        </w:tc>
        <w:tc>
          <w:tcPr>
            <w:tcW w:w="1383" w:type="dxa"/>
          </w:tcPr>
          <w:p w14:paraId="70C9DD04" w14:textId="7E230BCE" w:rsidR="00BC6752" w:rsidRPr="00F71523" w:rsidRDefault="00BC6752" w:rsidP="00953369">
            <w:pPr>
              <w:pStyle w:val="TableText"/>
              <w:jc w:val="center"/>
            </w:pPr>
            <w:r w:rsidRPr="00F71523">
              <w:t>NV034</w:t>
            </w:r>
          </w:p>
        </w:tc>
      </w:tr>
      <w:tr w:rsidR="00BC6752" w:rsidRPr="00F71523" w14:paraId="6ED8AE2D" w14:textId="77777777" w:rsidTr="00CB066E">
        <w:trPr>
          <w:cantSplit/>
        </w:trPr>
        <w:tc>
          <w:tcPr>
            <w:tcW w:w="14567" w:type="dxa"/>
            <w:gridSpan w:val="6"/>
            <w:shd w:val="clear" w:color="auto" w:fill="F2F2F2" w:themeFill="background1" w:themeFillShade="F2"/>
            <w:hideMark/>
          </w:tcPr>
          <w:p w14:paraId="6BDBEB24" w14:textId="77777777" w:rsidR="00BC6752" w:rsidRPr="00F71523" w:rsidRDefault="00BC6752" w:rsidP="00457BDE">
            <w:pPr>
              <w:pStyle w:val="TableText"/>
              <w:keepNext/>
              <w:keepLines/>
              <w:rPr>
                <w:rStyle w:val="CharacterStyle-Bold"/>
              </w:rPr>
            </w:pPr>
            <w:r w:rsidRPr="00F71523">
              <w:rPr>
                <w:rStyle w:val="CharacterStyle-Bold"/>
              </w:rPr>
              <w:lastRenderedPageBreak/>
              <w:t>Aboriginal Cultural Heritage</w:t>
            </w:r>
          </w:p>
        </w:tc>
      </w:tr>
      <w:tr w:rsidR="00BC6752" w:rsidRPr="00F71523" w14:paraId="4BA07DFA" w14:textId="77777777" w:rsidTr="00CB066E">
        <w:trPr>
          <w:cantSplit/>
        </w:trPr>
        <w:tc>
          <w:tcPr>
            <w:tcW w:w="2046" w:type="dxa"/>
            <w:hideMark/>
          </w:tcPr>
          <w:p w14:paraId="099ED5FC" w14:textId="77777777" w:rsidR="00BC6752" w:rsidRPr="00F71523" w:rsidRDefault="00BC6752" w:rsidP="00CB1C25">
            <w:pPr>
              <w:pStyle w:val="TableText"/>
            </w:pPr>
            <w:r w:rsidRPr="00F71523">
              <w:t>Cultural Heritage – To avoid or minimise adverse effects on Aboriginal and historical cultural heritage values</w:t>
            </w:r>
          </w:p>
        </w:tc>
        <w:tc>
          <w:tcPr>
            <w:tcW w:w="800" w:type="dxa"/>
            <w:hideMark/>
          </w:tcPr>
          <w:p w14:paraId="2D83CBBC" w14:textId="77777777" w:rsidR="00BC6752" w:rsidRPr="00F71523" w:rsidRDefault="00BC6752" w:rsidP="00953369">
            <w:pPr>
              <w:pStyle w:val="TableText"/>
              <w:jc w:val="center"/>
            </w:pPr>
            <w:r w:rsidRPr="00F71523">
              <w:t>AH1</w:t>
            </w:r>
          </w:p>
        </w:tc>
        <w:tc>
          <w:tcPr>
            <w:tcW w:w="7894" w:type="dxa"/>
            <w:hideMark/>
          </w:tcPr>
          <w:p w14:paraId="342BC510" w14:textId="77777777" w:rsidR="00BC6752" w:rsidRPr="00F71523" w:rsidRDefault="00BC6752" w:rsidP="00CB1C25">
            <w:pPr>
              <w:pStyle w:val="TableText"/>
            </w:pPr>
            <w:r w:rsidRPr="00F71523">
              <w:t xml:space="preserve">Comply with a Cultural Heritage Management Plan approved under the </w:t>
            </w:r>
            <w:r w:rsidRPr="00F71523">
              <w:rPr>
                <w:i/>
              </w:rPr>
              <w:t>Aboriginal Heritage Act 2006</w:t>
            </w:r>
            <w:r w:rsidRPr="00F71523">
              <w:t xml:space="preserve"> and prepared in accordance with the Aboriginal Heritage Regulations 2007.</w:t>
            </w:r>
          </w:p>
        </w:tc>
        <w:tc>
          <w:tcPr>
            <w:tcW w:w="1168" w:type="dxa"/>
            <w:hideMark/>
          </w:tcPr>
          <w:p w14:paraId="0E33C185" w14:textId="77777777" w:rsidR="00BC6752" w:rsidRPr="00F71523" w:rsidRDefault="00BC6752" w:rsidP="00457BDE">
            <w:pPr>
              <w:pStyle w:val="TableText"/>
            </w:pPr>
            <w:r w:rsidRPr="00F71523">
              <w:t>All</w:t>
            </w:r>
          </w:p>
        </w:tc>
        <w:tc>
          <w:tcPr>
            <w:tcW w:w="1276" w:type="dxa"/>
            <w:hideMark/>
          </w:tcPr>
          <w:p w14:paraId="7293C276" w14:textId="77777777" w:rsidR="00BC6752" w:rsidRPr="00F71523" w:rsidRDefault="00BC6752" w:rsidP="00457BDE">
            <w:pPr>
              <w:pStyle w:val="TableText"/>
            </w:pPr>
            <w:r w:rsidRPr="00F71523">
              <w:t>Construction</w:t>
            </w:r>
          </w:p>
        </w:tc>
        <w:tc>
          <w:tcPr>
            <w:tcW w:w="1383" w:type="dxa"/>
          </w:tcPr>
          <w:p w14:paraId="29981D15" w14:textId="40B6D1AE" w:rsidR="00BC6752" w:rsidRPr="00F71523" w:rsidRDefault="00BC6752" w:rsidP="00C712B8">
            <w:pPr>
              <w:pStyle w:val="TableText"/>
              <w:jc w:val="center"/>
            </w:pPr>
            <w:r>
              <w:t xml:space="preserve">AH001 </w:t>
            </w:r>
            <w:r w:rsidR="00C712B8">
              <w:t>to</w:t>
            </w:r>
            <w:r>
              <w:t xml:space="preserve"> AH007</w:t>
            </w:r>
          </w:p>
        </w:tc>
      </w:tr>
      <w:tr w:rsidR="00BC6752" w:rsidRPr="00F71523" w14:paraId="16A66267" w14:textId="77777777" w:rsidTr="00CB066E">
        <w:trPr>
          <w:cantSplit/>
        </w:trPr>
        <w:tc>
          <w:tcPr>
            <w:tcW w:w="14567" w:type="dxa"/>
            <w:gridSpan w:val="6"/>
            <w:shd w:val="clear" w:color="auto" w:fill="F2F2F2" w:themeFill="background1" w:themeFillShade="F2"/>
            <w:hideMark/>
          </w:tcPr>
          <w:p w14:paraId="670DC75F" w14:textId="77777777" w:rsidR="00BC6752" w:rsidRPr="00F71523" w:rsidRDefault="00BC6752" w:rsidP="00457BDE">
            <w:pPr>
              <w:pStyle w:val="TableText"/>
              <w:keepNext/>
              <w:keepLines/>
              <w:rPr>
                <w:rStyle w:val="CharacterStyle-Bold"/>
              </w:rPr>
            </w:pPr>
            <w:r w:rsidRPr="00F71523">
              <w:rPr>
                <w:rStyle w:val="CharacterStyle-Bold"/>
              </w:rPr>
              <w:t>Historical Cultural Heritage</w:t>
            </w:r>
          </w:p>
        </w:tc>
      </w:tr>
      <w:tr w:rsidR="0089374D" w:rsidRPr="00F71523" w14:paraId="54D0B3B7" w14:textId="77777777" w:rsidTr="00CB066E">
        <w:trPr>
          <w:cantSplit/>
        </w:trPr>
        <w:tc>
          <w:tcPr>
            <w:tcW w:w="2046" w:type="dxa"/>
            <w:vMerge w:val="restart"/>
          </w:tcPr>
          <w:p w14:paraId="437DEADD" w14:textId="010388F5" w:rsidR="0089374D" w:rsidRPr="00F71523" w:rsidRDefault="0089374D" w:rsidP="00CB1C25">
            <w:pPr>
              <w:pStyle w:val="TableText"/>
            </w:pPr>
            <w:r w:rsidRPr="00F71523">
              <w:t>Cultural Heritage – To avoid or minimise adverse effects on Aboriginal and historical cultural heritage values</w:t>
            </w:r>
          </w:p>
        </w:tc>
        <w:tc>
          <w:tcPr>
            <w:tcW w:w="800" w:type="dxa"/>
          </w:tcPr>
          <w:p w14:paraId="50A7EAD7" w14:textId="048F2900" w:rsidR="0089374D" w:rsidRPr="00F71523" w:rsidRDefault="0089374D" w:rsidP="00953369">
            <w:pPr>
              <w:pStyle w:val="TableText"/>
              <w:jc w:val="center"/>
            </w:pPr>
            <w:r w:rsidRPr="00F71523">
              <w:t>CH1</w:t>
            </w:r>
          </w:p>
        </w:tc>
        <w:tc>
          <w:tcPr>
            <w:tcW w:w="7894" w:type="dxa"/>
          </w:tcPr>
          <w:p w14:paraId="0324A36B" w14:textId="77777777" w:rsidR="0089374D" w:rsidRPr="00F71523" w:rsidRDefault="0089374D" w:rsidP="00040FF1">
            <w:pPr>
              <w:pStyle w:val="TableText"/>
            </w:pPr>
            <w:r w:rsidRPr="00F71523">
              <w:t xml:space="preserve">Design permanent and temporary works to avoid or minimise impacts on the cultural heritage values of heritage places. </w:t>
            </w:r>
          </w:p>
          <w:p w14:paraId="54E909AE" w14:textId="2F9DFF1D" w:rsidR="0089374D" w:rsidRPr="00F71523" w:rsidRDefault="0089374D" w:rsidP="008B7544">
            <w:pPr>
              <w:pStyle w:val="TableText"/>
            </w:pPr>
            <w:r w:rsidRPr="00F71523">
              <w:t>Consult as required with Heritage Victoria and/or the responsible authority (as applicable).</w:t>
            </w:r>
          </w:p>
        </w:tc>
        <w:tc>
          <w:tcPr>
            <w:tcW w:w="1168" w:type="dxa"/>
          </w:tcPr>
          <w:p w14:paraId="0B252E4F" w14:textId="5B50BAB3" w:rsidR="0089374D" w:rsidRPr="00F71523" w:rsidRDefault="0089374D" w:rsidP="00457BDE">
            <w:pPr>
              <w:pStyle w:val="TableText"/>
            </w:pPr>
            <w:r w:rsidRPr="00F71523">
              <w:t>All</w:t>
            </w:r>
          </w:p>
        </w:tc>
        <w:tc>
          <w:tcPr>
            <w:tcW w:w="1276" w:type="dxa"/>
          </w:tcPr>
          <w:p w14:paraId="2C6E34DD" w14:textId="43175A97" w:rsidR="0089374D" w:rsidRPr="00F71523" w:rsidRDefault="0089374D" w:rsidP="00457BDE">
            <w:pPr>
              <w:pStyle w:val="TableText"/>
            </w:pPr>
            <w:r w:rsidRPr="00F71523">
              <w:t>Detailed design</w:t>
            </w:r>
          </w:p>
        </w:tc>
        <w:tc>
          <w:tcPr>
            <w:tcW w:w="1383" w:type="dxa"/>
          </w:tcPr>
          <w:p w14:paraId="1AEEC38D" w14:textId="61A5DBEC" w:rsidR="0089374D" w:rsidRPr="00F71523" w:rsidRDefault="0089374D" w:rsidP="0089374D">
            <w:pPr>
              <w:pStyle w:val="TableText"/>
              <w:jc w:val="center"/>
            </w:pPr>
            <w:r>
              <w:t>All</w:t>
            </w:r>
          </w:p>
        </w:tc>
      </w:tr>
      <w:tr w:rsidR="0089374D" w:rsidRPr="00F71523" w14:paraId="23051180" w14:textId="77777777" w:rsidTr="00CB066E">
        <w:trPr>
          <w:cantSplit/>
        </w:trPr>
        <w:tc>
          <w:tcPr>
            <w:tcW w:w="2046" w:type="dxa"/>
            <w:vMerge/>
          </w:tcPr>
          <w:p w14:paraId="4E7A4427" w14:textId="77777777" w:rsidR="0089374D" w:rsidRPr="00F71523" w:rsidRDefault="0089374D" w:rsidP="00CB1C25">
            <w:pPr>
              <w:pStyle w:val="TableText"/>
            </w:pPr>
          </w:p>
        </w:tc>
        <w:tc>
          <w:tcPr>
            <w:tcW w:w="800" w:type="dxa"/>
          </w:tcPr>
          <w:p w14:paraId="43955CA4" w14:textId="71FB2C78" w:rsidR="0089374D" w:rsidRPr="00F71523" w:rsidRDefault="0089374D" w:rsidP="00953369">
            <w:pPr>
              <w:pStyle w:val="TableText"/>
              <w:jc w:val="center"/>
            </w:pPr>
            <w:r w:rsidRPr="00F71523">
              <w:t>CH2</w:t>
            </w:r>
          </w:p>
        </w:tc>
        <w:tc>
          <w:tcPr>
            <w:tcW w:w="7894" w:type="dxa"/>
          </w:tcPr>
          <w:p w14:paraId="4BE5DAB9" w14:textId="77777777" w:rsidR="0089374D" w:rsidRPr="00F71523" w:rsidRDefault="0089374D" w:rsidP="00040FF1">
            <w:pPr>
              <w:pStyle w:val="TableText"/>
            </w:pPr>
            <w:r w:rsidRPr="00F71523">
              <w:t>To avoid or minimise impacts on the cultural heritage values of heritage places:</w:t>
            </w:r>
          </w:p>
          <w:p w14:paraId="4C04D109" w14:textId="6B08D6D7" w:rsidR="0089374D" w:rsidRPr="00F71523" w:rsidRDefault="0089374D" w:rsidP="0066216E">
            <w:pPr>
              <w:pStyle w:val="TableBullet1"/>
            </w:pPr>
            <w:r w:rsidRPr="00F71523">
              <w:t>Perform works in accordance with the following noise and vibration and ground movement Environmental Performance Requirements as related to heritage places: NV2, NV5, NV6, NV11, GM2, GM4, GM5, GM6</w:t>
            </w:r>
          </w:p>
          <w:p w14:paraId="6FD41A56" w14:textId="4D26D530" w:rsidR="0089374D" w:rsidRPr="00F71523" w:rsidRDefault="0089374D" w:rsidP="0066216E">
            <w:pPr>
              <w:pStyle w:val="TableBullet1"/>
            </w:pPr>
            <w:r w:rsidRPr="00F71523">
              <w:t>Undertake condition assessments of heritage places prior to commencement of construction where located within the identified vibration and ground settlement zones of sensitivity and monitor as per NV6, GM4 and GM5.</w:t>
            </w:r>
          </w:p>
          <w:p w14:paraId="540FDC90" w14:textId="396437AC" w:rsidR="0089374D" w:rsidRPr="00F71523" w:rsidRDefault="0089374D" w:rsidP="00BE48C6">
            <w:pPr>
              <w:pStyle w:val="TableText"/>
            </w:pPr>
            <w:r w:rsidRPr="00F71523">
              <w:t>Should damage occur to a building or structure on the Victorian Heritage Register or that is subject to a Heritage Overlay as a result of works, undertake rectification works in accordance with accepted conservation practice (with reference to the Australia ICOMOS Burra Charter 2013) to the satisfaction of Heritage Victoria or the responsible authority, as applicable.</w:t>
            </w:r>
          </w:p>
        </w:tc>
        <w:tc>
          <w:tcPr>
            <w:tcW w:w="1168" w:type="dxa"/>
          </w:tcPr>
          <w:p w14:paraId="7F8D6A1C" w14:textId="14CC955B" w:rsidR="0089374D" w:rsidRPr="00F71523" w:rsidRDefault="0089374D" w:rsidP="00457BDE">
            <w:pPr>
              <w:pStyle w:val="TableText"/>
            </w:pPr>
            <w:r w:rsidRPr="00F71523">
              <w:t>All</w:t>
            </w:r>
          </w:p>
        </w:tc>
        <w:tc>
          <w:tcPr>
            <w:tcW w:w="1276" w:type="dxa"/>
          </w:tcPr>
          <w:p w14:paraId="6F2CA04A" w14:textId="078A7C69" w:rsidR="0089374D" w:rsidRPr="00F71523" w:rsidRDefault="0089374D" w:rsidP="00457BDE">
            <w:pPr>
              <w:pStyle w:val="TableText"/>
            </w:pPr>
            <w:r w:rsidRPr="00F71523">
              <w:t>Prior to and during construction</w:t>
            </w:r>
          </w:p>
        </w:tc>
        <w:tc>
          <w:tcPr>
            <w:tcW w:w="1383" w:type="dxa"/>
          </w:tcPr>
          <w:p w14:paraId="1E0E3B49" w14:textId="77C339A8" w:rsidR="0089374D" w:rsidRPr="00F71523" w:rsidRDefault="0089374D" w:rsidP="00953369">
            <w:pPr>
              <w:pStyle w:val="TableText"/>
              <w:jc w:val="center"/>
            </w:pPr>
            <w:r>
              <w:t>HH03</w:t>
            </w:r>
          </w:p>
        </w:tc>
      </w:tr>
      <w:tr w:rsidR="0089374D" w:rsidRPr="00F71523" w14:paraId="17A1EA7F" w14:textId="77777777" w:rsidTr="00CB066E">
        <w:trPr>
          <w:cantSplit/>
        </w:trPr>
        <w:tc>
          <w:tcPr>
            <w:tcW w:w="2046" w:type="dxa"/>
            <w:vMerge/>
          </w:tcPr>
          <w:p w14:paraId="6DB31253" w14:textId="77777777" w:rsidR="0089374D" w:rsidRPr="00F71523" w:rsidRDefault="0089374D" w:rsidP="00CB1C25">
            <w:pPr>
              <w:pStyle w:val="TableText"/>
            </w:pPr>
          </w:p>
        </w:tc>
        <w:tc>
          <w:tcPr>
            <w:tcW w:w="800" w:type="dxa"/>
          </w:tcPr>
          <w:p w14:paraId="09D2DD96" w14:textId="66D36C08" w:rsidR="0089374D" w:rsidRPr="00F71523" w:rsidRDefault="0089374D" w:rsidP="00953369">
            <w:pPr>
              <w:pStyle w:val="TableText"/>
              <w:jc w:val="center"/>
            </w:pPr>
            <w:r w:rsidRPr="00F71523">
              <w:t>CH3</w:t>
            </w:r>
          </w:p>
        </w:tc>
        <w:tc>
          <w:tcPr>
            <w:tcW w:w="7894" w:type="dxa"/>
          </w:tcPr>
          <w:p w14:paraId="798B7877" w14:textId="34959113" w:rsidR="0089374D" w:rsidRPr="00F71523" w:rsidRDefault="0089374D" w:rsidP="008B7544">
            <w:pPr>
              <w:pStyle w:val="TableText"/>
            </w:pPr>
            <w:r w:rsidRPr="00F71523">
              <w:t>Prior to construction</w:t>
            </w:r>
            <w:r w:rsidR="00BE48C6">
              <w:t>,</w:t>
            </w:r>
            <w:r w:rsidRPr="00F71523">
              <w:t xml:space="preserve"> undertake archival photographic recording in accordance with Heritage Victoria Technical Note: Photographic Recording for Heritage Places and Objects where heritage places are to be demolished or modified.</w:t>
            </w:r>
          </w:p>
        </w:tc>
        <w:tc>
          <w:tcPr>
            <w:tcW w:w="1168" w:type="dxa"/>
          </w:tcPr>
          <w:p w14:paraId="7699572D" w14:textId="718FF674" w:rsidR="0089374D" w:rsidRPr="00F71523" w:rsidRDefault="0089374D" w:rsidP="00457BDE">
            <w:pPr>
              <w:pStyle w:val="TableText"/>
            </w:pPr>
            <w:r w:rsidRPr="00F71523">
              <w:t>All</w:t>
            </w:r>
          </w:p>
        </w:tc>
        <w:tc>
          <w:tcPr>
            <w:tcW w:w="1276" w:type="dxa"/>
          </w:tcPr>
          <w:p w14:paraId="73B25367" w14:textId="3AEEB388" w:rsidR="0089374D" w:rsidRPr="00F71523" w:rsidRDefault="0089374D" w:rsidP="00457BDE">
            <w:pPr>
              <w:pStyle w:val="TableText"/>
            </w:pPr>
            <w:r w:rsidRPr="00F71523">
              <w:t>Prior to construction commencing</w:t>
            </w:r>
          </w:p>
        </w:tc>
        <w:tc>
          <w:tcPr>
            <w:tcW w:w="1383" w:type="dxa"/>
          </w:tcPr>
          <w:p w14:paraId="1B369294" w14:textId="67E54C50" w:rsidR="0089374D" w:rsidRPr="00F71523" w:rsidRDefault="0089374D" w:rsidP="0089374D">
            <w:pPr>
              <w:pStyle w:val="TableText"/>
              <w:jc w:val="center"/>
            </w:pPr>
            <w:r>
              <w:t>HH04, HH05, HH06, HH07, HH08, HH09, HH10, HH13, HH14, HH15, HH16, HH22, HH23, HH26, HH27, HH28, HH29, HH32</w:t>
            </w:r>
          </w:p>
        </w:tc>
      </w:tr>
      <w:tr w:rsidR="0089374D" w:rsidRPr="00F71523" w14:paraId="0F065461" w14:textId="77777777" w:rsidTr="00CB066E">
        <w:trPr>
          <w:cantSplit/>
        </w:trPr>
        <w:tc>
          <w:tcPr>
            <w:tcW w:w="2046" w:type="dxa"/>
            <w:vMerge w:val="restart"/>
          </w:tcPr>
          <w:p w14:paraId="0D451B61" w14:textId="77777777" w:rsidR="0089374D" w:rsidRPr="00F71523" w:rsidRDefault="0089374D" w:rsidP="00AA7405">
            <w:pPr>
              <w:pStyle w:val="TableText"/>
              <w:pageBreakBefore/>
            </w:pPr>
          </w:p>
        </w:tc>
        <w:tc>
          <w:tcPr>
            <w:tcW w:w="800" w:type="dxa"/>
          </w:tcPr>
          <w:p w14:paraId="2F380C9D" w14:textId="726A37C1" w:rsidR="0089374D" w:rsidRPr="00F71523" w:rsidRDefault="0089374D" w:rsidP="00953369">
            <w:pPr>
              <w:pStyle w:val="TableText"/>
              <w:jc w:val="center"/>
            </w:pPr>
            <w:r w:rsidRPr="00F71523">
              <w:t>CH4</w:t>
            </w:r>
          </w:p>
        </w:tc>
        <w:tc>
          <w:tcPr>
            <w:tcW w:w="7894" w:type="dxa"/>
          </w:tcPr>
          <w:p w14:paraId="68EB6489" w14:textId="77777777" w:rsidR="00BE48C6" w:rsidRDefault="0089374D" w:rsidP="008B7544">
            <w:pPr>
              <w:pStyle w:val="TableText"/>
            </w:pPr>
            <w:r w:rsidRPr="00F71523">
              <w:t xml:space="preserve">Prior to construction of main works or shafts that affect heritage structures or places, develop detailed methodology in accordance with Australia ICOMOS Burra Charter and to the satisfaction of Heritage Victoria or the responsible authority (as applicable) where heritage fabric is required to be dismantled, stored and reconstructed. </w:t>
            </w:r>
          </w:p>
          <w:p w14:paraId="1448BB9A" w14:textId="297CC56C" w:rsidR="0089374D" w:rsidRPr="00F71523" w:rsidRDefault="0089374D" w:rsidP="008B7544">
            <w:pPr>
              <w:pStyle w:val="TableText"/>
            </w:pPr>
            <w:r w:rsidRPr="00F71523">
              <w:t xml:space="preserve">Work is to be documented and overseen by an appropriately qualified conservation practitioner. </w:t>
            </w:r>
          </w:p>
        </w:tc>
        <w:tc>
          <w:tcPr>
            <w:tcW w:w="1168" w:type="dxa"/>
          </w:tcPr>
          <w:p w14:paraId="77AA2AA5" w14:textId="7665CADF" w:rsidR="0089374D" w:rsidRPr="00F71523" w:rsidRDefault="0089374D" w:rsidP="00457BDE">
            <w:pPr>
              <w:pStyle w:val="TableText"/>
            </w:pPr>
            <w:r w:rsidRPr="00F71523">
              <w:t>1 – Tunnels</w:t>
            </w:r>
          </w:p>
          <w:p w14:paraId="5632E284" w14:textId="77777777" w:rsidR="0089374D" w:rsidRPr="00F71523" w:rsidRDefault="0089374D" w:rsidP="00457BDE">
            <w:pPr>
              <w:pStyle w:val="TableText"/>
            </w:pPr>
            <w:r w:rsidRPr="00F71523">
              <w:t>3 – Arden station</w:t>
            </w:r>
          </w:p>
          <w:p w14:paraId="7928D56A" w14:textId="2A12C2C6" w:rsidR="0089374D" w:rsidRPr="00F71523" w:rsidRDefault="0089374D" w:rsidP="00457BDE">
            <w:pPr>
              <w:pStyle w:val="TableText"/>
            </w:pPr>
            <w:r w:rsidRPr="00F71523">
              <w:t>6 –</w:t>
            </w:r>
            <w:r w:rsidR="00457BDE">
              <w:t xml:space="preserve"> </w:t>
            </w:r>
            <w:r w:rsidRPr="00F71523">
              <w:t xml:space="preserve">CBD </w:t>
            </w:r>
            <w:r w:rsidRPr="00457BDE">
              <w:rPr>
                <w:spacing w:val="-4"/>
              </w:rPr>
              <w:t>South station</w:t>
            </w:r>
          </w:p>
          <w:p w14:paraId="4551D13F" w14:textId="2E904031" w:rsidR="0089374D" w:rsidRPr="00F71523" w:rsidRDefault="0089374D" w:rsidP="00457BDE">
            <w:pPr>
              <w:pStyle w:val="TableText"/>
            </w:pPr>
            <w:r w:rsidRPr="00F71523">
              <w:t>7 – Domain station</w:t>
            </w:r>
          </w:p>
        </w:tc>
        <w:tc>
          <w:tcPr>
            <w:tcW w:w="1276" w:type="dxa"/>
          </w:tcPr>
          <w:p w14:paraId="6ED5309B" w14:textId="6EFB54DD" w:rsidR="0089374D" w:rsidRPr="00F71523" w:rsidRDefault="0089374D" w:rsidP="00457BDE">
            <w:pPr>
              <w:pStyle w:val="TableText"/>
            </w:pPr>
            <w:r w:rsidRPr="00F71523">
              <w:t xml:space="preserve">Prior to construction, </w:t>
            </w:r>
            <w:r w:rsidRPr="00457BDE">
              <w:rPr>
                <w:spacing w:val="-4"/>
              </w:rPr>
              <w:t>reinstatement</w:t>
            </w:r>
            <w:r w:rsidRPr="00F71523">
              <w:t xml:space="preserve"> at an appropriate time during or after the main construction works</w:t>
            </w:r>
          </w:p>
        </w:tc>
        <w:tc>
          <w:tcPr>
            <w:tcW w:w="1383" w:type="dxa"/>
          </w:tcPr>
          <w:p w14:paraId="03B69888" w14:textId="54B88691" w:rsidR="0089374D" w:rsidRPr="00F71523" w:rsidRDefault="0089374D" w:rsidP="00953369">
            <w:pPr>
              <w:pStyle w:val="TableText"/>
              <w:jc w:val="center"/>
            </w:pPr>
            <w:r>
              <w:t>HH04, HH17, HH19, HH23, HH25, HH27, HH31</w:t>
            </w:r>
          </w:p>
        </w:tc>
      </w:tr>
      <w:tr w:rsidR="0089374D" w:rsidRPr="00F71523" w14:paraId="28274A30" w14:textId="77777777" w:rsidTr="00CB066E">
        <w:trPr>
          <w:cantSplit/>
        </w:trPr>
        <w:tc>
          <w:tcPr>
            <w:tcW w:w="2046" w:type="dxa"/>
            <w:vMerge/>
          </w:tcPr>
          <w:p w14:paraId="29CE1B6E" w14:textId="77777777" w:rsidR="0089374D" w:rsidRPr="00F71523" w:rsidRDefault="0089374D" w:rsidP="00CB1C25">
            <w:pPr>
              <w:pStyle w:val="TableText"/>
            </w:pPr>
          </w:p>
        </w:tc>
        <w:tc>
          <w:tcPr>
            <w:tcW w:w="800" w:type="dxa"/>
          </w:tcPr>
          <w:p w14:paraId="62FF2147" w14:textId="3AF3A3E9" w:rsidR="0089374D" w:rsidRPr="00F71523" w:rsidRDefault="0089374D" w:rsidP="00953369">
            <w:pPr>
              <w:pStyle w:val="TableText"/>
              <w:jc w:val="center"/>
            </w:pPr>
            <w:r w:rsidRPr="00F71523">
              <w:t>CH5</w:t>
            </w:r>
          </w:p>
        </w:tc>
        <w:tc>
          <w:tcPr>
            <w:tcW w:w="7894" w:type="dxa"/>
          </w:tcPr>
          <w:p w14:paraId="70AC8438" w14:textId="6C189259" w:rsidR="0089374D" w:rsidRPr="00F71523" w:rsidRDefault="0089374D" w:rsidP="008B7544">
            <w:pPr>
              <w:pStyle w:val="TableText"/>
            </w:pPr>
            <w:r w:rsidRPr="00F71523">
              <w:t>Prior to construction of main works or shafts that affect heritage structures or places</w:t>
            </w:r>
            <w:r>
              <w:t>,</w:t>
            </w:r>
            <w:r w:rsidRPr="00F71523">
              <w:t xml:space="preserve"> develop and implement appropriate protection measures for heritage places and objects including sculptures, memorials, monuments and associated heritage fabric where retained in proximity to works. This is to be done to the satisfaction of Heritage Victoria or the responsible authority (as applicable).</w:t>
            </w:r>
          </w:p>
        </w:tc>
        <w:tc>
          <w:tcPr>
            <w:tcW w:w="1168" w:type="dxa"/>
          </w:tcPr>
          <w:p w14:paraId="255959F9" w14:textId="599245F1" w:rsidR="0089374D" w:rsidRPr="00F71523" w:rsidRDefault="0089374D" w:rsidP="00457BDE">
            <w:pPr>
              <w:pStyle w:val="TableText"/>
            </w:pPr>
            <w:r w:rsidRPr="00F71523">
              <w:t>All</w:t>
            </w:r>
          </w:p>
        </w:tc>
        <w:tc>
          <w:tcPr>
            <w:tcW w:w="1276" w:type="dxa"/>
          </w:tcPr>
          <w:p w14:paraId="6FDD6212" w14:textId="5B9203E5" w:rsidR="0089374D" w:rsidRPr="00F71523" w:rsidRDefault="0089374D" w:rsidP="00457BDE">
            <w:pPr>
              <w:pStyle w:val="TableText"/>
            </w:pPr>
            <w:r w:rsidRPr="00F71523">
              <w:t>Prior to construction commencing</w:t>
            </w:r>
          </w:p>
        </w:tc>
        <w:tc>
          <w:tcPr>
            <w:tcW w:w="1383" w:type="dxa"/>
          </w:tcPr>
          <w:p w14:paraId="1B084AB9" w14:textId="028D1624" w:rsidR="0089374D" w:rsidRPr="00F71523" w:rsidRDefault="0089374D" w:rsidP="0089374D">
            <w:pPr>
              <w:pStyle w:val="TableText"/>
              <w:jc w:val="center"/>
            </w:pPr>
            <w:r>
              <w:t>HH04, HH05, HH18, HH25, HH26, HH29, HH31</w:t>
            </w:r>
          </w:p>
        </w:tc>
      </w:tr>
      <w:tr w:rsidR="0089374D" w:rsidRPr="00F71523" w14:paraId="2CB792D3" w14:textId="77777777" w:rsidTr="00CB066E">
        <w:trPr>
          <w:cantSplit/>
        </w:trPr>
        <w:tc>
          <w:tcPr>
            <w:tcW w:w="2046" w:type="dxa"/>
            <w:vMerge/>
          </w:tcPr>
          <w:p w14:paraId="1C436F6E" w14:textId="77777777" w:rsidR="0089374D" w:rsidRPr="00F71523" w:rsidRDefault="0089374D" w:rsidP="00CB1C25">
            <w:pPr>
              <w:pStyle w:val="TableText"/>
            </w:pPr>
          </w:p>
        </w:tc>
        <w:tc>
          <w:tcPr>
            <w:tcW w:w="800" w:type="dxa"/>
          </w:tcPr>
          <w:p w14:paraId="62169D8F" w14:textId="0BAC3DC3" w:rsidR="0089374D" w:rsidRPr="00F71523" w:rsidRDefault="0089374D" w:rsidP="00953369">
            <w:pPr>
              <w:pStyle w:val="TableText"/>
              <w:jc w:val="center"/>
            </w:pPr>
            <w:r w:rsidRPr="00F71523">
              <w:t>CH6</w:t>
            </w:r>
          </w:p>
        </w:tc>
        <w:tc>
          <w:tcPr>
            <w:tcW w:w="7894" w:type="dxa"/>
          </w:tcPr>
          <w:p w14:paraId="69CA25F3" w14:textId="77777777" w:rsidR="0089374D" w:rsidRPr="00F71523" w:rsidRDefault="0089374D" w:rsidP="00040FF1">
            <w:pPr>
              <w:pStyle w:val="TableText"/>
            </w:pPr>
            <w:r w:rsidRPr="00F71523">
              <w:t>To the satisfaction of Heritage Victoria:</w:t>
            </w:r>
          </w:p>
          <w:p w14:paraId="0B1EB964" w14:textId="77777777" w:rsidR="0089374D" w:rsidRPr="00F71523" w:rsidRDefault="0089374D" w:rsidP="0066216E">
            <w:pPr>
              <w:pStyle w:val="TableBullet1"/>
            </w:pPr>
            <w:r w:rsidRPr="00F71523">
              <w:t>Develop archaeological management plans to manage disturbance of archaeological sites and values affected by the project</w:t>
            </w:r>
          </w:p>
          <w:p w14:paraId="34BAEA33" w14:textId="6C8779E0" w:rsidR="0089374D" w:rsidRPr="00F71523" w:rsidRDefault="0089374D" w:rsidP="0066216E">
            <w:pPr>
              <w:pStyle w:val="TableBullet1"/>
            </w:pPr>
            <w:r w:rsidRPr="00F71523">
              <w:t>Undertake investigation in accordance with the Guidelines for Investigating Historical Archaeological Artefacts and Sites, Heritage Victoria 2014 (as amended or updated) and to the satisfaction of the Executive Director, Heritage Victoria.</w:t>
            </w:r>
          </w:p>
          <w:p w14:paraId="18A7658C" w14:textId="01B77B33" w:rsidR="0089374D" w:rsidRPr="00F71523" w:rsidRDefault="0089374D" w:rsidP="008B7544">
            <w:pPr>
              <w:pStyle w:val="TableText"/>
            </w:pPr>
            <w:r w:rsidRPr="00F71523">
              <w:t>Develop and implement a protocol for managing previously unidentified historical archaeological sites discovered during project works.</w:t>
            </w:r>
          </w:p>
        </w:tc>
        <w:tc>
          <w:tcPr>
            <w:tcW w:w="1168" w:type="dxa"/>
          </w:tcPr>
          <w:p w14:paraId="68EF633B" w14:textId="0BD5323B" w:rsidR="0089374D" w:rsidRPr="00F71523" w:rsidRDefault="0089374D" w:rsidP="00457BDE">
            <w:pPr>
              <w:pStyle w:val="TableText"/>
            </w:pPr>
            <w:r w:rsidRPr="00F71523">
              <w:t>All</w:t>
            </w:r>
          </w:p>
        </w:tc>
        <w:tc>
          <w:tcPr>
            <w:tcW w:w="1276" w:type="dxa"/>
          </w:tcPr>
          <w:p w14:paraId="42BEB130" w14:textId="0CF4A660" w:rsidR="0089374D" w:rsidRPr="00F71523" w:rsidRDefault="0089374D" w:rsidP="00457BDE">
            <w:pPr>
              <w:pStyle w:val="TableText"/>
            </w:pPr>
            <w:r w:rsidRPr="00F71523">
              <w:t>Pre-construction</w:t>
            </w:r>
          </w:p>
        </w:tc>
        <w:tc>
          <w:tcPr>
            <w:tcW w:w="1383" w:type="dxa"/>
          </w:tcPr>
          <w:p w14:paraId="28A067B7" w14:textId="3E3EA226" w:rsidR="0089374D" w:rsidRPr="00F71523" w:rsidRDefault="0089374D" w:rsidP="00953369">
            <w:pPr>
              <w:pStyle w:val="TableText"/>
              <w:jc w:val="center"/>
            </w:pPr>
            <w:r>
              <w:t>HH01, HH02</w:t>
            </w:r>
          </w:p>
        </w:tc>
      </w:tr>
      <w:tr w:rsidR="0089374D" w:rsidRPr="00F71523" w14:paraId="41ECB46B" w14:textId="77777777" w:rsidTr="00CB066E">
        <w:trPr>
          <w:cantSplit/>
        </w:trPr>
        <w:tc>
          <w:tcPr>
            <w:tcW w:w="2046" w:type="dxa"/>
            <w:vMerge/>
          </w:tcPr>
          <w:p w14:paraId="5A5F24B8" w14:textId="77777777" w:rsidR="0089374D" w:rsidRPr="00F71523" w:rsidRDefault="0089374D" w:rsidP="00CB1C25">
            <w:pPr>
              <w:pStyle w:val="TableText"/>
            </w:pPr>
          </w:p>
        </w:tc>
        <w:tc>
          <w:tcPr>
            <w:tcW w:w="800" w:type="dxa"/>
          </w:tcPr>
          <w:p w14:paraId="0F1096CA" w14:textId="209F7968" w:rsidR="0089374D" w:rsidRPr="00F71523" w:rsidRDefault="0089374D" w:rsidP="00953369">
            <w:pPr>
              <w:pStyle w:val="TableText"/>
              <w:jc w:val="center"/>
            </w:pPr>
            <w:r w:rsidRPr="00F71523">
              <w:t>CH7</w:t>
            </w:r>
          </w:p>
        </w:tc>
        <w:tc>
          <w:tcPr>
            <w:tcW w:w="7894" w:type="dxa"/>
          </w:tcPr>
          <w:p w14:paraId="0A758519" w14:textId="6A409749" w:rsidR="0089374D" w:rsidRPr="00F71523" w:rsidRDefault="0089374D" w:rsidP="008B7544">
            <w:pPr>
              <w:pStyle w:val="TableText"/>
            </w:pPr>
            <w:r w:rsidRPr="00F71523">
              <w:t xml:space="preserve">To the satisfaction of Heritage Victoria and the responsible authority, develop and implement a heritage interpretation strategy as part of detailed design as a whole which seeks to explore historical and Aboriginal cultural heritage themes. This must include </w:t>
            </w:r>
            <w:r w:rsidR="00BE48C6">
              <w:t>(</w:t>
            </w:r>
            <w:r w:rsidRPr="00F71523">
              <w:t>but not be limited to</w:t>
            </w:r>
            <w:r w:rsidR="00BE48C6">
              <w:t>)</w:t>
            </w:r>
            <w:r w:rsidRPr="00F71523">
              <w:t xml:space="preserve"> the exploration of opportunities for interpretation at Arden station (referencing the use of this land for railways workshops and sidings), and at CBD South station (referencing the Port Phillip Arcade and the early Port Phillip Club Hotel).</w:t>
            </w:r>
          </w:p>
        </w:tc>
        <w:tc>
          <w:tcPr>
            <w:tcW w:w="1168" w:type="dxa"/>
          </w:tcPr>
          <w:p w14:paraId="597FCF05" w14:textId="4C8104D0" w:rsidR="0089374D" w:rsidRPr="00F71523" w:rsidRDefault="0089374D" w:rsidP="00457BDE">
            <w:pPr>
              <w:pStyle w:val="TableText"/>
            </w:pPr>
            <w:r w:rsidRPr="00F71523">
              <w:t>All</w:t>
            </w:r>
          </w:p>
        </w:tc>
        <w:tc>
          <w:tcPr>
            <w:tcW w:w="1276" w:type="dxa"/>
          </w:tcPr>
          <w:p w14:paraId="1735E2D6" w14:textId="0CA28A57" w:rsidR="0089374D" w:rsidRPr="00F71523" w:rsidRDefault="0089374D" w:rsidP="00457BDE">
            <w:pPr>
              <w:pStyle w:val="TableText"/>
            </w:pPr>
            <w:r w:rsidRPr="00F71523">
              <w:t>Design/ Construction</w:t>
            </w:r>
          </w:p>
        </w:tc>
        <w:tc>
          <w:tcPr>
            <w:tcW w:w="1383" w:type="dxa"/>
          </w:tcPr>
          <w:p w14:paraId="094BF46D" w14:textId="3093C491" w:rsidR="0089374D" w:rsidRPr="00F71523" w:rsidRDefault="0089374D" w:rsidP="00953369">
            <w:pPr>
              <w:pStyle w:val="TableText"/>
              <w:jc w:val="center"/>
            </w:pPr>
            <w:r>
              <w:t>Specific risks include HH13 and HH23 but the opportunities apply across the project.</w:t>
            </w:r>
          </w:p>
        </w:tc>
      </w:tr>
      <w:tr w:rsidR="0089374D" w:rsidRPr="00F71523" w14:paraId="6E0DE740" w14:textId="77777777" w:rsidTr="00CB066E">
        <w:trPr>
          <w:cantSplit/>
        </w:trPr>
        <w:tc>
          <w:tcPr>
            <w:tcW w:w="2046" w:type="dxa"/>
            <w:vMerge w:val="restart"/>
          </w:tcPr>
          <w:p w14:paraId="508DDE16" w14:textId="77777777" w:rsidR="0089374D" w:rsidRPr="00F71523" w:rsidRDefault="0089374D" w:rsidP="00AA7405">
            <w:pPr>
              <w:pStyle w:val="TableText"/>
              <w:pageBreakBefore/>
            </w:pPr>
          </w:p>
        </w:tc>
        <w:tc>
          <w:tcPr>
            <w:tcW w:w="800" w:type="dxa"/>
          </w:tcPr>
          <w:p w14:paraId="6D8DDBB7" w14:textId="52A1D8DD" w:rsidR="0089374D" w:rsidRPr="00F71523" w:rsidRDefault="0089374D" w:rsidP="00953369">
            <w:pPr>
              <w:pStyle w:val="TableText"/>
              <w:jc w:val="center"/>
            </w:pPr>
            <w:r w:rsidRPr="00F71523">
              <w:t>CH8</w:t>
            </w:r>
          </w:p>
        </w:tc>
        <w:tc>
          <w:tcPr>
            <w:tcW w:w="7894" w:type="dxa"/>
          </w:tcPr>
          <w:p w14:paraId="7632E0A1" w14:textId="4AF8C26E" w:rsidR="0089374D" w:rsidRPr="00F71523" w:rsidRDefault="0089374D" w:rsidP="008B7544">
            <w:pPr>
              <w:pStyle w:val="TableText"/>
            </w:pPr>
            <w:r w:rsidRPr="00F71523">
              <w:t>To the satisfaction of Heritage Victoria and the responsible authority (as applicable)</w:t>
            </w:r>
            <w:r w:rsidR="00BE48C6">
              <w:t>,</w:t>
            </w:r>
            <w:r w:rsidRPr="00F71523">
              <w:t xml:space="preserve"> undertake all underground service works beneath or within heritage places or tree protection zones (TPZs) for trees as part of heritage places to avoid, minimise and mitigate impacts to the heritage fabric.</w:t>
            </w:r>
          </w:p>
        </w:tc>
        <w:tc>
          <w:tcPr>
            <w:tcW w:w="1168" w:type="dxa"/>
          </w:tcPr>
          <w:p w14:paraId="18E088EF" w14:textId="5175E070" w:rsidR="0089374D" w:rsidRPr="00F71523" w:rsidRDefault="0089374D" w:rsidP="00457BDE">
            <w:pPr>
              <w:pStyle w:val="TableText"/>
            </w:pPr>
            <w:r w:rsidRPr="00F71523">
              <w:t>All</w:t>
            </w:r>
          </w:p>
        </w:tc>
        <w:tc>
          <w:tcPr>
            <w:tcW w:w="1276" w:type="dxa"/>
          </w:tcPr>
          <w:p w14:paraId="78F209D2" w14:textId="322FFE2F" w:rsidR="0089374D" w:rsidRPr="00F71523" w:rsidRDefault="0089374D" w:rsidP="00457BDE">
            <w:pPr>
              <w:pStyle w:val="TableText"/>
            </w:pPr>
            <w:r w:rsidRPr="00F71523">
              <w:t>Construction</w:t>
            </w:r>
          </w:p>
        </w:tc>
        <w:tc>
          <w:tcPr>
            <w:tcW w:w="1383" w:type="dxa"/>
          </w:tcPr>
          <w:p w14:paraId="786FA4B0" w14:textId="2FE8B496" w:rsidR="0089374D" w:rsidRPr="00F71523" w:rsidRDefault="0089374D" w:rsidP="00953369">
            <w:pPr>
              <w:pStyle w:val="TableText"/>
              <w:jc w:val="center"/>
            </w:pPr>
            <w:r>
              <w:t>HH33, HH34</w:t>
            </w:r>
          </w:p>
        </w:tc>
      </w:tr>
      <w:tr w:rsidR="0089374D" w:rsidRPr="00F71523" w14:paraId="2FD63246" w14:textId="77777777" w:rsidTr="00CB066E">
        <w:trPr>
          <w:cantSplit/>
        </w:trPr>
        <w:tc>
          <w:tcPr>
            <w:tcW w:w="2046" w:type="dxa"/>
            <w:vMerge/>
          </w:tcPr>
          <w:p w14:paraId="3C050C84" w14:textId="77777777" w:rsidR="0089374D" w:rsidRPr="00F71523" w:rsidRDefault="0089374D" w:rsidP="00CB1C25">
            <w:pPr>
              <w:pStyle w:val="TableText"/>
            </w:pPr>
          </w:p>
        </w:tc>
        <w:tc>
          <w:tcPr>
            <w:tcW w:w="800" w:type="dxa"/>
          </w:tcPr>
          <w:p w14:paraId="28BDFB06" w14:textId="76370E36" w:rsidR="0089374D" w:rsidRPr="00F71523" w:rsidRDefault="0089374D" w:rsidP="00953369">
            <w:pPr>
              <w:pStyle w:val="TableText"/>
              <w:jc w:val="center"/>
            </w:pPr>
            <w:r w:rsidRPr="00F71523">
              <w:t>CH9</w:t>
            </w:r>
          </w:p>
        </w:tc>
        <w:tc>
          <w:tcPr>
            <w:tcW w:w="7894" w:type="dxa"/>
          </w:tcPr>
          <w:p w14:paraId="1B53CB35" w14:textId="39293636" w:rsidR="0089374D" w:rsidRPr="00F71523" w:rsidRDefault="0089374D" w:rsidP="008B7544">
            <w:pPr>
              <w:pStyle w:val="TableText"/>
            </w:pPr>
            <w:r w:rsidRPr="00F71523">
              <w:t>To the satisfaction of Heritage Victoria and the responsible authority (as applicable), ensure new development is responsive to heritage places in terms of height, massing, form, façade articulation and materials.</w:t>
            </w:r>
          </w:p>
        </w:tc>
        <w:tc>
          <w:tcPr>
            <w:tcW w:w="1168" w:type="dxa"/>
          </w:tcPr>
          <w:p w14:paraId="78A7624E" w14:textId="7D11948C" w:rsidR="0089374D" w:rsidRPr="00F71523" w:rsidRDefault="0089374D" w:rsidP="00457BDE">
            <w:pPr>
              <w:pStyle w:val="TableText"/>
            </w:pPr>
            <w:r w:rsidRPr="00F71523">
              <w:t>All</w:t>
            </w:r>
          </w:p>
        </w:tc>
        <w:tc>
          <w:tcPr>
            <w:tcW w:w="1276" w:type="dxa"/>
          </w:tcPr>
          <w:p w14:paraId="48733110" w14:textId="267CC462" w:rsidR="0089374D" w:rsidRPr="00F71523" w:rsidRDefault="0089374D" w:rsidP="00457BDE">
            <w:pPr>
              <w:pStyle w:val="TableText"/>
            </w:pPr>
            <w:r w:rsidRPr="00F71523">
              <w:t>Detailed design</w:t>
            </w:r>
          </w:p>
        </w:tc>
        <w:tc>
          <w:tcPr>
            <w:tcW w:w="1383" w:type="dxa"/>
          </w:tcPr>
          <w:p w14:paraId="062E0DDB" w14:textId="0D64A407" w:rsidR="0089374D" w:rsidRPr="00F71523" w:rsidRDefault="0089374D" w:rsidP="00953369">
            <w:pPr>
              <w:pStyle w:val="TableText"/>
              <w:jc w:val="center"/>
            </w:pPr>
            <w:r>
              <w:t xml:space="preserve">HH05, HH06, HH08, HH18, HH20, HH21, HH22, HH24, HH26, HH27, </w:t>
            </w:r>
          </w:p>
        </w:tc>
      </w:tr>
      <w:tr w:rsidR="0089374D" w:rsidRPr="00F71523" w14:paraId="55540634" w14:textId="77777777" w:rsidTr="00CB066E">
        <w:trPr>
          <w:cantSplit/>
        </w:trPr>
        <w:tc>
          <w:tcPr>
            <w:tcW w:w="2046" w:type="dxa"/>
            <w:vMerge/>
          </w:tcPr>
          <w:p w14:paraId="605D88D2" w14:textId="77777777" w:rsidR="0089374D" w:rsidRPr="00F71523" w:rsidRDefault="0089374D" w:rsidP="00CB1C25">
            <w:pPr>
              <w:pStyle w:val="TableText"/>
            </w:pPr>
          </w:p>
        </w:tc>
        <w:tc>
          <w:tcPr>
            <w:tcW w:w="800" w:type="dxa"/>
          </w:tcPr>
          <w:p w14:paraId="7F56DB3E" w14:textId="1B86B14E" w:rsidR="0089374D" w:rsidRPr="00F71523" w:rsidRDefault="0089374D" w:rsidP="00953369">
            <w:pPr>
              <w:pStyle w:val="TableText"/>
              <w:jc w:val="center"/>
            </w:pPr>
            <w:r w:rsidRPr="00F71523">
              <w:t>CH10</w:t>
            </w:r>
          </w:p>
        </w:tc>
        <w:tc>
          <w:tcPr>
            <w:tcW w:w="7894" w:type="dxa"/>
          </w:tcPr>
          <w:p w14:paraId="4225DC80" w14:textId="194CBEAD" w:rsidR="0089374D" w:rsidRPr="00F71523" w:rsidRDefault="0089374D" w:rsidP="008B7544">
            <w:pPr>
              <w:pStyle w:val="TableText"/>
            </w:pPr>
            <w:r w:rsidRPr="00F71523">
              <w:t xml:space="preserve">To the satisfaction of the responsible authority, ensure no direct impact on heritage buildings on the former </w:t>
            </w:r>
            <w:proofErr w:type="spellStart"/>
            <w:r w:rsidRPr="00F71523">
              <w:t>Glueworks</w:t>
            </w:r>
            <w:proofErr w:type="spellEnd"/>
            <w:r w:rsidRPr="00F71523">
              <w:t xml:space="preserve"> site in Kensington.</w:t>
            </w:r>
          </w:p>
        </w:tc>
        <w:tc>
          <w:tcPr>
            <w:tcW w:w="1168" w:type="dxa"/>
          </w:tcPr>
          <w:p w14:paraId="4188E175" w14:textId="303BB54F" w:rsidR="0089374D" w:rsidRPr="00F71523" w:rsidRDefault="0089374D" w:rsidP="00457BDE">
            <w:pPr>
              <w:pStyle w:val="TableText"/>
            </w:pPr>
            <w:r w:rsidRPr="00F71523">
              <w:t>2 – Western portal</w:t>
            </w:r>
          </w:p>
        </w:tc>
        <w:tc>
          <w:tcPr>
            <w:tcW w:w="1276" w:type="dxa"/>
          </w:tcPr>
          <w:p w14:paraId="3B3E1FDE" w14:textId="7DA775F5" w:rsidR="0089374D" w:rsidRPr="00F71523" w:rsidRDefault="0089374D" w:rsidP="00457BDE">
            <w:pPr>
              <w:pStyle w:val="TableText"/>
            </w:pPr>
            <w:r w:rsidRPr="00F71523">
              <w:t>Construction</w:t>
            </w:r>
          </w:p>
        </w:tc>
        <w:tc>
          <w:tcPr>
            <w:tcW w:w="1383" w:type="dxa"/>
          </w:tcPr>
          <w:p w14:paraId="595963BC" w14:textId="68F56999" w:rsidR="0089374D" w:rsidRPr="00F71523" w:rsidRDefault="0089374D" w:rsidP="00953369">
            <w:pPr>
              <w:pStyle w:val="TableText"/>
              <w:jc w:val="center"/>
            </w:pPr>
            <w:r>
              <w:t>HH12</w:t>
            </w:r>
          </w:p>
        </w:tc>
      </w:tr>
      <w:tr w:rsidR="0089374D" w:rsidRPr="00F71523" w14:paraId="2FAECEC5" w14:textId="77777777" w:rsidTr="00CB066E">
        <w:trPr>
          <w:cantSplit/>
        </w:trPr>
        <w:tc>
          <w:tcPr>
            <w:tcW w:w="2046" w:type="dxa"/>
            <w:vMerge/>
          </w:tcPr>
          <w:p w14:paraId="54B3FF98" w14:textId="77777777" w:rsidR="0089374D" w:rsidRPr="00F71523" w:rsidRDefault="0089374D" w:rsidP="00CB1C25">
            <w:pPr>
              <w:pStyle w:val="TableText"/>
            </w:pPr>
          </w:p>
        </w:tc>
        <w:tc>
          <w:tcPr>
            <w:tcW w:w="800" w:type="dxa"/>
          </w:tcPr>
          <w:p w14:paraId="186151C6" w14:textId="1C65252D" w:rsidR="0089374D" w:rsidRPr="00F71523" w:rsidRDefault="0089374D" w:rsidP="00953369">
            <w:pPr>
              <w:pStyle w:val="TableText"/>
              <w:jc w:val="center"/>
            </w:pPr>
            <w:r w:rsidRPr="00F71523">
              <w:t>CH11</w:t>
            </w:r>
          </w:p>
        </w:tc>
        <w:tc>
          <w:tcPr>
            <w:tcW w:w="7894" w:type="dxa"/>
          </w:tcPr>
          <w:p w14:paraId="688ACD74" w14:textId="6F4FFBD9" w:rsidR="0089374D" w:rsidRPr="00F71523" w:rsidRDefault="0089374D" w:rsidP="008B7544">
            <w:pPr>
              <w:pStyle w:val="TableText"/>
            </w:pPr>
            <w:r w:rsidRPr="00F71523">
              <w:t>To the satisfaction of the responsible authority, retain and protect Langford Street pumping station (part of proposed Moonee Ponds Creek and Infrastructure Precinct) as part of the design for the new substation.</w:t>
            </w:r>
          </w:p>
        </w:tc>
        <w:tc>
          <w:tcPr>
            <w:tcW w:w="1168" w:type="dxa"/>
          </w:tcPr>
          <w:p w14:paraId="2FF8C1A5" w14:textId="6A7D9F21" w:rsidR="0089374D" w:rsidRPr="00F71523" w:rsidRDefault="0089374D" w:rsidP="00457BDE">
            <w:pPr>
              <w:pStyle w:val="TableText"/>
            </w:pPr>
            <w:r w:rsidRPr="00F71523">
              <w:t>3 – Arden station</w:t>
            </w:r>
          </w:p>
        </w:tc>
        <w:tc>
          <w:tcPr>
            <w:tcW w:w="1276" w:type="dxa"/>
          </w:tcPr>
          <w:p w14:paraId="75299CFF" w14:textId="704E9305" w:rsidR="0089374D" w:rsidRPr="00F71523" w:rsidRDefault="0089374D" w:rsidP="00457BDE">
            <w:pPr>
              <w:pStyle w:val="TableText"/>
            </w:pPr>
            <w:r w:rsidRPr="00F71523">
              <w:t>Detailed design</w:t>
            </w:r>
          </w:p>
        </w:tc>
        <w:tc>
          <w:tcPr>
            <w:tcW w:w="1383" w:type="dxa"/>
          </w:tcPr>
          <w:p w14:paraId="5878DC78" w14:textId="29E0F03E" w:rsidR="0089374D" w:rsidRPr="00F71523" w:rsidRDefault="0089374D" w:rsidP="00953369">
            <w:pPr>
              <w:pStyle w:val="TableText"/>
              <w:jc w:val="center"/>
            </w:pPr>
            <w:r>
              <w:t>HH14</w:t>
            </w:r>
          </w:p>
        </w:tc>
      </w:tr>
      <w:tr w:rsidR="0089374D" w:rsidRPr="00F71523" w14:paraId="4F302408" w14:textId="77777777" w:rsidTr="00CB066E">
        <w:trPr>
          <w:cantSplit/>
        </w:trPr>
        <w:tc>
          <w:tcPr>
            <w:tcW w:w="2046" w:type="dxa"/>
            <w:vMerge/>
          </w:tcPr>
          <w:p w14:paraId="6391214F" w14:textId="77777777" w:rsidR="0089374D" w:rsidRPr="00F71523" w:rsidRDefault="0089374D" w:rsidP="00CB1C25">
            <w:pPr>
              <w:pStyle w:val="TableText"/>
            </w:pPr>
          </w:p>
        </w:tc>
        <w:tc>
          <w:tcPr>
            <w:tcW w:w="800" w:type="dxa"/>
          </w:tcPr>
          <w:p w14:paraId="51B7B554" w14:textId="116B2573" w:rsidR="0089374D" w:rsidRPr="00F71523" w:rsidRDefault="0089374D" w:rsidP="00953369">
            <w:pPr>
              <w:pStyle w:val="TableText"/>
              <w:jc w:val="center"/>
            </w:pPr>
            <w:r w:rsidRPr="00F71523">
              <w:t>CH12</w:t>
            </w:r>
          </w:p>
        </w:tc>
        <w:tc>
          <w:tcPr>
            <w:tcW w:w="7894" w:type="dxa"/>
          </w:tcPr>
          <w:p w14:paraId="56885F34" w14:textId="77777777" w:rsidR="0089374D" w:rsidRPr="00F71523" w:rsidRDefault="0089374D" w:rsidP="00040FF1">
            <w:pPr>
              <w:pStyle w:val="TableText"/>
            </w:pPr>
            <w:r w:rsidRPr="00F71523">
              <w:t xml:space="preserve">To the satisfaction of Heritage Victoria and the responsible authority, replace removed Elm trees in Royal Parade as part of project delivery using appropriate species and re-establish the boulevard formation. </w:t>
            </w:r>
          </w:p>
          <w:p w14:paraId="0FB44B5C" w14:textId="48B93118" w:rsidR="0089374D" w:rsidRPr="00F71523" w:rsidRDefault="0089374D" w:rsidP="008B7544">
            <w:pPr>
              <w:pStyle w:val="TableText"/>
            </w:pPr>
            <w:r w:rsidRPr="00F71523">
              <w:t>Provide suitable soil conditions to facilitate the growth of new trees to reach the size of the existing mature trees in the boulevard.</w:t>
            </w:r>
          </w:p>
        </w:tc>
        <w:tc>
          <w:tcPr>
            <w:tcW w:w="1168" w:type="dxa"/>
          </w:tcPr>
          <w:p w14:paraId="12BBB4DC" w14:textId="039D5272" w:rsidR="0089374D" w:rsidRPr="00F71523" w:rsidRDefault="0089374D" w:rsidP="00457BDE">
            <w:pPr>
              <w:pStyle w:val="TableText"/>
            </w:pPr>
            <w:r w:rsidRPr="00F71523">
              <w:t>4 – Parkville station</w:t>
            </w:r>
          </w:p>
        </w:tc>
        <w:tc>
          <w:tcPr>
            <w:tcW w:w="1276" w:type="dxa"/>
          </w:tcPr>
          <w:p w14:paraId="46160462" w14:textId="45708208" w:rsidR="0089374D" w:rsidRPr="00F71523" w:rsidRDefault="0089374D" w:rsidP="00457BDE">
            <w:pPr>
              <w:pStyle w:val="TableText"/>
            </w:pPr>
            <w:r w:rsidRPr="00F71523">
              <w:t>Construction</w:t>
            </w:r>
          </w:p>
        </w:tc>
        <w:tc>
          <w:tcPr>
            <w:tcW w:w="1383" w:type="dxa"/>
          </w:tcPr>
          <w:p w14:paraId="55B300BD" w14:textId="356D5650" w:rsidR="0089374D" w:rsidRPr="00F71523" w:rsidRDefault="0089374D" w:rsidP="00953369">
            <w:pPr>
              <w:pStyle w:val="TableText"/>
              <w:jc w:val="center"/>
            </w:pPr>
            <w:r>
              <w:t>HH15, HH16</w:t>
            </w:r>
          </w:p>
        </w:tc>
      </w:tr>
      <w:tr w:rsidR="0089374D" w:rsidRPr="00F71523" w14:paraId="697FA09D" w14:textId="77777777" w:rsidTr="00CB066E">
        <w:trPr>
          <w:cantSplit/>
        </w:trPr>
        <w:tc>
          <w:tcPr>
            <w:tcW w:w="2046" w:type="dxa"/>
            <w:vMerge/>
          </w:tcPr>
          <w:p w14:paraId="7B4C3CA2" w14:textId="77777777" w:rsidR="0089374D" w:rsidRPr="00F71523" w:rsidRDefault="0089374D" w:rsidP="00CB1C25">
            <w:pPr>
              <w:pStyle w:val="TableText"/>
            </w:pPr>
          </w:p>
        </w:tc>
        <w:tc>
          <w:tcPr>
            <w:tcW w:w="800" w:type="dxa"/>
          </w:tcPr>
          <w:p w14:paraId="36BF1FA5" w14:textId="0839439A" w:rsidR="0089374D" w:rsidRPr="00F71523" w:rsidRDefault="0089374D" w:rsidP="00953369">
            <w:pPr>
              <w:pStyle w:val="TableText"/>
              <w:jc w:val="center"/>
            </w:pPr>
            <w:r w:rsidRPr="00F71523">
              <w:t>CH13</w:t>
            </w:r>
          </w:p>
        </w:tc>
        <w:tc>
          <w:tcPr>
            <w:tcW w:w="7894" w:type="dxa"/>
          </w:tcPr>
          <w:p w14:paraId="5D2DBC1B" w14:textId="17E3247E" w:rsidR="0089374D" w:rsidRPr="00F71523" w:rsidRDefault="0089374D" w:rsidP="008B7544">
            <w:pPr>
              <w:pStyle w:val="TableText"/>
            </w:pPr>
            <w:r w:rsidRPr="00F71523">
              <w:t>To the satisfaction of Heritage Victoria, in detailed design ensure the eastern Parkville station entry is set no less than 8-10 metres from the original Gatekeeper’s Cottage and an appropriate boundary treatment is retained or re-established for the heritage building.</w:t>
            </w:r>
          </w:p>
        </w:tc>
        <w:tc>
          <w:tcPr>
            <w:tcW w:w="1168" w:type="dxa"/>
          </w:tcPr>
          <w:p w14:paraId="3E96365E" w14:textId="7FFBBC6D" w:rsidR="0089374D" w:rsidRPr="00F71523" w:rsidRDefault="0089374D" w:rsidP="00457BDE">
            <w:pPr>
              <w:pStyle w:val="TableText"/>
            </w:pPr>
            <w:r w:rsidRPr="00F71523">
              <w:t>4 – Parkville station</w:t>
            </w:r>
          </w:p>
        </w:tc>
        <w:tc>
          <w:tcPr>
            <w:tcW w:w="1276" w:type="dxa"/>
          </w:tcPr>
          <w:p w14:paraId="23B096D5" w14:textId="7778ACD0" w:rsidR="0089374D" w:rsidRPr="00F71523" w:rsidRDefault="0089374D" w:rsidP="00457BDE">
            <w:pPr>
              <w:pStyle w:val="TableText"/>
            </w:pPr>
            <w:r w:rsidRPr="00F71523">
              <w:t>Detailed design</w:t>
            </w:r>
          </w:p>
        </w:tc>
        <w:tc>
          <w:tcPr>
            <w:tcW w:w="1383" w:type="dxa"/>
          </w:tcPr>
          <w:p w14:paraId="48972552" w14:textId="3E950218" w:rsidR="0089374D" w:rsidRPr="00F71523" w:rsidRDefault="0089374D" w:rsidP="00953369">
            <w:pPr>
              <w:pStyle w:val="TableText"/>
              <w:jc w:val="center"/>
            </w:pPr>
            <w:r>
              <w:t>HH18</w:t>
            </w:r>
          </w:p>
        </w:tc>
      </w:tr>
      <w:tr w:rsidR="0089374D" w:rsidRPr="00F71523" w14:paraId="491FEA29" w14:textId="77777777" w:rsidTr="00CB066E">
        <w:trPr>
          <w:cantSplit/>
        </w:trPr>
        <w:tc>
          <w:tcPr>
            <w:tcW w:w="2046" w:type="dxa"/>
            <w:vMerge/>
          </w:tcPr>
          <w:p w14:paraId="46DA57BF" w14:textId="77777777" w:rsidR="0089374D" w:rsidRPr="00F71523" w:rsidRDefault="0089374D" w:rsidP="00CB1C25">
            <w:pPr>
              <w:pStyle w:val="TableText"/>
            </w:pPr>
          </w:p>
        </w:tc>
        <w:tc>
          <w:tcPr>
            <w:tcW w:w="800" w:type="dxa"/>
          </w:tcPr>
          <w:p w14:paraId="416504A4" w14:textId="6B8A9422" w:rsidR="0089374D" w:rsidRPr="00F71523" w:rsidRDefault="0089374D" w:rsidP="00953369">
            <w:pPr>
              <w:pStyle w:val="TableText"/>
              <w:jc w:val="center"/>
            </w:pPr>
            <w:r w:rsidRPr="00F71523">
              <w:t>CH14</w:t>
            </w:r>
          </w:p>
        </w:tc>
        <w:tc>
          <w:tcPr>
            <w:tcW w:w="7894" w:type="dxa"/>
          </w:tcPr>
          <w:p w14:paraId="5B6FE1A4" w14:textId="3E61BDD5" w:rsidR="0089374D" w:rsidRPr="00F71523" w:rsidRDefault="0089374D" w:rsidP="008B7544">
            <w:pPr>
              <w:pStyle w:val="TableText"/>
            </w:pPr>
            <w:r w:rsidRPr="00F71523">
              <w:t>To the satisfaction of the responsible authority, in detailed design for the CBD South station, incorporate the Charles Bush sculpture into the design for the new building on the Port Phillip Arcade site, preferably in a prominent position on the Flinders Street façade.</w:t>
            </w:r>
          </w:p>
        </w:tc>
        <w:tc>
          <w:tcPr>
            <w:tcW w:w="1168" w:type="dxa"/>
          </w:tcPr>
          <w:p w14:paraId="6E303727" w14:textId="5565F249" w:rsidR="0089374D" w:rsidRPr="00F71523" w:rsidRDefault="0089374D" w:rsidP="00457BDE">
            <w:pPr>
              <w:pStyle w:val="TableText"/>
            </w:pPr>
            <w:r w:rsidRPr="00F71523">
              <w:t xml:space="preserve">6 – </w:t>
            </w:r>
            <w:r w:rsidRPr="00F71523">
              <w:br/>
              <w:t>CBD South station</w:t>
            </w:r>
          </w:p>
        </w:tc>
        <w:tc>
          <w:tcPr>
            <w:tcW w:w="1276" w:type="dxa"/>
          </w:tcPr>
          <w:p w14:paraId="4AC0C68F" w14:textId="47AED711" w:rsidR="0089374D" w:rsidRPr="00F71523" w:rsidRDefault="0089374D" w:rsidP="00457BDE">
            <w:pPr>
              <w:pStyle w:val="TableText"/>
            </w:pPr>
            <w:r w:rsidRPr="00F71523">
              <w:t>Detailed design</w:t>
            </w:r>
          </w:p>
        </w:tc>
        <w:tc>
          <w:tcPr>
            <w:tcW w:w="1383" w:type="dxa"/>
          </w:tcPr>
          <w:p w14:paraId="608E2B4C" w14:textId="757E340C" w:rsidR="0089374D" w:rsidRPr="00F71523" w:rsidRDefault="0089374D" w:rsidP="00953369">
            <w:pPr>
              <w:pStyle w:val="TableText"/>
              <w:jc w:val="center"/>
            </w:pPr>
            <w:r>
              <w:t>HH23</w:t>
            </w:r>
          </w:p>
        </w:tc>
      </w:tr>
      <w:tr w:rsidR="0089374D" w:rsidRPr="00F71523" w14:paraId="1168A6CF" w14:textId="77777777" w:rsidTr="00CB066E">
        <w:trPr>
          <w:cantSplit/>
        </w:trPr>
        <w:tc>
          <w:tcPr>
            <w:tcW w:w="2046" w:type="dxa"/>
            <w:vMerge w:val="restart"/>
          </w:tcPr>
          <w:p w14:paraId="1817C6DD" w14:textId="77777777" w:rsidR="0089374D" w:rsidRPr="00F71523" w:rsidRDefault="0089374D" w:rsidP="00424CC8">
            <w:pPr>
              <w:pStyle w:val="TableText"/>
              <w:pageBreakBefore/>
            </w:pPr>
          </w:p>
        </w:tc>
        <w:tc>
          <w:tcPr>
            <w:tcW w:w="800" w:type="dxa"/>
          </w:tcPr>
          <w:p w14:paraId="6334D45D" w14:textId="197D7122" w:rsidR="0089374D" w:rsidRPr="00F71523" w:rsidRDefault="0089374D" w:rsidP="00953369">
            <w:pPr>
              <w:pStyle w:val="TableText"/>
              <w:jc w:val="center"/>
            </w:pPr>
            <w:r w:rsidRPr="00F71523">
              <w:t>CH15</w:t>
            </w:r>
          </w:p>
        </w:tc>
        <w:tc>
          <w:tcPr>
            <w:tcW w:w="7894" w:type="dxa"/>
          </w:tcPr>
          <w:p w14:paraId="7CC3E9F2" w14:textId="7C69E38A" w:rsidR="0089374D" w:rsidRPr="00F71523" w:rsidRDefault="0089374D" w:rsidP="008B7544">
            <w:pPr>
              <w:pStyle w:val="TableText"/>
            </w:pPr>
            <w:r w:rsidRPr="00F71523">
              <w:t>In the event the permanent relocation of the Burke and Wills Monument from its current site is required, resolve the final location of the monument to the satisfaction of the appropriate responsible authority and/or in consultation with the City of Melbourne prior to the commencement of construction.</w:t>
            </w:r>
          </w:p>
        </w:tc>
        <w:tc>
          <w:tcPr>
            <w:tcW w:w="1168" w:type="dxa"/>
          </w:tcPr>
          <w:p w14:paraId="02F2D3EA" w14:textId="430CB39C" w:rsidR="0089374D" w:rsidRPr="00F71523" w:rsidRDefault="0089374D" w:rsidP="00457BDE">
            <w:pPr>
              <w:pStyle w:val="TableText"/>
            </w:pPr>
            <w:r w:rsidRPr="00F71523">
              <w:t xml:space="preserve">6 – </w:t>
            </w:r>
            <w:r w:rsidRPr="00F71523">
              <w:br/>
              <w:t>CBD South station</w:t>
            </w:r>
          </w:p>
        </w:tc>
        <w:tc>
          <w:tcPr>
            <w:tcW w:w="1276" w:type="dxa"/>
          </w:tcPr>
          <w:p w14:paraId="38B87A2C" w14:textId="2D8575C5" w:rsidR="0089374D" w:rsidRPr="00F71523" w:rsidRDefault="0089374D" w:rsidP="00457BDE">
            <w:pPr>
              <w:pStyle w:val="TableText"/>
            </w:pPr>
            <w:r w:rsidRPr="00F71523">
              <w:t>Detailed design</w:t>
            </w:r>
          </w:p>
        </w:tc>
        <w:tc>
          <w:tcPr>
            <w:tcW w:w="1383" w:type="dxa"/>
          </w:tcPr>
          <w:p w14:paraId="1833AC60" w14:textId="059FAEB1" w:rsidR="0089374D" w:rsidRPr="00F71523" w:rsidRDefault="0089374D" w:rsidP="00953369">
            <w:pPr>
              <w:pStyle w:val="TableText"/>
              <w:jc w:val="center"/>
            </w:pPr>
            <w:r>
              <w:t>HH25</w:t>
            </w:r>
          </w:p>
        </w:tc>
      </w:tr>
      <w:tr w:rsidR="0089374D" w:rsidRPr="00F71523" w14:paraId="2F655CCC" w14:textId="77777777" w:rsidTr="00CB066E">
        <w:trPr>
          <w:cantSplit/>
        </w:trPr>
        <w:tc>
          <w:tcPr>
            <w:tcW w:w="2046" w:type="dxa"/>
            <w:vMerge/>
          </w:tcPr>
          <w:p w14:paraId="76D4150F" w14:textId="77777777" w:rsidR="0089374D" w:rsidRPr="00F71523" w:rsidRDefault="0089374D" w:rsidP="00CB1C25">
            <w:pPr>
              <w:pStyle w:val="TableText"/>
            </w:pPr>
          </w:p>
        </w:tc>
        <w:tc>
          <w:tcPr>
            <w:tcW w:w="800" w:type="dxa"/>
          </w:tcPr>
          <w:p w14:paraId="4138D3B0" w14:textId="7403C49B" w:rsidR="0089374D" w:rsidRPr="00F71523" w:rsidRDefault="0089374D" w:rsidP="00953369">
            <w:pPr>
              <w:pStyle w:val="TableText"/>
              <w:jc w:val="center"/>
            </w:pPr>
            <w:r w:rsidRPr="00F71523">
              <w:t>CH16</w:t>
            </w:r>
          </w:p>
        </w:tc>
        <w:tc>
          <w:tcPr>
            <w:tcW w:w="7894" w:type="dxa"/>
          </w:tcPr>
          <w:p w14:paraId="3C1DEEB7" w14:textId="4F9A576F" w:rsidR="0089374D" w:rsidRPr="00F71523" w:rsidRDefault="0089374D" w:rsidP="008B7544">
            <w:pPr>
              <w:pStyle w:val="TableText"/>
            </w:pPr>
            <w:r w:rsidRPr="00F71523">
              <w:t>Integrate the bluestone pillar and cast iron fencing at the corner of Grattan Street and Royal Parade into the design for the station entry and surrounds in consultation with the University of Melbourne.</w:t>
            </w:r>
          </w:p>
        </w:tc>
        <w:tc>
          <w:tcPr>
            <w:tcW w:w="1168" w:type="dxa"/>
          </w:tcPr>
          <w:p w14:paraId="635BABE9" w14:textId="6F19112B" w:rsidR="0089374D" w:rsidRPr="00F71523" w:rsidRDefault="0089374D" w:rsidP="00457BDE">
            <w:pPr>
              <w:pStyle w:val="TableText"/>
            </w:pPr>
            <w:r w:rsidRPr="00F71523">
              <w:t>4 – Parkville station</w:t>
            </w:r>
          </w:p>
        </w:tc>
        <w:tc>
          <w:tcPr>
            <w:tcW w:w="1276" w:type="dxa"/>
          </w:tcPr>
          <w:p w14:paraId="4EDEE3C8" w14:textId="2FB48247" w:rsidR="0089374D" w:rsidRPr="00F71523" w:rsidRDefault="0089374D" w:rsidP="00457BDE">
            <w:pPr>
              <w:pStyle w:val="TableText"/>
            </w:pPr>
            <w:r w:rsidRPr="00F71523">
              <w:t>Detailed design</w:t>
            </w:r>
          </w:p>
        </w:tc>
        <w:tc>
          <w:tcPr>
            <w:tcW w:w="1383" w:type="dxa"/>
          </w:tcPr>
          <w:p w14:paraId="57D55D33" w14:textId="03750B8C" w:rsidR="0089374D" w:rsidRPr="00F71523" w:rsidRDefault="0089374D" w:rsidP="00953369">
            <w:pPr>
              <w:pStyle w:val="TableText"/>
              <w:jc w:val="center"/>
            </w:pPr>
            <w:r>
              <w:t>HH19</w:t>
            </w:r>
          </w:p>
        </w:tc>
      </w:tr>
      <w:tr w:rsidR="0089374D" w:rsidRPr="00F71523" w14:paraId="16C83A21" w14:textId="77777777" w:rsidTr="00CB066E">
        <w:trPr>
          <w:cantSplit/>
        </w:trPr>
        <w:tc>
          <w:tcPr>
            <w:tcW w:w="2046" w:type="dxa"/>
            <w:vMerge/>
          </w:tcPr>
          <w:p w14:paraId="5EA5CDD5" w14:textId="77777777" w:rsidR="0089374D" w:rsidRPr="00F71523" w:rsidRDefault="0089374D" w:rsidP="00CB1C25">
            <w:pPr>
              <w:pStyle w:val="TableText"/>
            </w:pPr>
          </w:p>
        </w:tc>
        <w:tc>
          <w:tcPr>
            <w:tcW w:w="800" w:type="dxa"/>
          </w:tcPr>
          <w:p w14:paraId="19D64869" w14:textId="3AF6A799" w:rsidR="0089374D" w:rsidRPr="00F71523" w:rsidRDefault="0089374D" w:rsidP="00953369">
            <w:pPr>
              <w:pStyle w:val="TableText"/>
              <w:jc w:val="center"/>
            </w:pPr>
            <w:r w:rsidRPr="00F71523">
              <w:t>CH17</w:t>
            </w:r>
          </w:p>
        </w:tc>
        <w:tc>
          <w:tcPr>
            <w:tcW w:w="7894" w:type="dxa"/>
          </w:tcPr>
          <w:p w14:paraId="23886F34" w14:textId="6462909D" w:rsidR="0089374D" w:rsidRPr="00F71523" w:rsidRDefault="0089374D" w:rsidP="00040FF1">
            <w:pPr>
              <w:pStyle w:val="TableText"/>
            </w:pPr>
            <w:r w:rsidRPr="00F71523">
              <w:t>Replace removed trees as part of project delivery in accordance with relevant policy documents and to re-establish valued landscape character and in consultation with the City of Melbourne, the City of Po</w:t>
            </w:r>
            <w:r>
              <w:t>r</w:t>
            </w:r>
            <w:r w:rsidRPr="00F71523">
              <w:t>t Phillip, the Shrine of Remembrance and Shrine Trustees and Heritage Victoria as applicable. Policy documents are as follows:</w:t>
            </w:r>
          </w:p>
          <w:p w14:paraId="441ED078" w14:textId="77777777" w:rsidR="0089374D" w:rsidRPr="00F71523" w:rsidRDefault="0089374D" w:rsidP="0066216E">
            <w:pPr>
              <w:pStyle w:val="TableBullet1"/>
            </w:pPr>
            <w:r w:rsidRPr="00F71523">
              <w:t xml:space="preserve">Domain Parklands: Domain Parklands CMP (in preparation, context, draft 2015-16) and the Domain Parklands </w:t>
            </w:r>
            <w:proofErr w:type="spellStart"/>
            <w:r w:rsidRPr="00F71523">
              <w:t>Masterplan</w:t>
            </w:r>
            <w:proofErr w:type="spellEnd"/>
            <w:r w:rsidRPr="00F71523">
              <w:t xml:space="preserve"> (in preparation)</w:t>
            </w:r>
          </w:p>
          <w:p w14:paraId="6D30565F" w14:textId="77777777" w:rsidR="0089374D" w:rsidRPr="00F71523" w:rsidRDefault="0089374D" w:rsidP="0066216E">
            <w:pPr>
              <w:pStyle w:val="TableBullet1"/>
            </w:pPr>
            <w:r w:rsidRPr="00F71523">
              <w:t>Shrine of Remembrance: Shrine of Remembrance CMP (Lovell Chen, 2010) or any future review and the Shrine of Remembrance Landscape Improvement Plan (rush Wright Associates, 2010)</w:t>
            </w:r>
          </w:p>
          <w:p w14:paraId="6B4D47BD" w14:textId="77777777" w:rsidR="00452C01" w:rsidRDefault="0089374D" w:rsidP="0066216E">
            <w:pPr>
              <w:pStyle w:val="TableBullet1"/>
            </w:pPr>
            <w:r w:rsidRPr="00F71523">
              <w:t>South African Soldiers Memorial Reserve: Any relevant CMP for the South African Soldiers Memorial</w:t>
            </w:r>
          </w:p>
          <w:p w14:paraId="4CA4AA6D" w14:textId="0F3F0015" w:rsidR="0089374D" w:rsidRPr="00F71523" w:rsidRDefault="0089374D" w:rsidP="00CB066E">
            <w:pPr>
              <w:pStyle w:val="TableBullet1"/>
            </w:pPr>
            <w:r w:rsidRPr="00F71523">
              <w:t>Fawkner Park: Fawkner Park Conservation Analysis (</w:t>
            </w:r>
            <w:proofErr w:type="spellStart"/>
            <w:r w:rsidRPr="00F71523">
              <w:t>Hassell</w:t>
            </w:r>
            <w:proofErr w:type="spellEnd"/>
            <w:r w:rsidRPr="00F71523">
              <w:t xml:space="preserve">, 2002) and the Fawkner Park </w:t>
            </w:r>
            <w:proofErr w:type="spellStart"/>
            <w:r w:rsidRPr="00F71523">
              <w:t>Masterplan</w:t>
            </w:r>
            <w:proofErr w:type="spellEnd"/>
            <w:r w:rsidRPr="00F71523">
              <w:t xml:space="preserve"> (City of Melbourne, 2005).</w:t>
            </w:r>
          </w:p>
        </w:tc>
        <w:tc>
          <w:tcPr>
            <w:tcW w:w="1168" w:type="dxa"/>
          </w:tcPr>
          <w:p w14:paraId="7EF2D5F4" w14:textId="3A24B443" w:rsidR="0089374D" w:rsidRPr="00F71523" w:rsidRDefault="0089374D" w:rsidP="00457BDE">
            <w:pPr>
              <w:pStyle w:val="TableText"/>
            </w:pPr>
            <w:r w:rsidRPr="00F71523">
              <w:t>1 – Tunnels</w:t>
            </w:r>
          </w:p>
          <w:p w14:paraId="642AFFF9" w14:textId="4506F7EA" w:rsidR="0089374D" w:rsidRPr="00F71523" w:rsidRDefault="0089374D" w:rsidP="00457BDE">
            <w:pPr>
              <w:pStyle w:val="TableText"/>
            </w:pPr>
            <w:r w:rsidRPr="00F71523">
              <w:t>7 – Domain station</w:t>
            </w:r>
          </w:p>
        </w:tc>
        <w:tc>
          <w:tcPr>
            <w:tcW w:w="1276" w:type="dxa"/>
          </w:tcPr>
          <w:p w14:paraId="60AACE45" w14:textId="376192AB" w:rsidR="0089374D" w:rsidRPr="00F71523" w:rsidRDefault="0089374D" w:rsidP="00457BDE">
            <w:pPr>
              <w:pStyle w:val="TableText"/>
            </w:pPr>
            <w:r w:rsidRPr="00F71523">
              <w:t>Construction</w:t>
            </w:r>
          </w:p>
        </w:tc>
        <w:tc>
          <w:tcPr>
            <w:tcW w:w="1383" w:type="dxa"/>
          </w:tcPr>
          <w:p w14:paraId="13B80C9A" w14:textId="2C085C1D" w:rsidR="0089374D" w:rsidRPr="00F71523" w:rsidRDefault="0089374D" w:rsidP="00953369">
            <w:pPr>
              <w:pStyle w:val="TableText"/>
              <w:jc w:val="center"/>
            </w:pPr>
            <w:r>
              <w:t>HH04, HH05, HH06, HH07, HH08, HH09, HO27, HH29, HH30</w:t>
            </w:r>
          </w:p>
        </w:tc>
      </w:tr>
      <w:tr w:rsidR="0089374D" w:rsidRPr="00F71523" w14:paraId="54D714F7" w14:textId="77777777" w:rsidTr="00CB066E">
        <w:trPr>
          <w:cantSplit/>
        </w:trPr>
        <w:tc>
          <w:tcPr>
            <w:tcW w:w="2046" w:type="dxa"/>
            <w:vMerge/>
          </w:tcPr>
          <w:p w14:paraId="1A6AB0B9" w14:textId="77777777" w:rsidR="0089374D" w:rsidRPr="00F71523" w:rsidRDefault="0089374D" w:rsidP="00CB1C25">
            <w:pPr>
              <w:pStyle w:val="TableText"/>
            </w:pPr>
          </w:p>
        </w:tc>
        <w:tc>
          <w:tcPr>
            <w:tcW w:w="800" w:type="dxa"/>
          </w:tcPr>
          <w:p w14:paraId="0A0A6D8C" w14:textId="3544689D" w:rsidR="0089374D" w:rsidRPr="00F71523" w:rsidRDefault="0089374D" w:rsidP="00953369">
            <w:pPr>
              <w:pStyle w:val="TableText"/>
              <w:jc w:val="center"/>
            </w:pPr>
            <w:r w:rsidRPr="00F71523">
              <w:t>CH18</w:t>
            </w:r>
          </w:p>
        </w:tc>
        <w:tc>
          <w:tcPr>
            <w:tcW w:w="7894" w:type="dxa"/>
          </w:tcPr>
          <w:p w14:paraId="1C6E153F" w14:textId="77777777" w:rsidR="0089374D" w:rsidRPr="00F71523" w:rsidRDefault="0089374D" w:rsidP="00040FF1">
            <w:pPr>
              <w:pStyle w:val="TableText"/>
            </w:pPr>
            <w:r w:rsidRPr="00F71523">
              <w:t xml:space="preserve">To the satisfaction of Heritage Victoria, review the siting and design of the eastern Domain station entry in detailed design to ensure it is as recessive as possible in this location and has only a limited presence on the edge of the Reserve. </w:t>
            </w:r>
          </w:p>
          <w:p w14:paraId="4D193A26" w14:textId="4631CCEE" w:rsidR="0089374D" w:rsidRPr="00F71523" w:rsidRDefault="0089374D" w:rsidP="008B7544">
            <w:pPr>
              <w:pStyle w:val="TableText"/>
            </w:pPr>
            <w:r w:rsidRPr="00F71523">
              <w:t>The design needs to allow for the maintenance of an appropriate setting to the Macpherson Robertson Memorial Fountain.</w:t>
            </w:r>
          </w:p>
        </w:tc>
        <w:tc>
          <w:tcPr>
            <w:tcW w:w="1168" w:type="dxa"/>
          </w:tcPr>
          <w:p w14:paraId="5BD896AD" w14:textId="7F8FA564" w:rsidR="0089374D" w:rsidRPr="00F71523" w:rsidRDefault="0089374D" w:rsidP="00457BDE">
            <w:pPr>
              <w:pStyle w:val="TableText"/>
            </w:pPr>
            <w:r w:rsidRPr="00F71523">
              <w:t>7 – Domain station</w:t>
            </w:r>
          </w:p>
        </w:tc>
        <w:tc>
          <w:tcPr>
            <w:tcW w:w="1276" w:type="dxa"/>
          </w:tcPr>
          <w:p w14:paraId="1F1940A5" w14:textId="44C8F2DA" w:rsidR="0089374D" w:rsidRPr="00F71523" w:rsidRDefault="0089374D" w:rsidP="00457BDE">
            <w:pPr>
              <w:pStyle w:val="TableText"/>
            </w:pPr>
            <w:r w:rsidRPr="00F71523">
              <w:t>Detailed design</w:t>
            </w:r>
          </w:p>
        </w:tc>
        <w:tc>
          <w:tcPr>
            <w:tcW w:w="1383" w:type="dxa"/>
          </w:tcPr>
          <w:p w14:paraId="26D1AC98" w14:textId="57C28187" w:rsidR="0089374D" w:rsidRPr="00F71523" w:rsidRDefault="0089374D" w:rsidP="00953369">
            <w:pPr>
              <w:pStyle w:val="TableText"/>
              <w:jc w:val="center"/>
            </w:pPr>
            <w:r>
              <w:t>HH26</w:t>
            </w:r>
          </w:p>
        </w:tc>
      </w:tr>
      <w:tr w:rsidR="0089374D" w:rsidRPr="00F71523" w14:paraId="75703CF0" w14:textId="77777777" w:rsidTr="00CB066E">
        <w:trPr>
          <w:cantSplit/>
        </w:trPr>
        <w:tc>
          <w:tcPr>
            <w:tcW w:w="2046" w:type="dxa"/>
            <w:vMerge w:val="restart"/>
          </w:tcPr>
          <w:p w14:paraId="5A4C2816" w14:textId="77777777" w:rsidR="0089374D" w:rsidRPr="00F71523" w:rsidRDefault="0089374D" w:rsidP="00424CC8">
            <w:pPr>
              <w:pStyle w:val="TableText"/>
              <w:pageBreakBefore/>
            </w:pPr>
          </w:p>
        </w:tc>
        <w:tc>
          <w:tcPr>
            <w:tcW w:w="800" w:type="dxa"/>
          </w:tcPr>
          <w:p w14:paraId="36AAC476" w14:textId="6C1962E5" w:rsidR="0089374D" w:rsidRPr="00F71523" w:rsidRDefault="0089374D" w:rsidP="00953369">
            <w:pPr>
              <w:pStyle w:val="TableText"/>
              <w:jc w:val="center"/>
            </w:pPr>
            <w:r w:rsidRPr="00F71523">
              <w:t>CH19</w:t>
            </w:r>
          </w:p>
        </w:tc>
        <w:tc>
          <w:tcPr>
            <w:tcW w:w="7894" w:type="dxa"/>
          </w:tcPr>
          <w:p w14:paraId="503FAEFE" w14:textId="24F3D2E5" w:rsidR="0089374D" w:rsidRPr="00F71523" w:rsidRDefault="0089374D" w:rsidP="008B7544">
            <w:pPr>
              <w:pStyle w:val="TableText"/>
            </w:pPr>
            <w:r w:rsidRPr="00F71523">
              <w:t>To the satisfaction of Heritage Victoria, review the siting and design of the western Domain station entry in detailed design to ensure the South African Soldiers Memorial has an appropriate landscaped setting if relocated on this site. If no appropriate setting can be established, consider options for relocation of the memorial to an alternative site.</w:t>
            </w:r>
          </w:p>
        </w:tc>
        <w:tc>
          <w:tcPr>
            <w:tcW w:w="1168" w:type="dxa"/>
          </w:tcPr>
          <w:p w14:paraId="36293518" w14:textId="38EE5DA7" w:rsidR="0089374D" w:rsidRPr="00F71523" w:rsidRDefault="0089374D" w:rsidP="00457BDE">
            <w:pPr>
              <w:pStyle w:val="TableText"/>
            </w:pPr>
            <w:r w:rsidRPr="00F71523">
              <w:t>7 – Domain station</w:t>
            </w:r>
          </w:p>
        </w:tc>
        <w:tc>
          <w:tcPr>
            <w:tcW w:w="1276" w:type="dxa"/>
          </w:tcPr>
          <w:p w14:paraId="65E6A5FE" w14:textId="2B8BADEE" w:rsidR="0089374D" w:rsidRPr="00F71523" w:rsidRDefault="0089374D" w:rsidP="00457BDE">
            <w:pPr>
              <w:pStyle w:val="TableText"/>
            </w:pPr>
            <w:r w:rsidRPr="00F71523">
              <w:t>Detailed design</w:t>
            </w:r>
          </w:p>
        </w:tc>
        <w:tc>
          <w:tcPr>
            <w:tcW w:w="1383" w:type="dxa"/>
          </w:tcPr>
          <w:p w14:paraId="5C7AFE07" w14:textId="5BEFEC56" w:rsidR="0089374D" w:rsidRPr="00F71523" w:rsidRDefault="0089374D" w:rsidP="00953369">
            <w:pPr>
              <w:pStyle w:val="TableText"/>
              <w:jc w:val="center"/>
            </w:pPr>
            <w:r>
              <w:t>HH27</w:t>
            </w:r>
          </w:p>
        </w:tc>
      </w:tr>
      <w:tr w:rsidR="0089374D" w:rsidRPr="00F71523" w14:paraId="186571BB" w14:textId="77777777" w:rsidTr="00CB066E">
        <w:trPr>
          <w:cantSplit/>
        </w:trPr>
        <w:tc>
          <w:tcPr>
            <w:tcW w:w="2046" w:type="dxa"/>
            <w:vMerge/>
          </w:tcPr>
          <w:p w14:paraId="6DDEC0B1" w14:textId="77777777" w:rsidR="0089374D" w:rsidRPr="00F71523" w:rsidRDefault="0089374D" w:rsidP="00CB1C25">
            <w:pPr>
              <w:pStyle w:val="TableText"/>
            </w:pPr>
          </w:p>
        </w:tc>
        <w:tc>
          <w:tcPr>
            <w:tcW w:w="800" w:type="dxa"/>
          </w:tcPr>
          <w:p w14:paraId="159329BC" w14:textId="289C4A45" w:rsidR="0089374D" w:rsidRPr="00F71523" w:rsidRDefault="0089374D" w:rsidP="00953369">
            <w:pPr>
              <w:pStyle w:val="TableText"/>
              <w:jc w:val="center"/>
            </w:pPr>
            <w:r w:rsidRPr="00F71523">
              <w:t>CH20</w:t>
            </w:r>
          </w:p>
        </w:tc>
        <w:tc>
          <w:tcPr>
            <w:tcW w:w="7894" w:type="dxa"/>
          </w:tcPr>
          <w:p w14:paraId="49B4C645" w14:textId="0EDA057F" w:rsidR="0089374D" w:rsidRPr="00F71523" w:rsidRDefault="0089374D" w:rsidP="008B7544">
            <w:pPr>
              <w:pStyle w:val="TableText"/>
            </w:pPr>
            <w:r w:rsidRPr="00F71523">
              <w:t>To the satisfaction of the City of Melbourne, City of Port Phillip and/or the responsible authority, as applicable replace removed trees in St Kilda Road to re-stablish the boulevard formation.</w:t>
            </w:r>
          </w:p>
        </w:tc>
        <w:tc>
          <w:tcPr>
            <w:tcW w:w="1168" w:type="dxa"/>
          </w:tcPr>
          <w:p w14:paraId="37272F04" w14:textId="5D11971A" w:rsidR="0089374D" w:rsidRPr="00F71523" w:rsidRDefault="0089374D" w:rsidP="00457BDE">
            <w:pPr>
              <w:pStyle w:val="TableText"/>
            </w:pPr>
            <w:r w:rsidRPr="00F71523">
              <w:t>7 – Domain station</w:t>
            </w:r>
          </w:p>
        </w:tc>
        <w:tc>
          <w:tcPr>
            <w:tcW w:w="1276" w:type="dxa"/>
          </w:tcPr>
          <w:p w14:paraId="75438025" w14:textId="06DEA29B" w:rsidR="0089374D" w:rsidRPr="00F71523" w:rsidRDefault="0089374D" w:rsidP="00457BDE">
            <w:pPr>
              <w:pStyle w:val="TableText"/>
            </w:pPr>
            <w:r w:rsidRPr="00F71523">
              <w:t>Detailed design</w:t>
            </w:r>
          </w:p>
        </w:tc>
        <w:tc>
          <w:tcPr>
            <w:tcW w:w="1383" w:type="dxa"/>
          </w:tcPr>
          <w:p w14:paraId="39980786" w14:textId="1E4A8659" w:rsidR="0089374D" w:rsidRPr="00F71523" w:rsidRDefault="0089374D" w:rsidP="00953369">
            <w:pPr>
              <w:pStyle w:val="TableText"/>
              <w:jc w:val="center"/>
            </w:pPr>
            <w:r>
              <w:t>HH28</w:t>
            </w:r>
          </w:p>
        </w:tc>
      </w:tr>
      <w:tr w:rsidR="0089374D" w:rsidRPr="00F71523" w14:paraId="3BE4F064" w14:textId="77777777" w:rsidTr="00CB066E">
        <w:trPr>
          <w:cantSplit/>
        </w:trPr>
        <w:tc>
          <w:tcPr>
            <w:tcW w:w="2046" w:type="dxa"/>
            <w:vMerge/>
          </w:tcPr>
          <w:p w14:paraId="06C8C271" w14:textId="77777777" w:rsidR="0089374D" w:rsidRPr="00F71523" w:rsidRDefault="0089374D" w:rsidP="00CB1C25">
            <w:pPr>
              <w:pStyle w:val="TableText"/>
            </w:pPr>
          </w:p>
        </w:tc>
        <w:tc>
          <w:tcPr>
            <w:tcW w:w="800" w:type="dxa"/>
          </w:tcPr>
          <w:p w14:paraId="5ED822AB" w14:textId="2610C5D7" w:rsidR="0089374D" w:rsidRPr="00F71523" w:rsidRDefault="0089374D" w:rsidP="00953369">
            <w:pPr>
              <w:pStyle w:val="TableText"/>
              <w:jc w:val="center"/>
            </w:pPr>
            <w:r w:rsidRPr="00F71523">
              <w:t>CH21</w:t>
            </w:r>
          </w:p>
        </w:tc>
        <w:tc>
          <w:tcPr>
            <w:tcW w:w="7894" w:type="dxa"/>
          </w:tcPr>
          <w:p w14:paraId="24B6EE1D" w14:textId="6C827F0D" w:rsidR="0089374D" w:rsidRPr="00F71523" w:rsidRDefault="0089374D" w:rsidP="008B7544">
            <w:pPr>
              <w:pStyle w:val="TableText"/>
            </w:pPr>
            <w:r w:rsidRPr="00F71523">
              <w:t>Retain and protect the Cross Street Electrical Substation in situ within or abutting proposed construction site.</w:t>
            </w:r>
          </w:p>
        </w:tc>
        <w:tc>
          <w:tcPr>
            <w:tcW w:w="1168" w:type="dxa"/>
          </w:tcPr>
          <w:p w14:paraId="18D988E8" w14:textId="65510D88" w:rsidR="0089374D" w:rsidRPr="00F71523" w:rsidRDefault="0089374D" w:rsidP="00457BDE">
            <w:pPr>
              <w:pStyle w:val="TableText"/>
            </w:pPr>
            <w:r w:rsidRPr="00F71523">
              <w:t>9 –</w:t>
            </w:r>
            <w:r w:rsidRPr="00457BDE">
              <w:rPr>
                <w:spacing w:val="-4"/>
              </w:rPr>
              <w:t xml:space="preserve"> Western</w:t>
            </w:r>
            <w:r w:rsidRPr="00F71523">
              <w:t xml:space="preserve"> </w:t>
            </w:r>
            <w:proofErr w:type="spellStart"/>
            <w:r w:rsidRPr="00F71523">
              <w:t>turnback</w:t>
            </w:r>
            <w:proofErr w:type="spellEnd"/>
          </w:p>
        </w:tc>
        <w:tc>
          <w:tcPr>
            <w:tcW w:w="1276" w:type="dxa"/>
          </w:tcPr>
          <w:p w14:paraId="6C65F2DC" w14:textId="71810554" w:rsidR="0089374D" w:rsidRPr="00F71523" w:rsidRDefault="0089374D" w:rsidP="00457BDE">
            <w:pPr>
              <w:pStyle w:val="TableText"/>
            </w:pPr>
            <w:r w:rsidRPr="00F71523">
              <w:t>Construction</w:t>
            </w:r>
          </w:p>
        </w:tc>
        <w:tc>
          <w:tcPr>
            <w:tcW w:w="1383" w:type="dxa"/>
          </w:tcPr>
          <w:p w14:paraId="1E22E62C" w14:textId="049A7ED3" w:rsidR="0089374D" w:rsidRPr="00F71523" w:rsidRDefault="0089374D" w:rsidP="00953369">
            <w:pPr>
              <w:pStyle w:val="TableText"/>
              <w:jc w:val="center"/>
            </w:pPr>
            <w:r>
              <w:t>HH35</w:t>
            </w:r>
          </w:p>
        </w:tc>
      </w:tr>
      <w:tr w:rsidR="0089374D" w:rsidRPr="00F71523" w14:paraId="20BEB6C7" w14:textId="1CEEB80F" w:rsidTr="00CB066E">
        <w:trPr>
          <w:cantSplit/>
        </w:trPr>
        <w:tc>
          <w:tcPr>
            <w:tcW w:w="2046" w:type="dxa"/>
            <w:vMerge/>
          </w:tcPr>
          <w:p w14:paraId="1DFE5930" w14:textId="77777777" w:rsidR="0089374D" w:rsidRPr="00F71523" w:rsidRDefault="0089374D" w:rsidP="00CB1C25">
            <w:pPr>
              <w:pStyle w:val="TableText"/>
            </w:pPr>
          </w:p>
        </w:tc>
        <w:tc>
          <w:tcPr>
            <w:tcW w:w="12521" w:type="dxa"/>
            <w:gridSpan w:val="5"/>
            <w:hideMark/>
          </w:tcPr>
          <w:p w14:paraId="41B03A70" w14:textId="48FFBB4B" w:rsidR="0089374D" w:rsidRPr="00F71523" w:rsidRDefault="0089374D" w:rsidP="00457BDE">
            <w:pPr>
              <w:pStyle w:val="TableText"/>
              <w:rPr>
                <w:b/>
              </w:rPr>
            </w:pPr>
            <w:r w:rsidRPr="00F71523">
              <w:rPr>
                <w:b/>
              </w:rPr>
              <w:t>Also refer to the following Environmental Performance Requirements for ‘Historical Cultural Heritage’: NV2, NV5, NV6, NV11, GM2, GM4, GM5, GM6</w:t>
            </w:r>
          </w:p>
        </w:tc>
      </w:tr>
      <w:tr w:rsidR="0089374D" w:rsidRPr="00F71523" w14:paraId="16D15E98" w14:textId="77777777" w:rsidTr="00CB066E">
        <w:trPr>
          <w:cantSplit/>
        </w:trPr>
        <w:tc>
          <w:tcPr>
            <w:tcW w:w="14567" w:type="dxa"/>
            <w:gridSpan w:val="6"/>
            <w:shd w:val="clear" w:color="auto" w:fill="F2F2F2" w:themeFill="background1" w:themeFillShade="F2"/>
            <w:hideMark/>
          </w:tcPr>
          <w:p w14:paraId="4F76ACD6" w14:textId="77777777" w:rsidR="0089374D" w:rsidRPr="00F71523" w:rsidRDefault="0089374D" w:rsidP="00457BDE">
            <w:pPr>
              <w:pStyle w:val="TableText"/>
              <w:keepNext/>
              <w:keepLines/>
              <w:rPr>
                <w:rStyle w:val="CharacterStyle-Bold"/>
              </w:rPr>
            </w:pPr>
            <w:r w:rsidRPr="00F71523">
              <w:rPr>
                <w:rStyle w:val="CharacterStyle-Bold"/>
              </w:rPr>
              <w:t>Arboriculture</w:t>
            </w:r>
          </w:p>
        </w:tc>
      </w:tr>
      <w:tr w:rsidR="0089374D" w:rsidRPr="00F71523" w14:paraId="0A736448" w14:textId="77777777" w:rsidTr="00CB066E">
        <w:trPr>
          <w:cantSplit/>
        </w:trPr>
        <w:tc>
          <w:tcPr>
            <w:tcW w:w="2046" w:type="dxa"/>
            <w:vMerge w:val="restart"/>
          </w:tcPr>
          <w:p w14:paraId="2E61882C" w14:textId="5B751FE6" w:rsidR="0089374D" w:rsidRPr="00F71523" w:rsidRDefault="0089374D" w:rsidP="00CB1C25">
            <w:pPr>
              <w:pStyle w:val="TableText"/>
            </w:pPr>
            <w:r w:rsidRPr="00F71523">
              <w:t>Landscape, visual and recreational values – To avoid or minimise adverse effects on landscape, visual amenity and recreational values as far as practicable</w:t>
            </w:r>
          </w:p>
        </w:tc>
        <w:tc>
          <w:tcPr>
            <w:tcW w:w="800" w:type="dxa"/>
          </w:tcPr>
          <w:p w14:paraId="6EB1DED7" w14:textId="15C0F754" w:rsidR="0089374D" w:rsidRPr="00F71523" w:rsidRDefault="0089374D" w:rsidP="00953369">
            <w:pPr>
              <w:pStyle w:val="TableText"/>
              <w:jc w:val="center"/>
            </w:pPr>
            <w:r w:rsidRPr="00F71523">
              <w:t>AR1</w:t>
            </w:r>
          </w:p>
        </w:tc>
        <w:tc>
          <w:tcPr>
            <w:tcW w:w="7894" w:type="dxa"/>
          </w:tcPr>
          <w:p w14:paraId="65C38FF4" w14:textId="1A767888" w:rsidR="0089374D" w:rsidRPr="00F71523" w:rsidRDefault="0089374D" w:rsidP="00F15F93">
            <w:pPr>
              <w:pStyle w:val="TableText"/>
            </w:pPr>
            <w:r w:rsidRPr="00F71523">
              <w:t>During detailed design, review potential tree impacts and provide for maximum tree retention where possible.</w:t>
            </w:r>
          </w:p>
          <w:p w14:paraId="71D313DE" w14:textId="26DD0525" w:rsidR="0089374D" w:rsidRPr="00F71523" w:rsidRDefault="0089374D" w:rsidP="00F15F93">
            <w:pPr>
              <w:pStyle w:val="TableText"/>
            </w:pPr>
            <w:r w:rsidRPr="00F71523">
              <w:t>Prior to construction of main works or shafts, develop and implement a plan in consultation with the relevant local council that identifies all trees in the project area which covers:</w:t>
            </w:r>
          </w:p>
          <w:p w14:paraId="49AE1034" w14:textId="77777777" w:rsidR="0089374D" w:rsidRPr="00F71523" w:rsidRDefault="0089374D" w:rsidP="00F15F93">
            <w:pPr>
              <w:pStyle w:val="TableBullet1"/>
            </w:pPr>
            <w:r w:rsidRPr="00F71523">
              <w:t>Trees to be removed or retained</w:t>
            </w:r>
          </w:p>
          <w:p w14:paraId="35B06B97" w14:textId="243774A0" w:rsidR="0089374D" w:rsidRPr="00F71523" w:rsidRDefault="0089374D" w:rsidP="00F15F93">
            <w:pPr>
              <w:pStyle w:val="TableBullet1"/>
            </w:pPr>
            <w:r w:rsidRPr="00F71523">
              <w:t>Condition of the trees to be removed</w:t>
            </w:r>
          </w:p>
          <w:p w14:paraId="38BEDCA9" w14:textId="081B15B1" w:rsidR="0089374D" w:rsidRPr="00F71523" w:rsidRDefault="0089374D" w:rsidP="00040FF1">
            <w:pPr>
              <w:pStyle w:val="TableBullet1"/>
            </w:pPr>
            <w:r w:rsidRPr="00F71523">
              <w:t>Options for temporary re-location of palms and reinstatement at their former location or another suitable location.</w:t>
            </w:r>
          </w:p>
        </w:tc>
        <w:tc>
          <w:tcPr>
            <w:tcW w:w="1168" w:type="dxa"/>
          </w:tcPr>
          <w:p w14:paraId="0D24114B" w14:textId="452BE54B" w:rsidR="0089374D" w:rsidRPr="00F71523" w:rsidRDefault="0089374D" w:rsidP="00457BDE">
            <w:pPr>
              <w:pStyle w:val="TableText"/>
            </w:pPr>
            <w:r w:rsidRPr="00F71523">
              <w:t>All</w:t>
            </w:r>
          </w:p>
        </w:tc>
        <w:tc>
          <w:tcPr>
            <w:tcW w:w="1276" w:type="dxa"/>
          </w:tcPr>
          <w:p w14:paraId="3BB8322E" w14:textId="2330F5BE" w:rsidR="0089374D" w:rsidRPr="00F71523" w:rsidRDefault="0089374D" w:rsidP="00457BDE">
            <w:pPr>
              <w:pStyle w:val="TableText"/>
            </w:pPr>
            <w:r>
              <w:t>Design</w:t>
            </w:r>
            <w:r w:rsidRPr="00F71523">
              <w:t>/Pre-construction</w:t>
            </w:r>
          </w:p>
        </w:tc>
        <w:tc>
          <w:tcPr>
            <w:tcW w:w="1383" w:type="dxa"/>
          </w:tcPr>
          <w:p w14:paraId="2469D093" w14:textId="552F3454" w:rsidR="0089374D" w:rsidRPr="00F71523" w:rsidRDefault="0089374D" w:rsidP="00CB066E">
            <w:pPr>
              <w:pStyle w:val="TableText"/>
              <w:jc w:val="center"/>
            </w:pPr>
            <w:r>
              <w:t>AR001, AR002, AR014, AR003</w:t>
            </w:r>
          </w:p>
        </w:tc>
      </w:tr>
      <w:tr w:rsidR="0089374D" w:rsidRPr="00F71523" w14:paraId="24FF7E58" w14:textId="77777777" w:rsidTr="00CB066E">
        <w:trPr>
          <w:cantSplit/>
        </w:trPr>
        <w:tc>
          <w:tcPr>
            <w:tcW w:w="2046" w:type="dxa"/>
            <w:vMerge/>
          </w:tcPr>
          <w:p w14:paraId="65239BA3" w14:textId="77777777" w:rsidR="0089374D" w:rsidRPr="00F71523" w:rsidRDefault="0089374D" w:rsidP="00CB1C25">
            <w:pPr>
              <w:pStyle w:val="TableText"/>
            </w:pPr>
          </w:p>
        </w:tc>
        <w:tc>
          <w:tcPr>
            <w:tcW w:w="800" w:type="dxa"/>
          </w:tcPr>
          <w:p w14:paraId="2216AF62" w14:textId="0196655D" w:rsidR="0089374D" w:rsidRPr="00F71523" w:rsidRDefault="0089374D" w:rsidP="00953369">
            <w:pPr>
              <w:pStyle w:val="TableText"/>
              <w:jc w:val="center"/>
            </w:pPr>
            <w:r w:rsidRPr="00F71523">
              <w:t>AR2</w:t>
            </w:r>
          </w:p>
        </w:tc>
        <w:tc>
          <w:tcPr>
            <w:tcW w:w="7894" w:type="dxa"/>
          </w:tcPr>
          <w:p w14:paraId="5B52FD0B" w14:textId="4CBCDF77" w:rsidR="0089374D" w:rsidRPr="00F71523" w:rsidRDefault="0089374D" w:rsidP="00040FF1">
            <w:pPr>
              <w:pStyle w:val="TableText"/>
            </w:pPr>
            <w:r w:rsidRPr="00F71523">
              <w:t>Reinstate quality soils to sufficient volumes to support long-term viable growth of replacement trees.</w:t>
            </w:r>
          </w:p>
        </w:tc>
        <w:tc>
          <w:tcPr>
            <w:tcW w:w="1168" w:type="dxa"/>
          </w:tcPr>
          <w:p w14:paraId="19C282EA" w14:textId="2B585CF9" w:rsidR="0089374D" w:rsidRPr="00F71523" w:rsidRDefault="0089374D" w:rsidP="00457BDE">
            <w:pPr>
              <w:pStyle w:val="TableText"/>
            </w:pPr>
            <w:r w:rsidRPr="00F71523">
              <w:t>All</w:t>
            </w:r>
          </w:p>
        </w:tc>
        <w:tc>
          <w:tcPr>
            <w:tcW w:w="1276" w:type="dxa"/>
          </w:tcPr>
          <w:p w14:paraId="5624FE68" w14:textId="77F38A28" w:rsidR="0089374D" w:rsidRPr="00F71523" w:rsidRDefault="0089374D" w:rsidP="00457BDE">
            <w:pPr>
              <w:pStyle w:val="TableText"/>
            </w:pPr>
            <w:r w:rsidRPr="00F71523">
              <w:t>Construction</w:t>
            </w:r>
          </w:p>
        </w:tc>
        <w:tc>
          <w:tcPr>
            <w:tcW w:w="1383" w:type="dxa"/>
          </w:tcPr>
          <w:p w14:paraId="6440CCD9" w14:textId="29BDA6F8" w:rsidR="0089374D" w:rsidRPr="00F71523" w:rsidRDefault="0089374D" w:rsidP="0089374D">
            <w:pPr>
              <w:pStyle w:val="TableText"/>
              <w:jc w:val="center"/>
            </w:pPr>
            <w:r>
              <w:t>AR001, AR002, AR003, AR014,</w:t>
            </w:r>
          </w:p>
        </w:tc>
      </w:tr>
      <w:tr w:rsidR="0089374D" w:rsidRPr="00F71523" w14:paraId="57FBEFC5" w14:textId="77777777" w:rsidTr="00CB066E">
        <w:trPr>
          <w:cantSplit/>
        </w:trPr>
        <w:tc>
          <w:tcPr>
            <w:tcW w:w="2046" w:type="dxa"/>
            <w:hideMark/>
          </w:tcPr>
          <w:p w14:paraId="3B26D127" w14:textId="77777777" w:rsidR="0089374D" w:rsidRPr="00F71523" w:rsidRDefault="0089374D" w:rsidP="00CB1C25">
            <w:pPr>
              <w:pStyle w:val="TableText"/>
            </w:pPr>
          </w:p>
        </w:tc>
        <w:tc>
          <w:tcPr>
            <w:tcW w:w="800" w:type="dxa"/>
            <w:hideMark/>
          </w:tcPr>
          <w:p w14:paraId="5B3287C7" w14:textId="77777777" w:rsidR="0089374D" w:rsidRPr="00F71523" w:rsidRDefault="0089374D" w:rsidP="00953369">
            <w:pPr>
              <w:pStyle w:val="TableText"/>
              <w:jc w:val="center"/>
            </w:pPr>
            <w:r w:rsidRPr="00F71523">
              <w:t>AR3</w:t>
            </w:r>
          </w:p>
        </w:tc>
        <w:tc>
          <w:tcPr>
            <w:tcW w:w="7894" w:type="dxa"/>
            <w:hideMark/>
          </w:tcPr>
          <w:p w14:paraId="3C8FC97D" w14:textId="0EF7540F" w:rsidR="0089374D" w:rsidRPr="00F71523" w:rsidRDefault="0089374D" w:rsidP="00CB1C25">
            <w:pPr>
              <w:pStyle w:val="TableText"/>
            </w:pPr>
            <w:r w:rsidRPr="00F71523">
              <w:t>Re-establish trees to replace loss of canopy cover and achieve canopy size equal to (or greater than) healthy, mature examples of the species in Melbourne. Consult with the City of Melbourne, the City of Po</w:t>
            </w:r>
            <w:r>
              <w:t>r</w:t>
            </w:r>
            <w:r w:rsidRPr="00F71523">
              <w:t>t Phillip, the City of Stonnington, the Shrine of Remembrance and Shrine Trustees and Heritage Victoria as applicable. Policy documents that must be followed to re-establish trees and valued landscape character include:</w:t>
            </w:r>
          </w:p>
          <w:p w14:paraId="7331A556" w14:textId="0B08181E" w:rsidR="0089374D" w:rsidRPr="00F71523" w:rsidRDefault="0089374D" w:rsidP="00CB1C25">
            <w:pPr>
              <w:pStyle w:val="TableBullet1"/>
            </w:pPr>
            <w:r w:rsidRPr="00F71523">
              <w:t xml:space="preserve">The City of Melbourne’s Tree Retention and Removal Policy and Urban Forest Strategy </w:t>
            </w:r>
          </w:p>
          <w:p w14:paraId="52A0C7C8" w14:textId="77D57858" w:rsidR="0089374D" w:rsidRPr="00F71523" w:rsidRDefault="0089374D" w:rsidP="00CB1C25">
            <w:pPr>
              <w:pStyle w:val="TableBullet1"/>
            </w:pPr>
            <w:r w:rsidRPr="00F71523">
              <w:t>The City of Port Phil</w:t>
            </w:r>
            <w:r>
              <w:t>l</w:t>
            </w:r>
            <w:r w:rsidRPr="00F71523">
              <w:t>ip’s Community Amenity Local Law No. 1 and Greening Port Phillip</w:t>
            </w:r>
            <w:r>
              <w:t xml:space="preserve"> – </w:t>
            </w:r>
            <w:r w:rsidRPr="00F71523">
              <w:t>An Urban Forest Approach</w:t>
            </w:r>
          </w:p>
          <w:p w14:paraId="7D1D2117" w14:textId="090CF439" w:rsidR="0089374D" w:rsidRPr="00F71523" w:rsidRDefault="0089374D" w:rsidP="00CB1C25">
            <w:pPr>
              <w:pStyle w:val="TableBullet1"/>
            </w:pPr>
            <w:r w:rsidRPr="00F71523">
              <w:t xml:space="preserve">The City of </w:t>
            </w:r>
            <w:proofErr w:type="spellStart"/>
            <w:r w:rsidRPr="00F71523">
              <w:t>Stonnington’s</w:t>
            </w:r>
            <w:proofErr w:type="spellEnd"/>
            <w:r w:rsidRPr="00F71523">
              <w:t xml:space="preserve"> General Local Law 2008 (No 1) and City of Stonnington Street Tree Strategy</w:t>
            </w:r>
            <w:r w:rsidRPr="00F71523" w:rsidDel="00B442AD">
              <w:t xml:space="preserve"> </w:t>
            </w:r>
          </w:p>
          <w:p w14:paraId="618B5C99" w14:textId="77777777" w:rsidR="0089374D" w:rsidRPr="00F71523" w:rsidRDefault="0089374D" w:rsidP="00CB1C25">
            <w:pPr>
              <w:pStyle w:val="TableBullet1"/>
            </w:pPr>
            <w:r w:rsidRPr="00F71523">
              <w:t>Any associated precinct plans</w:t>
            </w:r>
          </w:p>
          <w:p w14:paraId="3A6C537E" w14:textId="598C2280" w:rsidR="0089374D" w:rsidRPr="00F71523" w:rsidRDefault="0089374D" w:rsidP="00CB1C25">
            <w:pPr>
              <w:pStyle w:val="TableBullet1"/>
            </w:pPr>
            <w:r w:rsidRPr="00F71523">
              <w:t>Specific policies of the Domain Parklands Conservation Management Plan (CMP), for trees within Domain Parklands</w:t>
            </w:r>
          </w:p>
          <w:p w14:paraId="77349939" w14:textId="77777777" w:rsidR="0089374D" w:rsidRPr="00F71523" w:rsidRDefault="0089374D" w:rsidP="008137C5">
            <w:pPr>
              <w:pStyle w:val="TableBullet1"/>
            </w:pPr>
            <w:r w:rsidRPr="00F71523">
              <w:t>Shrine of Remembrance: Shrine of Remembrance CMP (Lovell Chen, 2010) or any future review and the Shrine of Remembrance Landscape Improvement Plan (rush Wright Associates, 2010)</w:t>
            </w:r>
          </w:p>
          <w:p w14:paraId="1D4B9234" w14:textId="37559E6F" w:rsidR="0089374D" w:rsidRPr="00F71523" w:rsidRDefault="0089374D" w:rsidP="00CB1C25">
            <w:pPr>
              <w:pStyle w:val="TableBullet1"/>
            </w:pPr>
            <w:r w:rsidRPr="00F71523">
              <w:t>South African Soldiers Memorial Reserve: Any relevant CMP for the South African Soldiers Memorial</w:t>
            </w:r>
          </w:p>
          <w:p w14:paraId="68CBD08D" w14:textId="77777777" w:rsidR="0089374D" w:rsidRPr="00F71523" w:rsidRDefault="0089374D" w:rsidP="00CB1C25">
            <w:pPr>
              <w:pStyle w:val="TableBullet1"/>
            </w:pPr>
            <w:r w:rsidRPr="00F71523">
              <w:t>Fawkner Park Conservation Analysis (</w:t>
            </w:r>
            <w:proofErr w:type="spellStart"/>
            <w:r w:rsidRPr="00F71523">
              <w:t>Hassell</w:t>
            </w:r>
            <w:proofErr w:type="spellEnd"/>
            <w:r w:rsidRPr="00F71523">
              <w:t xml:space="preserve">, 2002) and the Fawkner Park </w:t>
            </w:r>
            <w:proofErr w:type="spellStart"/>
            <w:r w:rsidRPr="00F71523">
              <w:t>Masterplan</w:t>
            </w:r>
            <w:proofErr w:type="spellEnd"/>
            <w:r w:rsidRPr="00F71523">
              <w:t xml:space="preserve"> (City of Melbourne, 2005)</w:t>
            </w:r>
          </w:p>
          <w:p w14:paraId="6E0CB1DF" w14:textId="1EAE9C9F" w:rsidR="0089374D" w:rsidRPr="00F71523" w:rsidRDefault="0089374D" w:rsidP="00040FF1">
            <w:pPr>
              <w:pStyle w:val="TableBullet1"/>
            </w:pPr>
            <w:r w:rsidRPr="00F71523">
              <w:t xml:space="preserve">The preferred future character of the University of Melbourne, for trees in the grounds of the University of Melbourne. </w:t>
            </w:r>
          </w:p>
        </w:tc>
        <w:tc>
          <w:tcPr>
            <w:tcW w:w="1168" w:type="dxa"/>
            <w:hideMark/>
          </w:tcPr>
          <w:p w14:paraId="7810B37E" w14:textId="77777777" w:rsidR="0089374D" w:rsidRPr="00F71523" w:rsidRDefault="0089374D" w:rsidP="00457BDE">
            <w:pPr>
              <w:pStyle w:val="TableText"/>
            </w:pPr>
            <w:r w:rsidRPr="00F71523">
              <w:t xml:space="preserve">All (except Western </w:t>
            </w:r>
            <w:proofErr w:type="spellStart"/>
            <w:r w:rsidRPr="00F71523">
              <w:t>turnback</w:t>
            </w:r>
            <w:proofErr w:type="spellEnd"/>
            <w:r w:rsidRPr="00F71523">
              <w:t>)</w:t>
            </w:r>
          </w:p>
        </w:tc>
        <w:tc>
          <w:tcPr>
            <w:tcW w:w="1276" w:type="dxa"/>
            <w:hideMark/>
          </w:tcPr>
          <w:p w14:paraId="33C2CFCD" w14:textId="77777777" w:rsidR="0089374D" w:rsidRPr="00F71523" w:rsidRDefault="0089374D" w:rsidP="00457BDE">
            <w:pPr>
              <w:pStyle w:val="TableText"/>
            </w:pPr>
            <w:r w:rsidRPr="00F71523">
              <w:t>Construction</w:t>
            </w:r>
          </w:p>
        </w:tc>
        <w:tc>
          <w:tcPr>
            <w:tcW w:w="1383" w:type="dxa"/>
          </w:tcPr>
          <w:p w14:paraId="53AABC05" w14:textId="6973144C" w:rsidR="0089374D" w:rsidRPr="00F71523" w:rsidRDefault="0089374D" w:rsidP="00AA412A">
            <w:pPr>
              <w:pStyle w:val="TableText"/>
              <w:jc w:val="center"/>
            </w:pPr>
            <w:r>
              <w:t>AR001, AR002, AR003, AR014,</w:t>
            </w:r>
          </w:p>
        </w:tc>
      </w:tr>
      <w:tr w:rsidR="00457BDE" w:rsidRPr="00F71523" w14:paraId="1EBD0CCF" w14:textId="77777777" w:rsidTr="00CB066E">
        <w:trPr>
          <w:cantSplit/>
        </w:trPr>
        <w:tc>
          <w:tcPr>
            <w:tcW w:w="2046" w:type="dxa"/>
            <w:vMerge w:val="restart"/>
            <w:hideMark/>
          </w:tcPr>
          <w:p w14:paraId="772A3E3E" w14:textId="77777777" w:rsidR="00457BDE" w:rsidRPr="00F71523" w:rsidRDefault="00457BDE" w:rsidP="00A11774">
            <w:pPr>
              <w:pStyle w:val="TableText"/>
              <w:pageBreakBefore/>
            </w:pPr>
          </w:p>
        </w:tc>
        <w:tc>
          <w:tcPr>
            <w:tcW w:w="800" w:type="dxa"/>
            <w:hideMark/>
          </w:tcPr>
          <w:p w14:paraId="2AA2BD05" w14:textId="77777777" w:rsidR="00457BDE" w:rsidRPr="00F71523" w:rsidRDefault="00457BDE" w:rsidP="00953369">
            <w:pPr>
              <w:pStyle w:val="TableText"/>
              <w:jc w:val="center"/>
            </w:pPr>
            <w:r w:rsidRPr="00F71523">
              <w:t>AR4</w:t>
            </w:r>
          </w:p>
        </w:tc>
        <w:tc>
          <w:tcPr>
            <w:tcW w:w="7894" w:type="dxa"/>
            <w:hideMark/>
          </w:tcPr>
          <w:p w14:paraId="581BB401" w14:textId="4160793F" w:rsidR="00457BDE" w:rsidRPr="00F71523" w:rsidRDefault="00457BDE" w:rsidP="008137C5">
            <w:pPr>
              <w:pStyle w:val="TableText"/>
            </w:pPr>
            <w:r w:rsidRPr="00F71523">
              <w:t xml:space="preserve">Prior to construction commencing of main works or shafts in affected areas, prepare and implement Tree Protection Plans for each </w:t>
            </w:r>
            <w:r>
              <w:t>p</w:t>
            </w:r>
            <w:r w:rsidRPr="00F71523">
              <w:t xml:space="preserve">recinct in accordance with AS4970-2009 Protection of Trees on Development Sites, addressing the detailed design and construction methodology of the project. </w:t>
            </w:r>
          </w:p>
          <w:p w14:paraId="403A4341" w14:textId="39D56C12" w:rsidR="00457BDE" w:rsidRPr="00F71523" w:rsidRDefault="00457BDE" w:rsidP="008137C5">
            <w:pPr>
              <w:pStyle w:val="TableText"/>
            </w:pPr>
            <w:r w:rsidRPr="00F71523">
              <w:t>Within precincts 1, 4 and 7 a Tree Protection Plan must be developed for each heritage place as relevant to the satisfaction of Heritage Victoria or the responsible authority.</w:t>
            </w:r>
          </w:p>
        </w:tc>
        <w:tc>
          <w:tcPr>
            <w:tcW w:w="1168" w:type="dxa"/>
            <w:tcMar>
              <w:left w:w="28" w:type="dxa"/>
              <w:right w:w="28" w:type="dxa"/>
            </w:tcMar>
            <w:hideMark/>
          </w:tcPr>
          <w:p w14:paraId="1632F7AC" w14:textId="2084730F" w:rsidR="00457BDE" w:rsidRPr="00F71523" w:rsidRDefault="00457BDE" w:rsidP="00457BDE">
            <w:pPr>
              <w:pStyle w:val="TableText"/>
            </w:pPr>
            <w:r w:rsidRPr="00F71523">
              <w:t xml:space="preserve">All (except Western </w:t>
            </w:r>
            <w:proofErr w:type="spellStart"/>
            <w:r w:rsidRPr="00F71523">
              <w:t>turnback</w:t>
            </w:r>
            <w:proofErr w:type="spellEnd"/>
            <w:r w:rsidRPr="00F71523">
              <w:t>)</w:t>
            </w:r>
          </w:p>
        </w:tc>
        <w:tc>
          <w:tcPr>
            <w:tcW w:w="1276" w:type="dxa"/>
            <w:hideMark/>
          </w:tcPr>
          <w:p w14:paraId="3C5439E8" w14:textId="77777777" w:rsidR="00457BDE" w:rsidRPr="00F71523" w:rsidRDefault="00457BDE" w:rsidP="00457BDE">
            <w:pPr>
              <w:pStyle w:val="TableText"/>
            </w:pPr>
            <w:r w:rsidRPr="00F71523">
              <w:t>Construction</w:t>
            </w:r>
          </w:p>
        </w:tc>
        <w:tc>
          <w:tcPr>
            <w:tcW w:w="1383" w:type="dxa"/>
          </w:tcPr>
          <w:p w14:paraId="063E4A82" w14:textId="18B8B892" w:rsidR="00457BDE" w:rsidRPr="00F71523" w:rsidRDefault="00457BDE" w:rsidP="0089374D">
            <w:pPr>
              <w:pStyle w:val="TableText"/>
              <w:jc w:val="center"/>
            </w:pPr>
            <w:r>
              <w:t>AR001 to AR005, AR007 to AR012, AR014</w:t>
            </w:r>
          </w:p>
        </w:tc>
      </w:tr>
      <w:tr w:rsidR="0089374D" w:rsidRPr="00F71523" w14:paraId="266AF82C" w14:textId="77777777" w:rsidTr="00CB066E">
        <w:trPr>
          <w:cantSplit/>
        </w:trPr>
        <w:tc>
          <w:tcPr>
            <w:tcW w:w="2046" w:type="dxa"/>
            <w:vMerge/>
          </w:tcPr>
          <w:p w14:paraId="55A121C9" w14:textId="036AEF67" w:rsidR="0089374D" w:rsidRPr="00F71523" w:rsidRDefault="0089374D" w:rsidP="00CB1C25">
            <w:pPr>
              <w:pStyle w:val="TableText"/>
            </w:pPr>
          </w:p>
        </w:tc>
        <w:tc>
          <w:tcPr>
            <w:tcW w:w="800" w:type="dxa"/>
          </w:tcPr>
          <w:p w14:paraId="219A0BE4" w14:textId="77777777" w:rsidR="0089374D" w:rsidRPr="00F71523" w:rsidRDefault="0089374D" w:rsidP="00953369">
            <w:pPr>
              <w:pStyle w:val="TableText"/>
              <w:jc w:val="center"/>
            </w:pPr>
            <w:r w:rsidRPr="00F71523">
              <w:t>AR5</w:t>
            </w:r>
          </w:p>
        </w:tc>
        <w:tc>
          <w:tcPr>
            <w:tcW w:w="7894" w:type="dxa"/>
          </w:tcPr>
          <w:p w14:paraId="2DC6E493" w14:textId="22F0F5D0" w:rsidR="0089374D" w:rsidRPr="00F71523" w:rsidRDefault="0089374D" w:rsidP="00CB1C25">
            <w:pPr>
              <w:pStyle w:val="TableText"/>
            </w:pPr>
            <w:r w:rsidRPr="00F71523">
              <w:t>For City of Melbourne trees that are to be retained and protected, a bank guarantee or bond of the trees value will be held against the approved Tree Protection Plan for the duration of the works in accordance with the city of Melbourne Tree Retention and Removal Policy.</w:t>
            </w:r>
            <w:r>
              <w:t xml:space="preserve"> </w:t>
            </w:r>
          </w:p>
        </w:tc>
        <w:tc>
          <w:tcPr>
            <w:tcW w:w="1168" w:type="dxa"/>
          </w:tcPr>
          <w:p w14:paraId="76750862" w14:textId="2D2453DF" w:rsidR="0089374D" w:rsidRPr="00F71523" w:rsidRDefault="0089374D" w:rsidP="00457BDE">
            <w:pPr>
              <w:pStyle w:val="TableText"/>
            </w:pPr>
            <w:r w:rsidRPr="00F71523">
              <w:t>1 – Tunnels</w:t>
            </w:r>
          </w:p>
          <w:p w14:paraId="062ACFAD" w14:textId="3DAD4471" w:rsidR="0089374D" w:rsidRPr="00F71523" w:rsidRDefault="0089374D" w:rsidP="00457BDE">
            <w:pPr>
              <w:pStyle w:val="TableText"/>
            </w:pPr>
            <w:r w:rsidRPr="00F71523">
              <w:t>2 –</w:t>
            </w:r>
            <w:r w:rsidRPr="00457BDE">
              <w:rPr>
                <w:spacing w:val="-4"/>
              </w:rPr>
              <w:t xml:space="preserve"> Western </w:t>
            </w:r>
            <w:r w:rsidRPr="00F71523">
              <w:t>portal</w:t>
            </w:r>
          </w:p>
          <w:p w14:paraId="02CF98DB" w14:textId="77777777" w:rsidR="0089374D" w:rsidRPr="00F71523" w:rsidRDefault="0089374D" w:rsidP="00457BDE">
            <w:pPr>
              <w:pStyle w:val="TableText"/>
            </w:pPr>
            <w:r w:rsidRPr="00F71523">
              <w:t>3 – Arden station</w:t>
            </w:r>
          </w:p>
          <w:p w14:paraId="3B2787FB" w14:textId="2CC701AE" w:rsidR="0089374D" w:rsidRPr="00F71523" w:rsidRDefault="0089374D" w:rsidP="00457BDE">
            <w:pPr>
              <w:pStyle w:val="TableText"/>
            </w:pPr>
            <w:r w:rsidRPr="00F71523">
              <w:t xml:space="preserve">4 – CBD </w:t>
            </w:r>
            <w:r w:rsidRPr="00457BDE">
              <w:rPr>
                <w:spacing w:val="-4"/>
              </w:rPr>
              <w:t>North station</w:t>
            </w:r>
          </w:p>
          <w:p w14:paraId="12506353" w14:textId="699846F0" w:rsidR="0089374D" w:rsidRPr="00F71523" w:rsidRDefault="0089374D" w:rsidP="00457BDE">
            <w:pPr>
              <w:pStyle w:val="TableText"/>
            </w:pPr>
            <w:r w:rsidRPr="00F71523">
              <w:t>5 – CBD South station</w:t>
            </w:r>
          </w:p>
          <w:p w14:paraId="7127C9C5" w14:textId="1BCDC770" w:rsidR="0089374D" w:rsidRPr="00F71523" w:rsidRDefault="0089374D" w:rsidP="00457BDE">
            <w:pPr>
              <w:pStyle w:val="TableText"/>
            </w:pPr>
            <w:r w:rsidRPr="00F71523">
              <w:t>6 – CBD South station</w:t>
            </w:r>
          </w:p>
          <w:p w14:paraId="423B9E77" w14:textId="65B24A35" w:rsidR="0089374D" w:rsidRPr="00F71523" w:rsidRDefault="0089374D" w:rsidP="00457BDE">
            <w:pPr>
              <w:pStyle w:val="TableText"/>
            </w:pPr>
            <w:r w:rsidRPr="00F71523">
              <w:t>7 – Domain station</w:t>
            </w:r>
          </w:p>
        </w:tc>
        <w:tc>
          <w:tcPr>
            <w:tcW w:w="1276" w:type="dxa"/>
          </w:tcPr>
          <w:p w14:paraId="043B0484" w14:textId="77777777" w:rsidR="0089374D" w:rsidRPr="00F71523" w:rsidRDefault="0089374D" w:rsidP="00457BDE">
            <w:pPr>
              <w:pStyle w:val="TableText"/>
            </w:pPr>
            <w:r w:rsidRPr="00F71523">
              <w:t>Construction</w:t>
            </w:r>
          </w:p>
        </w:tc>
        <w:tc>
          <w:tcPr>
            <w:tcW w:w="1383" w:type="dxa"/>
          </w:tcPr>
          <w:p w14:paraId="6728E1CA" w14:textId="018D6C85" w:rsidR="0089374D" w:rsidRPr="00F71523" w:rsidRDefault="0089374D" w:rsidP="0089374D">
            <w:pPr>
              <w:pStyle w:val="TableText"/>
              <w:jc w:val="center"/>
            </w:pPr>
            <w:r>
              <w:t>AR004 to AR005, AR007 to AR012</w:t>
            </w:r>
          </w:p>
        </w:tc>
      </w:tr>
      <w:tr w:rsidR="0089374D" w:rsidRPr="00F71523" w14:paraId="7C70D3D7" w14:textId="77777777" w:rsidTr="00CB066E">
        <w:trPr>
          <w:cantSplit/>
        </w:trPr>
        <w:tc>
          <w:tcPr>
            <w:tcW w:w="14567" w:type="dxa"/>
            <w:gridSpan w:val="6"/>
            <w:shd w:val="clear" w:color="auto" w:fill="F2F2F2" w:themeFill="background1" w:themeFillShade="F2"/>
            <w:hideMark/>
          </w:tcPr>
          <w:p w14:paraId="70BF7823" w14:textId="30FF1C21" w:rsidR="0089374D" w:rsidRPr="00F71523" w:rsidRDefault="0089374D" w:rsidP="00457BDE">
            <w:pPr>
              <w:pStyle w:val="TableText"/>
              <w:keepNext/>
              <w:keepLines/>
              <w:rPr>
                <w:rStyle w:val="CharacterStyle-Bold"/>
              </w:rPr>
            </w:pPr>
            <w:r w:rsidRPr="00F71523">
              <w:rPr>
                <w:rStyle w:val="CharacterStyle-Bold"/>
              </w:rPr>
              <w:lastRenderedPageBreak/>
              <w:t>Landscape and Visual</w:t>
            </w:r>
          </w:p>
        </w:tc>
      </w:tr>
      <w:tr w:rsidR="0089374D" w:rsidRPr="00F71523" w14:paraId="2A8DE586" w14:textId="77777777" w:rsidTr="00CB066E">
        <w:trPr>
          <w:cantSplit/>
        </w:trPr>
        <w:tc>
          <w:tcPr>
            <w:tcW w:w="2046" w:type="dxa"/>
            <w:vMerge w:val="restart"/>
            <w:hideMark/>
          </w:tcPr>
          <w:p w14:paraId="0F7BEC80" w14:textId="77777777" w:rsidR="0089374D" w:rsidRPr="00F71523" w:rsidRDefault="0089374D" w:rsidP="00CB1C25">
            <w:pPr>
              <w:pStyle w:val="TableText"/>
            </w:pPr>
            <w:r w:rsidRPr="00F71523">
              <w:t xml:space="preserve">Landscape, visual and recreational values – To avoid or minimise adverse effects on landscape, visual amenity and recreational values as far as practicable </w:t>
            </w:r>
          </w:p>
        </w:tc>
        <w:tc>
          <w:tcPr>
            <w:tcW w:w="800" w:type="dxa"/>
            <w:hideMark/>
          </w:tcPr>
          <w:p w14:paraId="202C94B0" w14:textId="77777777" w:rsidR="0089374D" w:rsidRPr="00F71523" w:rsidRDefault="0089374D" w:rsidP="00953369">
            <w:pPr>
              <w:pStyle w:val="TableText"/>
              <w:jc w:val="center"/>
            </w:pPr>
            <w:r w:rsidRPr="00F71523">
              <w:t>LV1</w:t>
            </w:r>
          </w:p>
        </w:tc>
        <w:tc>
          <w:tcPr>
            <w:tcW w:w="7894" w:type="dxa"/>
            <w:hideMark/>
          </w:tcPr>
          <w:p w14:paraId="6950E187" w14:textId="0A1C02B4" w:rsidR="0089374D" w:rsidRPr="00F71523" w:rsidRDefault="0089374D" w:rsidP="00CB1C25">
            <w:pPr>
              <w:pStyle w:val="TableText"/>
            </w:pPr>
            <w:r w:rsidRPr="00F71523">
              <w:t xml:space="preserve">Design permanent and temporary works in consultation with local councils and the Office of Victorian Government Architect to comply with the </w:t>
            </w:r>
            <w:r w:rsidR="00CF058D" w:rsidRPr="00F71523">
              <w:t>M</w:t>
            </w:r>
            <w:r w:rsidR="00CF058D">
              <w:t>elbourne Metro</w:t>
            </w:r>
            <w:r w:rsidR="00CF058D" w:rsidRPr="00F71523">
              <w:t xml:space="preserve"> </w:t>
            </w:r>
            <w:r w:rsidRPr="00F71523">
              <w:t>Urban Design Strategy. The design shall avoid or minimise visual impacts on sensitive receptors and maintain broader landscape character values, particularly in relation to:</w:t>
            </w:r>
          </w:p>
          <w:p w14:paraId="5EE8DDB8" w14:textId="77777777" w:rsidR="0089374D" w:rsidRPr="00F71523" w:rsidRDefault="0089374D" w:rsidP="00CB1C25">
            <w:pPr>
              <w:pStyle w:val="TableBullet1"/>
            </w:pPr>
            <w:r w:rsidRPr="00F71523">
              <w:t>Tunnels: Queen Victoria Gardens, Fawkner Park</w:t>
            </w:r>
          </w:p>
          <w:p w14:paraId="268EC857" w14:textId="77777777" w:rsidR="0089374D" w:rsidRPr="00F71523" w:rsidRDefault="0089374D" w:rsidP="00CB1C25">
            <w:pPr>
              <w:pStyle w:val="TableBullet1"/>
            </w:pPr>
            <w:r w:rsidRPr="00F71523">
              <w:t>Western portal: JJ Holland Park</w:t>
            </w:r>
          </w:p>
          <w:p w14:paraId="4EA88C0B" w14:textId="22632410" w:rsidR="0089374D" w:rsidRPr="00F71523" w:rsidRDefault="0089374D" w:rsidP="00CB1C25">
            <w:pPr>
              <w:pStyle w:val="TableBullet1"/>
            </w:pPr>
            <w:r w:rsidRPr="00F71523">
              <w:t>Parkville station: University of Melbourne, Victorian Comprehensive Cancer Centre, Royal Melbourne Hospital, University Square</w:t>
            </w:r>
          </w:p>
          <w:p w14:paraId="3311650D" w14:textId="77777777" w:rsidR="0089374D" w:rsidRPr="00F71523" w:rsidRDefault="0089374D" w:rsidP="00CB1C25">
            <w:pPr>
              <w:pStyle w:val="TableBullet1"/>
            </w:pPr>
            <w:r w:rsidRPr="00F71523">
              <w:t>CBD North station: Royal Melbourne Institute of Technology, the State Library</w:t>
            </w:r>
          </w:p>
          <w:p w14:paraId="3D5E8282" w14:textId="77777777" w:rsidR="0089374D" w:rsidRPr="00F71523" w:rsidRDefault="0089374D" w:rsidP="00CB1C25">
            <w:pPr>
              <w:pStyle w:val="TableBullet1"/>
            </w:pPr>
            <w:r w:rsidRPr="00F71523">
              <w:t>CBD South station: St Paul’s Cathedral, Federation Square, City Square and Flinders Street Station</w:t>
            </w:r>
          </w:p>
          <w:p w14:paraId="6DC18672" w14:textId="77777777" w:rsidR="0089374D" w:rsidRPr="00F71523" w:rsidRDefault="0089374D" w:rsidP="00CB1C25">
            <w:pPr>
              <w:pStyle w:val="TableBullet1"/>
            </w:pPr>
            <w:r w:rsidRPr="00F71523">
              <w:t>Domain station: The Shrine of Remembrance, Albert Road Reserve, Domain Parklands</w:t>
            </w:r>
          </w:p>
          <w:p w14:paraId="344FBFB9" w14:textId="77777777" w:rsidR="0089374D" w:rsidRPr="00F71523" w:rsidRDefault="0089374D" w:rsidP="00CB1C25">
            <w:pPr>
              <w:pStyle w:val="TableBullet1"/>
            </w:pPr>
            <w:r w:rsidRPr="00F71523">
              <w:t>Eastern portal: South Yarra Siding Reserve.</w:t>
            </w:r>
          </w:p>
        </w:tc>
        <w:tc>
          <w:tcPr>
            <w:tcW w:w="1168" w:type="dxa"/>
            <w:hideMark/>
          </w:tcPr>
          <w:p w14:paraId="727ADCDE" w14:textId="77777777" w:rsidR="0089374D" w:rsidRPr="00F71523" w:rsidRDefault="0089374D" w:rsidP="00457BDE">
            <w:pPr>
              <w:pStyle w:val="TableText"/>
            </w:pPr>
            <w:r w:rsidRPr="00F71523">
              <w:t>All</w:t>
            </w:r>
          </w:p>
        </w:tc>
        <w:tc>
          <w:tcPr>
            <w:tcW w:w="1276" w:type="dxa"/>
            <w:hideMark/>
          </w:tcPr>
          <w:p w14:paraId="6E78277B" w14:textId="77777777" w:rsidR="0089374D" w:rsidRPr="00F71523" w:rsidRDefault="0089374D" w:rsidP="00457BDE">
            <w:pPr>
              <w:pStyle w:val="TableText"/>
            </w:pPr>
            <w:r w:rsidRPr="00F71523">
              <w:t>Construction/ Operation</w:t>
            </w:r>
          </w:p>
        </w:tc>
        <w:tc>
          <w:tcPr>
            <w:tcW w:w="1383" w:type="dxa"/>
          </w:tcPr>
          <w:p w14:paraId="128F9D30" w14:textId="2988D5A0" w:rsidR="0089374D" w:rsidRPr="00F71523" w:rsidRDefault="0089374D" w:rsidP="00C712B8">
            <w:pPr>
              <w:pStyle w:val="TableText"/>
              <w:jc w:val="center"/>
            </w:pPr>
            <w:r>
              <w:t>LV001 to LV050</w:t>
            </w:r>
          </w:p>
        </w:tc>
      </w:tr>
      <w:tr w:rsidR="0089374D" w:rsidRPr="00F71523" w14:paraId="55C32B1A" w14:textId="77777777" w:rsidTr="00CB066E">
        <w:trPr>
          <w:cantSplit/>
        </w:trPr>
        <w:tc>
          <w:tcPr>
            <w:tcW w:w="2046" w:type="dxa"/>
            <w:vMerge/>
            <w:hideMark/>
          </w:tcPr>
          <w:p w14:paraId="20AB0A2B" w14:textId="77777777" w:rsidR="0089374D" w:rsidRPr="00F71523" w:rsidRDefault="0089374D" w:rsidP="00CB1C25">
            <w:pPr>
              <w:pStyle w:val="TableText"/>
            </w:pPr>
          </w:p>
        </w:tc>
        <w:tc>
          <w:tcPr>
            <w:tcW w:w="800" w:type="dxa"/>
            <w:hideMark/>
          </w:tcPr>
          <w:p w14:paraId="5CB1C7D8" w14:textId="77777777" w:rsidR="0089374D" w:rsidRPr="00F71523" w:rsidRDefault="0089374D" w:rsidP="00953369">
            <w:pPr>
              <w:pStyle w:val="TableText"/>
              <w:jc w:val="center"/>
            </w:pPr>
            <w:r w:rsidRPr="00F71523">
              <w:t>LV2</w:t>
            </w:r>
          </w:p>
        </w:tc>
        <w:tc>
          <w:tcPr>
            <w:tcW w:w="7894" w:type="dxa"/>
            <w:hideMark/>
          </w:tcPr>
          <w:p w14:paraId="221BCA7E" w14:textId="0EA1694A" w:rsidR="0089374D" w:rsidRPr="00F71523" w:rsidRDefault="0089374D" w:rsidP="001B1B73">
            <w:pPr>
              <w:pStyle w:val="TableText"/>
              <w:rPr>
                <w:highlight w:val="yellow"/>
              </w:rPr>
            </w:pPr>
            <w:r w:rsidRPr="00F71523">
              <w:t xml:space="preserve">Develop and implement a plan in consultation with the Office of Victorian Government Architect, local councils and other land managers to comply with the Melbourne Metro Urban Design Strategy to re-establish public open space, recreation reserves and other valued places disturbed by temporary works. </w:t>
            </w:r>
          </w:p>
          <w:p w14:paraId="34CE7769" w14:textId="1F3405CA" w:rsidR="0089374D" w:rsidRPr="00F71523" w:rsidRDefault="0089374D" w:rsidP="001B1B73">
            <w:pPr>
              <w:pStyle w:val="TableText"/>
              <w:rPr>
                <w:highlight w:val="yellow"/>
              </w:rPr>
            </w:pPr>
            <w:r w:rsidRPr="00F71523">
              <w:t xml:space="preserve">The plan must include, but not be limited to a methodology for storage, reinstatement or replacement of existing public art, monuments and public infrastructure such as poles, bins, and other street furniture. </w:t>
            </w:r>
          </w:p>
        </w:tc>
        <w:tc>
          <w:tcPr>
            <w:tcW w:w="1168" w:type="dxa"/>
            <w:hideMark/>
          </w:tcPr>
          <w:p w14:paraId="6FC7C91D" w14:textId="77777777" w:rsidR="0089374D" w:rsidRPr="00F71523" w:rsidRDefault="0089374D" w:rsidP="00457BDE">
            <w:pPr>
              <w:pStyle w:val="TableText"/>
            </w:pPr>
            <w:r w:rsidRPr="00F71523">
              <w:t>All</w:t>
            </w:r>
          </w:p>
        </w:tc>
        <w:tc>
          <w:tcPr>
            <w:tcW w:w="1276" w:type="dxa"/>
            <w:hideMark/>
          </w:tcPr>
          <w:p w14:paraId="5E7B52CC" w14:textId="77777777" w:rsidR="0089374D" w:rsidRPr="00F71523" w:rsidRDefault="0089374D" w:rsidP="00457BDE">
            <w:pPr>
              <w:pStyle w:val="TableText"/>
            </w:pPr>
            <w:r w:rsidRPr="00F71523">
              <w:t>Construction/ Operation</w:t>
            </w:r>
          </w:p>
        </w:tc>
        <w:tc>
          <w:tcPr>
            <w:tcW w:w="1383" w:type="dxa"/>
          </w:tcPr>
          <w:p w14:paraId="3C24404A" w14:textId="01783485" w:rsidR="0089374D" w:rsidRPr="00F71523" w:rsidRDefault="0089374D" w:rsidP="00C712B8">
            <w:pPr>
              <w:pStyle w:val="TableText"/>
              <w:jc w:val="center"/>
            </w:pPr>
            <w:r>
              <w:t>LV001 to LV050</w:t>
            </w:r>
          </w:p>
        </w:tc>
      </w:tr>
      <w:tr w:rsidR="0089374D" w:rsidRPr="00F71523" w14:paraId="2230EAA1" w14:textId="77777777" w:rsidTr="00CB066E">
        <w:trPr>
          <w:cantSplit/>
        </w:trPr>
        <w:tc>
          <w:tcPr>
            <w:tcW w:w="2046" w:type="dxa"/>
            <w:vMerge/>
            <w:hideMark/>
          </w:tcPr>
          <w:p w14:paraId="3B596494" w14:textId="77777777" w:rsidR="0089374D" w:rsidRPr="00F71523" w:rsidRDefault="0089374D" w:rsidP="00CB1C25">
            <w:pPr>
              <w:pStyle w:val="TableText"/>
            </w:pPr>
          </w:p>
        </w:tc>
        <w:tc>
          <w:tcPr>
            <w:tcW w:w="800" w:type="dxa"/>
            <w:hideMark/>
          </w:tcPr>
          <w:p w14:paraId="6F745D53" w14:textId="77777777" w:rsidR="0089374D" w:rsidRPr="00F71523" w:rsidRDefault="0089374D" w:rsidP="00953369">
            <w:pPr>
              <w:pStyle w:val="TableText"/>
              <w:jc w:val="center"/>
            </w:pPr>
            <w:r w:rsidRPr="00F71523">
              <w:t>LV3</w:t>
            </w:r>
          </w:p>
        </w:tc>
        <w:tc>
          <w:tcPr>
            <w:tcW w:w="7894" w:type="dxa"/>
            <w:hideMark/>
          </w:tcPr>
          <w:p w14:paraId="5E2D3801" w14:textId="77777777" w:rsidR="0089374D" w:rsidRPr="00F71523" w:rsidRDefault="0089374D" w:rsidP="00CB1C25">
            <w:pPr>
              <w:pStyle w:val="TableText"/>
            </w:pPr>
            <w:r w:rsidRPr="00F71523">
              <w:t>Develop and implement measures to minimise light spillage during construction to protect the amenity of adjacent neighbourhoods, parks and community facilities.</w:t>
            </w:r>
          </w:p>
        </w:tc>
        <w:tc>
          <w:tcPr>
            <w:tcW w:w="1168" w:type="dxa"/>
            <w:hideMark/>
          </w:tcPr>
          <w:p w14:paraId="07CA6C23" w14:textId="77777777" w:rsidR="0089374D" w:rsidRPr="00F71523" w:rsidRDefault="0089374D" w:rsidP="00457BDE">
            <w:pPr>
              <w:pStyle w:val="TableText"/>
            </w:pPr>
            <w:r w:rsidRPr="00F71523">
              <w:t>All</w:t>
            </w:r>
          </w:p>
        </w:tc>
        <w:tc>
          <w:tcPr>
            <w:tcW w:w="1276" w:type="dxa"/>
            <w:hideMark/>
          </w:tcPr>
          <w:p w14:paraId="7BA33229" w14:textId="77777777" w:rsidR="0089374D" w:rsidRPr="00F71523" w:rsidRDefault="0089374D" w:rsidP="00457BDE">
            <w:pPr>
              <w:pStyle w:val="TableText"/>
            </w:pPr>
            <w:r w:rsidRPr="00F71523">
              <w:t>Construction</w:t>
            </w:r>
          </w:p>
        </w:tc>
        <w:tc>
          <w:tcPr>
            <w:tcW w:w="1383" w:type="dxa"/>
          </w:tcPr>
          <w:p w14:paraId="3EC8389E" w14:textId="7B8385AD" w:rsidR="0089374D" w:rsidRPr="00F71523" w:rsidRDefault="0089374D" w:rsidP="00C712B8">
            <w:pPr>
              <w:pStyle w:val="TableText"/>
              <w:jc w:val="center"/>
            </w:pPr>
            <w:r>
              <w:t>LV001 to LV025</w:t>
            </w:r>
          </w:p>
        </w:tc>
      </w:tr>
      <w:tr w:rsidR="0089374D" w:rsidRPr="00F71523" w14:paraId="7C55BC25" w14:textId="77777777" w:rsidTr="00CB066E">
        <w:trPr>
          <w:cantSplit/>
        </w:trPr>
        <w:tc>
          <w:tcPr>
            <w:tcW w:w="14567" w:type="dxa"/>
            <w:gridSpan w:val="6"/>
            <w:shd w:val="clear" w:color="auto" w:fill="F2F2F2" w:themeFill="background1" w:themeFillShade="F2"/>
            <w:hideMark/>
          </w:tcPr>
          <w:p w14:paraId="49A5E52D" w14:textId="77777777" w:rsidR="0089374D" w:rsidRPr="00F71523" w:rsidRDefault="0089374D" w:rsidP="00457BDE">
            <w:pPr>
              <w:pStyle w:val="TableText"/>
              <w:keepNext/>
              <w:keepLines/>
              <w:rPr>
                <w:rStyle w:val="CharacterStyle-Bold"/>
              </w:rPr>
            </w:pPr>
            <w:r w:rsidRPr="00F71523">
              <w:rPr>
                <w:rStyle w:val="CharacterStyle-Bold"/>
              </w:rPr>
              <w:lastRenderedPageBreak/>
              <w:t>Contaminated Land and Spoil Management</w:t>
            </w:r>
          </w:p>
        </w:tc>
      </w:tr>
      <w:tr w:rsidR="0089374D" w:rsidRPr="00F71523" w14:paraId="2E238AD0" w14:textId="77777777" w:rsidTr="00CB066E">
        <w:trPr>
          <w:cantSplit/>
        </w:trPr>
        <w:tc>
          <w:tcPr>
            <w:tcW w:w="2046" w:type="dxa"/>
            <w:vMerge w:val="restart"/>
            <w:hideMark/>
          </w:tcPr>
          <w:p w14:paraId="001FDE9E" w14:textId="77777777" w:rsidR="0089374D" w:rsidRPr="00F71523" w:rsidRDefault="0089374D" w:rsidP="00CB1C25">
            <w:pPr>
              <w:pStyle w:val="TableText"/>
            </w:pPr>
            <w:r w:rsidRPr="00F71523">
              <w:t>Hydrology, water quality and waste management: To protect waterways and waterway function and surface water and groundwater quality in accordance with statutory objectives, to identify and prevent potential adverse environmental effects resulting from the disturbance of contaminated or acid-forming material and to manage excavation spoil and other waste in accordance with relevant best practice principles</w:t>
            </w:r>
          </w:p>
        </w:tc>
        <w:tc>
          <w:tcPr>
            <w:tcW w:w="800" w:type="dxa"/>
            <w:hideMark/>
          </w:tcPr>
          <w:p w14:paraId="61ABFA96" w14:textId="77777777" w:rsidR="0089374D" w:rsidRPr="00F71523" w:rsidRDefault="0089374D" w:rsidP="00953369">
            <w:pPr>
              <w:pStyle w:val="TableText"/>
              <w:jc w:val="center"/>
            </w:pPr>
            <w:r w:rsidRPr="00F71523">
              <w:t>C1</w:t>
            </w:r>
          </w:p>
        </w:tc>
        <w:tc>
          <w:tcPr>
            <w:tcW w:w="7894" w:type="dxa"/>
            <w:hideMark/>
          </w:tcPr>
          <w:p w14:paraId="1DB92643" w14:textId="37363861" w:rsidR="0089374D" w:rsidRPr="00F71523" w:rsidRDefault="0089374D" w:rsidP="00CB1C25">
            <w:pPr>
              <w:pStyle w:val="TableText"/>
            </w:pPr>
            <w:r w:rsidRPr="00F71523">
              <w:t>Prior to construction of main works or shafts, prepare and implement a Spoil Management Plan (SMP) in accordance with MMRA’s Spoil Management Strategy and relevant regulations, standards and best practice guidance. The SMP shall be developed in consultation with and to the satisfaction of the EPA. The SMP will include but is not limited to the following:</w:t>
            </w:r>
          </w:p>
          <w:p w14:paraId="62FD8B11" w14:textId="77777777" w:rsidR="0089374D" w:rsidRPr="00F71523" w:rsidRDefault="0089374D" w:rsidP="00CB1C25">
            <w:pPr>
              <w:pStyle w:val="TableBullet1"/>
            </w:pPr>
            <w:r w:rsidRPr="00F71523">
              <w:t>Applicable regulatory requirements</w:t>
            </w:r>
          </w:p>
          <w:p w14:paraId="33CCE3E4" w14:textId="283569B3" w:rsidR="0089374D" w:rsidRPr="00F71523" w:rsidRDefault="0089374D" w:rsidP="00CB1C25">
            <w:pPr>
              <w:pStyle w:val="TableBullet1"/>
            </w:pPr>
            <w:r w:rsidRPr="00F71523">
              <w:t>Identifying nature and extent of spoil (clean fill and contaminated spoil) across all precincts</w:t>
            </w:r>
          </w:p>
          <w:p w14:paraId="564F7E10" w14:textId="77777777" w:rsidR="0089374D" w:rsidRPr="00F71523" w:rsidRDefault="0089374D" w:rsidP="00CB1C25">
            <w:pPr>
              <w:pStyle w:val="TableBullet1"/>
            </w:pPr>
            <w:r w:rsidRPr="00F71523">
              <w:t>Roles and responsibilities</w:t>
            </w:r>
          </w:p>
          <w:p w14:paraId="42A41CA8" w14:textId="710305B2" w:rsidR="0089374D" w:rsidRPr="00F71523" w:rsidRDefault="0089374D" w:rsidP="00CB1C25">
            <w:pPr>
              <w:pStyle w:val="TableBullet1"/>
            </w:pPr>
            <w:r w:rsidRPr="00F71523">
              <w:t>Identification of management measures for handling and transport of spoil for the protection of health and the environment</w:t>
            </w:r>
          </w:p>
          <w:p w14:paraId="2CEC21A3" w14:textId="77777777" w:rsidR="0089374D" w:rsidRPr="00F71523" w:rsidRDefault="0089374D" w:rsidP="00CB1C25">
            <w:pPr>
              <w:pStyle w:val="TableBullet1"/>
            </w:pPr>
            <w:r w:rsidRPr="00F71523">
              <w:t>Identification, design and development of specific environmental management plans for temporary stockpile areas</w:t>
            </w:r>
          </w:p>
          <w:p w14:paraId="79D3446D" w14:textId="77777777" w:rsidR="0089374D" w:rsidRPr="00F71523" w:rsidRDefault="0089374D" w:rsidP="00CB1C25">
            <w:pPr>
              <w:pStyle w:val="TableBullet1"/>
            </w:pPr>
            <w:r w:rsidRPr="00F71523">
              <w:t>Identifying suitable sites for re-use, management or disposal of any spoil</w:t>
            </w:r>
          </w:p>
          <w:p w14:paraId="38F4FE1D" w14:textId="1132A4C0" w:rsidR="0089374D" w:rsidRPr="00F71523" w:rsidRDefault="0089374D" w:rsidP="00CB1C25">
            <w:pPr>
              <w:pStyle w:val="TableBullet1"/>
            </w:pPr>
            <w:r w:rsidRPr="00F71523">
              <w:t>Monitoring and reporting requirements</w:t>
            </w:r>
          </w:p>
          <w:p w14:paraId="485E594A" w14:textId="6E100836" w:rsidR="0089374D" w:rsidRPr="00F71523" w:rsidRDefault="0089374D" w:rsidP="0066216E">
            <w:pPr>
              <w:pStyle w:val="TableBullet1"/>
            </w:pPr>
            <w:r w:rsidRPr="00F71523">
              <w:t>Identifying locations and extent of any prescribed industrial waste (PIW) and characterising PIW spoil prior to excavation</w:t>
            </w:r>
          </w:p>
          <w:p w14:paraId="404BD16F" w14:textId="77777777" w:rsidR="0089374D" w:rsidRPr="00F71523" w:rsidRDefault="0089374D" w:rsidP="0066216E">
            <w:pPr>
              <w:pStyle w:val="TableBullet1"/>
            </w:pPr>
            <w:r w:rsidRPr="00F71523">
              <w:t>Identifying suitable sites for disposal of any PIW.</w:t>
            </w:r>
          </w:p>
          <w:p w14:paraId="08BBDCB4" w14:textId="5EE705A8" w:rsidR="0089374D" w:rsidRPr="00F71523" w:rsidRDefault="0089374D" w:rsidP="00A11774">
            <w:pPr>
              <w:pStyle w:val="TableText"/>
            </w:pPr>
            <w:r w:rsidRPr="00F71523">
              <w:t xml:space="preserve">The SMP shall include sub-plans as appropriate, including but not limited to an Acid </w:t>
            </w:r>
            <w:proofErr w:type="spellStart"/>
            <w:r w:rsidRPr="00F71523">
              <w:t>Sulfate</w:t>
            </w:r>
            <w:proofErr w:type="spellEnd"/>
            <w:r w:rsidRPr="00F71523">
              <w:t xml:space="preserve"> Soil and Rock (ASS/ASR) Management Sub-Plan (Refer to C2).</w:t>
            </w:r>
          </w:p>
        </w:tc>
        <w:tc>
          <w:tcPr>
            <w:tcW w:w="1168" w:type="dxa"/>
            <w:hideMark/>
          </w:tcPr>
          <w:p w14:paraId="2A0EA5C1" w14:textId="77777777" w:rsidR="0089374D" w:rsidRPr="00F71523" w:rsidRDefault="0089374D" w:rsidP="00457BDE">
            <w:pPr>
              <w:pStyle w:val="TableText"/>
            </w:pPr>
            <w:r w:rsidRPr="00F71523">
              <w:t>All</w:t>
            </w:r>
          </w:p>
        </w:tc>
        <w:tc>
          <w:tcPr>
            <w:tcW w:w="1276" w:type="dxa"/>
            <w:hideMark/>
          </w:tcPr>
          <w:p w14:paraId="0EF9B814" w14:textId="77777777" w:rsidR="0089374D" w:rsidRPr="00F71523" w:rsidRDefault="0089374D" w:rsidP="00457BDE">
            <w:pPr>
              <w:pStyle w:val="TableText"/>
            </w:pPr>
            <w:r w:rsidRPr="00F71523">
              <w:t>Construction</w:t>
            </w:r>
          </w:p>
        </w:tc>
        <w:tc>
          <w:tcPr>
            <w:tcW w:w="1383" w:type="dxa"/>
          </w:tcPr>
          <w:p w14:paraId="1D179E60" w14:textId="7FAC3E9C" w:rsidR="0089374D" w:rsidRPr="00F71523" w:rsidRDefault="0089374D" w:rsidP="00836D66">
            <w:pPr>
              <w:pStyle w:val="TableText"/>
              <w:jc w:val="center"/>
            </w:pPr>
            <w:r>
              <w:t xml:space="preserve">CL001, </w:t>
            </w:r>
            <w:r w:rsidRPr="00695870">
              <w:rPr>
                <w:szCs w:val="18"/>
              </w:rPr>
              <w:t>CL016</w:t>
            </w:r>
            <w:r>
              <w:t xml:space="preserve">, </w:t>
            </w:r>
            <w:r>
              <w:rPr>
                <w:szCs w:val="18"/>
              </w:rPr>
              <w:t>CL021 to CL026</w:t>
            </w:r>
            <w:r>
              <w:t xml:space="preserve">, </w:t>
            </w:r>
            <w:r>
              <w:rPr>
                <w:szCs w:val="18"/>
              </w:rPr>
              <w:t>CL043</w:t>
            </w:r>
            <w:r>
              <w:t>, CL048, CL049</w:t>
            </w:r>
          </w:p>
        </w:tc>
      </w:tr>
      <w:tr w:rsidR="0089374D" w:rsidRPr="00F71523" w14:paraId="35BF1584" w14:textId="77777777" w:rsidTr="00CB066E">
        <w:trPr>
          <w:cantSplit/>
        </w:trPr>
        <w:tc>
          <w:tcPr>
            <w:tcW w:w="2046" w:type="dxa"/>
            <w:vMerge/>
            <w:hideMark/>
          </w:tcPr>
          <w:p w14:paraId="24912169" w14:textId="77777777" w:rsidR="0089374D" w:rsidRPr="00F71523" w:rsidRDefault="0089374D" w:rsidP="00CB1C25">
            <w:pPr>
              <w:pStyle w:val="TableText"/>
            </w:pPr>
          </w:p>
        </w:tc>
        <w:tc>
          <w:tcPr>
            <w:tcW w:w="800" w:type="dxa"/>
            <w:hideMark/>
          </w:tcPr>
          <w:p w14:paraId="6EBB766F" w14:textId="77777777" w:rsidR="0089374D" w:rsidRPr="00F71523" w:rsidRDefault="0089374D" w:rsidP="00953369">
            <w:pPr>
              <w:pStyle w:val="TableText"/>
              <w:jc w:val="center"/>
            </w:pPr>
            <w:r w:rsidRPr="00F71523">
              <w:t>C2</w:t>
            </w:r>
          </w:p>
        </w:tc>
        <w:tc>
          <w:tcPr>
            <w:tcW w:w="7894" w:type="dxa"/>
            <w:hideMark/>
          </w:tcPr>
          <w:p w14:paraId="28BB707E" w14:textId="22F55C2F" w:rsidR="0089374D" w:rsidRPr="00F71523" w:rsidRDefault="0089374D" w:rsidP="00CB1C25">
            <w:pPr>
              <w:pStyle w:val="TableText"/>
            </w:pPr>
            <w:r w:rsidRPr="00F71523">
              <w:t xml:space="preserve">Prepare and implement an Acid </w:t>
            </w:r>
            <w:proofErr w:type="spellStart"/>
            <w:r w:rsidRPr="00F71523">
              <w:t>Sulfate</w:t>
            </w:r>
            <w:proofErr w:type="spellEnd"/>
            <w:r w:rsidRPr="00F71523">
              <w:t xml:space="preserve"> Soil and Rock (ASS/ASR) Management Sub-Plan prior to construction of the project as a </w:t>
            </w:r>
            <w:r w:rsidR="00452C01">
              <w:t>s</w:t>
            </w:r>
            <w:r w:rsidRPr="00F71523">
              <w:t>ub-</w:t>
            </w:r>
            <w:r w:rsidR="00452C01">
              <w:t>p</w:t>
            </w:r>
            <w:r w:rsidRPr="00F71523">
              <w:t xml:space="preserve">lan of an overarching SMP in accordance with the </w:t>
            </w:r>
            <w:r w:rsidR="00452C01">
              <w:t>r</w:t>
            </w:r>
            <w:r w:rsidRPr="00F71523">
              <w:t xml:space="preserve">egulations, </w:t>
            </w:r>
            <w:r w:rsidR="00452C01">
              <w:t>s</w:t>
            </w:r>
            <w:r w:rsidRPr="00F71523">
              <w:t>tandards and best practice guidance and to the satisfaction of EPA. This sub-plan will include the general requirements of the SMP and also:</w:t>
            </w:r>
          </w:p>
          <w:p w14:paraId="39D76877" w14:textId="39DE3E2F" w:rsidR="0089374D" w:rsidRPr="00F71523" w:rsidRDefault="0089374D" w:rsidP="00CB1C25">
            <w:pPr>
              <w:pStyle w:val="TableBullet1"/>
            </w:pPr>
            <w:r w:rsidRPr="00F71523">
              <w:t>Identify locations and extent of any potential ASS/ASR</w:t>
            </w:r>
          </w:p>
          <w:p w14:paraId="17CF7D24" w14:textId="1E046A04" w:rsidR="0089374D" w:rsidRPr="00F71523" w:rsidRDefault="0089374D" w:rsidP="00CB1C25">
            <w:pPr>
              <w:pStyle w:val="TableBullet1"/>
            </w:pPr>
            <w:r w:rsidRPr="00F71523">
              <w:t>Characteris</w:t>
            </w:r>
            <w:r w:rsidR="00452C01">
              <w:t xml:space="preserve">e </w:t>
            </w:r>
            <w:r w:rsidRPr="00F71523">
              <w:t>ASS/ASR spoil prior to excavation</w:t>
            </w:r>
          </w:p>
          <w:p w14:paraId="0E0094BD" w14:textId="558449E9" w:rsidR="0089374D" w:rsidRPr="00F71523" w:rsidRDefault="0089374D" w:rsidP="00CB1C25">
            <w:pPr>
              <w:pStyle w:val="TableBullet1"/>
            </w:pPr>
            <w:r w:rsidRPr="00F71523">
              <w:t>Identif</w:t>
            </w:r>
            <w:r w:rsidR="00452C01">
              <w:t xml:space="preserve">y </w:t>
            </w:r>
            <w:r w:rsidRPr="00F71523">
              <w:t>and implement</w:t>
            </w:r>
            <w:r w:rsidR="00452C01">
              <w:t xml:space="preserve"> </w:t>
            </w:r>
            <w:r w:rsidRPr="00F71523">
              <w:t>measures to prevent oxidation of ASS/ASR wherever possible</w:t>
            </w:r>
          </w:p>
          <w:p w14:paraId="4756D526" w14:textId="4F145FBD" w:rsidR="0089374D" w:rsidRPr="00F71523" w:rsidRDefault="0089374D" w:rsidP="00452C01">
            <w:pPr>
              <w:pStyle w:val="TableBullet1"/>
            </w:pPr>
            <w:r w:rsidRPr="00F71523">
              <w:t>Identify</w:t>
            </w:r>
            <w:r w:rsidR="00452C01">
              <w:t xml:space="preserve"> </w:t>
            </w:r>
            <w:r w:rsidRPr="00F71523">
              <w:t>suitable sites for re-use, management or disposal of any ASS/ASR.</w:t>
            </w:r>
          </w:p>
        </w:tc>
        <w:tc>
          <w:tcPr>
            <w:tcW w:w="1168" w:type="dxa"/>
            <w:hideMark/>
          </w:tcPr>
          <w:p w14:paraId="693BFF60" w14:textId="77777777" w:rsidR="0089374D" w:rsidRPr="00F71523" w:rsidRDefault="0089374D" w:rsidP="00457BDE">
            <w:pPr>
              <w:pStyle w:val="TableText"/>
            </w:pPr>
            <w:r w:rsidRPr="00F71523">
              <w:t>All</w:t>
            </w:r>
          </w:p>
        </w:tc>
        <w:tc>
          <w:tcPr>
            <w:tcW w:w="1276" w:type="dxa"/>
            <w:hideMark/>
          </w:tcPr>
          <w:p w14:paraId="3DC0E748" w14:textId="77777777" w:rsidR="0089374D" w:rsidRPr="00F71523" w:rsidRDefault="0089374D" w:rsidP="00457BDE">
            <w:pPr>
              <w:pStyle w:val="TableText"/>
            </w:pPr>
            <w:r w:rsidRPr="00F71523">
              <w:t>Construction</w:t>
            </w:r>
          </w:p>
        </w:tc>
        <w:tc>
          <w:tcPr>
            <w:tcW w:w="1383" w:type="dxa"/>
          </w:tcPr>
          <w:p w14:paraId="2C759418" w14:textId="1637A4C3" w:rsidR="0089374D" w:rsidRPr="00F71523" w:rsidRDefault="0089374D" w:rsidP="00CB066E">
            <w:pPr>
              <w:pStyle w:val="TableText"/>
              <w:jc w:val="center"/>
            </w:pPr>
            <w:r>
              <w:t>CL002, CL005, CL006, CL018, CL044, CL046</w:t>
            </w:r>
          </w:p>
        </w:tc>
      </w:tr>
      <w:tr w:rsidR="0089374D" w:rsidRPr="00F71523" w14:paraId="4FAF22BA" w14:textId="77777777" w:rsidTr="00CB066E">
        <w:trPr>
          <w:cantSplit/>
        </w:trPr>
        <w:tc>
          <w:tcPr>
            <w:tcW w:w="2046" w:type="dxa"/>
            <w:vMerge/>
            <w:hideMark/>
          </w:tcPr>
          <w:p w14:paraId="58A9E65E" w14:textId="77777777" w:rsidR="0089374D" w:rsidRPr="00F71523" w:rsidRDefault="0089374D" w:rsidP="00CB1C25">
            <w:pPr>
              <w:pStyle w:val="TableText"/>
            </w:pPr>
          </w:p>
        </w:tc>
        <w:tc>
          <w:tcPr>
            <w:tcW w:w="800" w:type="dxa"/>
            <w:hideMark/>
          </w:tcPr>
          <w:p w14:paraId="08F785C9" w14:textId="66BF31DB" w:rsidR="0089374D" w:rsidRPr="00F71523" w:rsidRDefault="0089374D" w:rsidP="00953369">
            <w:pPr>
              <w:pStyle w:val="TableText"/>
              <w:jc w:val="center"/>
            </w:pPr>
            <w:r w:rsidRPr="00F71523">
              <w:t>C3</w:t>
            </w:r>
          </w:p>
        </w:tc>
        <w:tc>
          <w:tcPr>
            <w:tcW w:w="7894" w:type="dxa"/>
            <w:hideMark/>
          </w:tcPr>
          <w:p w14:paraId="6D608354" w14:textId="178F0D87" w:rsidR="0089374D" w:rsidRPr="00F71523" w:rsidRDefault="0089374D" w:rsidP="00CB1C25">
            <w:pPr>
              <w:pStyle w:val="TableText"/>
            </w:pPr>
            <w:r w:rsidRPr="00F71523">
              <w:t>Prior to construction of main works or shafts, undertake a remedial options assessment (ROA) for contaminated land. The assessment must:</w:t>
            </w:r>
          </w:p>
          <w:p w14:paraId="670D933C" w14:textId="70C9C655" w:rsidR="0089374D" w:rsidRPr="00F71523" w:rsidRDefault="0089374D" w:rsidP="0066216E">
            <w:pPr>
              <w:pStyle w:val="TableBullet1"/>
            </w:pPr>
            <w:r w:rsidRPr="00F71523">
              <w:t>Consider the outcomes of further investigations</w:t>
            </w:r>
          </w:p>
          <w:p w14:paraId="71D1EE30" w14:textId="45A526E1" w:rsidR="0089374D" w:rsidRPr="00F71523" w:rsidRDefault="0089374D" w:rsidP="0066216E">
            <w:pPr>
              <w:pStyle w:val="TableBullet1"/>
            </w:pPr>
            <w:r w:rsidRPr="00F71523">
              <w:t>Interpret groundwater permeation and VOC result</w:t>
            </w:r>
            <w:r w:rsidR="00666820">
              <w:t>s</w:t>
            </w:r>
          </w:p>
          <w:p w14:paraId="44EDC129" w14:textId="42D447B9" w:rsidR="0089374D" w:rsidRPr="00F71523" w:rsidRDefault="0089374D" w:rsidP="0066216E">
            <w:pPr>
              <w:pStyle w:val="TableBullet1"/>
            </w:pPr>
            <w:r w:rsidRPr="00F71523">
              <w:t>Present and take account of the outcomes of risk assessments</w:t>
            </w:r>
          </w:p>
          <w:p w14:paraId="1AD41722" w14:textId="4A9C09F9" w:rsidR="0089374D" w:rsidRPr="00F71523" w:rsidRDefault="0089374D" w:rsidP="0066216E">
            <w:pPr>
              <w:pStyle w:val="TableBullet1"/>
            </w:pPr>
            <w:r w:rsidRPr="00F71523">
              <w:t>If required, identify remedial options in accordance with relevant regulations, standards and best practice guidance and to the satisfaction of EPA.</w:t>
            </w:r>
          </w:p>
          <w:p w14:paraId="55884625" w14:textId="3BBF0D0D" w:rsidR="0089374D" w:rsidRPr="00F71523" w:rsidRDefault="0089374D" w:rsidP="00815137">
            <w:pPr>
              <w:pStyle w:val="TableText"/>
            </w:pPr>
            <w:r w:rsidRPr="00F71523">
              <w:t>If required, as an outcome of the ROA, prepare a remedial action plan and integrate the remediation approach into the design in accordance with relevant regulations, standards and best practice guidance and to the satisfaction of EPA.</w:t>
            </w:r>
          </w:p>
        </w:tc>
        <w:tc>
          <w:tcPr>
            <w:tcW w:w="1168" w:type="dxa"/>
            <w:hideMark/>
          </w:tcPr>
          <w:p w14:paraId="333AF604" w14:textId="51FC0F6B" w:rsidR="0089374D" w:rsidRPr="00F71523" w:rsidRDefault="0089374D" w:rsidP="00457BDE">
            <w:pPr>
              <w:pStyle w:val="TableText"/>
            </w:pPr>
            <w:r>
              <w:t>All</w:t>
            </w:r>
          </w:p>
        </w:tc>
        <w:tc>
          <w:tcPr>
            <w:tcW w:w="1276" w:type="dxa"/>
            <w:hideMark/>
          </w:tcPr>
          <w:p w14:paraId="77FCD629" w14:textId="77777777" w:rsidR="0089374D" w:rsidRPr="00F71523" w:rsidRDefault="0089374D" w:rsidP="00457BDE">
            <w:pPr>
              <w:pStyle w:val="TableText"/>
            </w:pPr>
            <w:r w:rsidRPr="00F71523">
              <w:t>Construction/ Operation</w:t>
            </w:r>
          </w:p>
        </w:tc>
        <w:tc>
          <w:tcPr>
            <w:tcW w:w="1383" w:type="dxa"/>
          </w:tcPr>
          <w:p w14:paraId="39B0D383" w14:textId="323E188B" w:rsidR="0089374D" w:rsidRPr="00F71523" w:rsidRDefault="0089374D" w:rsidP="0089374D">
            <w:pPr>
              <w:pStyle w:val="TableText"/>
              <w:jc w:val="center"/>
            </w:pPr>
            <w:r>
              <w:t>CL008, CL010, CL013, CL027, CL030, CL033, CL036, CL039, CL040, CL050, CL052, CL054, CL056, CL058</w:t>
            </w:r>
          </w:p>
        </w:tc>
      </w:tr>
      <w:tr w:rsidR="0089374D" w:rsidRPr="00F71523" w14:paraId="6DBCA65C" w14:textId="77777777" w:rsidTr="00CB066E">
        <w:trPr>
          <w:cantSplit/>
        </w:trPr>
        <w:tc>
          <w:tcPr>
            <w:tcW w:w="2046" w:type="dxa"/>
            <w:vMerge/>
            <w:hideMark/>
          </w:tcPr>
          <w:p w14:paraId="0CD4271E" w14:textId="2A9B2ED8" w:rsidR="0089374D" w:rsidRPr="00F71523" w:rsidRDefault="0089374D" w:rsidP="00CB1C25">
            <w:pPr>
              <w:pStyle w:val="TableText"/>
            </w:pPr>
          </w:p>
        </w:tc>
        <w:tc>
          <w:tcPr>
            <w:tcW w:w="800" w:type="dxa"/>
            <w:hideMark/>
          </w:tcPr>
          <w:p w14:paraId="41ED72CE" w14:textId="2B647322" w:rsidR="0089374D" w:rsidRPr="00F71523" w:rsidRDefault="0089374D" w:rsidP="00953369">
            <w:pPr>
              <w:pStyle w:val="TableText"/>
              <w:jc w:val="center"/>
            </w:pPr>
            <w:r w:rsidRPr="00F71523">
              <w:t>C4</w:t>
            </w:r>
          </w:p>
        </w:tc>
        <w:tc>
          <w:tcPr>
            <w:tcW w:w="7894" w:type="dxa"/>
            <w:hideMark/>
          </w:tcPr>
          <w:p w14:paraId="330BE4BF" w14:textId="58181BB3" w:rsidR="0089374D" w:rsidRPr="00F71523" w:rsidRDefault="0089374D" w:rsidP="00CB1C25">
            <w:pPr>
              <w:pStyle w:val="TableText"/>
            </w:pPr>
            <w:r w:rsidRPr="00F71523">
              <w:t>Prior to construction of main works or shafts commencing, prepare and implement a health, safety and environmental plan for the management of hazardous substances. The plan must include but not be limited to:</w:t>
            </w:r>
          </w:p>
          <w:p w14:paraId="086EAB01" w14:textId="7EBF71B8" w:rsidR="0089374D" w:rsidRPr="00F71523" w:rsidRDefault="0089374D" w:rsidP="0066216E">
            <w:pPr>
              <w:pStyle w:val="TableBullet1"/>
            </w:pPr>
            <w:r w:rsidRPr="00F71523">
              <w:t xml:space="preserve">Consideration of the risks associated with exposure to hazardous substances for employees, visitors and general public </w:t>
            </w:r>
          </w:p>
          <w:p w14:paraId="7EB6CEF1" w14:textId="4C8719D3" w:rsidR="0089374D" w:rsidRPr="00F71523" w:rsidRDefault="0089374D" w:rsidP="0066216E">
            <w:pPr>
              <w:pStyle w:val="TableBullet1"/>
            </w:pPr>
            <w:r w:rsidRPr="00F71523">
              <w:t xml:space="preserve">The identification of methods to control such exposure in accordance with relevant regulations, standards and best practice guidance and to the satisfaction of </w:t>
            </w:r>
            <w:proofErr w:type="spellStart"/>
            <w:r w:rsidRPr="00F71523">
              <w:t>WorkSafe</w:t>
            </w:r>
            <w:proofErr w:type="spellEnd"/>
            <w:r w:rsidRPr="00F71523">
              <w:t xml:space="preserve"> and EPA</w:t>
            </w:r>
          </w:p>
          <w:p w14:paraId="3624A878" w14:textId="5340DDED" w:rsidR="0089374D" w:rsidRPr="00F71523" w:rsidRDefault="0089374D" w:rsidP="0066216E">
            <w:pPr>
              <w:pStyle w:val="TableBullet1"/>
            </w:pPr>
            <w:r w:rsidRPr="00F71523">
              <w:t>Method statements detailing monitoring and reporting.</w:t>
            </w:r>
          </w:p>
        </w:tc>
        <w:tc>
          <w:tcPr>
            <w:tcW w:w="1168" w:type="dxa"/>
            <w:hideMark/>
          </w:tcPr>
          <w:p w14:paraId="375FC59B" w14:textId="77777777" w:rsidR="0089374D" w:rsidRPr="00F71523" w:rsidRDefault="0089374D" w:rsidP="00457BDE">
            <w:pPr>
              <w:pStyle w:val="TableText"/>
            </w:pPr>
            <w:r w:rsidRPr="00F71523">
              <w:t>All</w:t>
            </w:r>
          </w:p>
        </w:tc>
        <w:tc>
          <w:tcPr>
            <w:tcW w:w="1276" w:type="dxa"/>
            <w:hideMark/>
          </w:tcPr>
          <w:p w14:paraId="702CA61E" w14:textId="77777777" w:rsidR="0089374D" w:rsidRPr="00F71523" w:rsidRDefault="0089374D" w:rsidP="00457BDE">
            <w:pPr>
              <w:pStyle w:val="TableText"/>
            </w:pPr>
            <w:r w:rsidRPr="00F71523">
              <w:t>Construction</w:t>
            </w:r>
          </w:p>
        </w:tc>
        <w:tc>
          <w:tcPr>
            <w:tcW w:w="1383" w:type="dxa"/>
          </w:tcPr>
          <w:p w14:paraId="7BEDD2CB" w14:textId="2C86FF8A" w:rsidR="0089374D" w:rsidRPr="00F71523" w:rsidRDefault="0089374D" w:rsidP="00953369">
            <w:pPr>
              <w:pStyle w:val="TableText"/>
              <w:jc w:val="center"/>
            </w:pPr>
            <w:r>
              <w:t xml:space="preserve">CL015, </w:t>
            </w:r>
            <w:r w:rsidRPr="00695870">
              <w:rPr>
                <w:szCs w:val="18"/>
              </w:rPr>
              <w:t>CL042</w:t>
            </w:r>
            <w:r>
              <w:t xml:space="preserve">, </w:t>
            </w:r>
            <w:r>
              <w:rPr>
                <w:szCs w:val="18"/>
              </w:rPr>
              <w:t>CL059</w:t>
            </w:r>
          </w:p>
        </w:tc>
      </w:tr>
      <w:tr w:rsidR="0089374D" w:rsidRPr="00F71523" w14:paraId="376DA65B" w14:textId="77777777" w:rsidTr="00CB066E">
        <w:trPr>
          <w:cantSplit/>
        </w:trPr>
        <w:tc>
          <w:tcPr>
            <w:tcW w:w="14567" w:type="dxa"/>
            <w:gridSpan w:val="6"/>
            <w:shd w:val="clear" w:color="auto" w:fill="F2F2F2" w:themeFill="background1" w:themeFillShade="F2"/>
            <w:hideMark/>
          </w:tcPr>
          <w:p w14:paraId="794717EC" w14:textId="6A53426F" w:rsidR="0089374D" w:rsidRPr="00F71523" w:rsidRDefault="0089374D" w:rsidP="00457BDE">
            <w:pPr>
              <w:pStyle w:val="TableText"/>
              <w:keepNext/>
              <w:keepLines/>
              <w:pageBreakBefore/>
              <w:rPr>
                <w:rStyle w:val="CharacterStyle-Bold"/>
              </w:rPr>
            </w:pPr>
            <w:r w:rsidRPr="00F71523">
              <w:rPr>
                <w:rStyle w:val="CharacterStyle-Bold"/>
              </w:rPr>
              <w:lastRenderedPageBreak/>
              <w:t>Groundwater</w:t>
            </w:r>
          </w:p>
        </w:tc>
      </w:tr>
      <w:tr w:rsidR="0089374D" w:rsidRPr="00F71523" w14:paraId="6DE7A451" w14:textId="77777777" w:rsidTr="00CB066E">
        <w:trPr>
          <w:cantSplit/>
        </w:trPr>
        <w:tc>
          <w:tcPr>
            <w:tcW w:w="2046" w:type="dxa"/>
            <w:vMerge w:val="restart"/>
          </w:tcPr>
          <w:p w14:paraId="0493C103" w14:textId="77777777" w:rsidR="0089374D" w:rsidRPr="00F71523" w:rsidRDefault="0089374D" w:rsidP="00CB1C25">
            <w:pPr>
              <w:pStyle w:val="TableText"/>
            </w:pPr>
            <w:r w:rsidRPr="00F71523">
              <w:t>Hydrology, water quality and waste management: To protect waterways and waterway function and surface water and groundwater quality in accordance with statutory objectives, to identify and prevent potential adverse environmental effects resulting from the disturbance of contaminated or acid-forming material and to manage excavation spoil and other waste in accordance with relevant best practice principles</w:t>
            </w:r>
          </w:p>
        </w:tc>
        <w:tc>
          <w:tcPr>
            <w:tcW w:w="800" w:type="dxa"/>
            <w:hideMark/>
          </w:tcPr>
          <w:p w14:paraId="33603C4C" w14:textId="77777777" w:rsidR="0089374D" w:rsidRPr="00F71523" w:rsidRDefault="0089374D" w:rsidP="00953369">
            <w:pPr>
              <w:pStyle w:val="TableText"/>
              <w:jc w:val="center"/>
            </w:pPr>
            <w:r w:rsidRPr="00F71523">
              <w:t>GW1</w:t>
            </w:r>
          </w:p>
        </w:tc>
        <w:tc>
          <w:tcPr>
            <w:tcW w:w="7894" w:type="dxa"/>
            <w:hideMark/>
          </w:tcPr>
          <w:p w14:paraId="0DF60FE5" w14:textId="6B131787" w:rsidR="0089374D" w:rsidRPr="00F71523" w:rsidRDefault="0089374D" w:rsidP="00CB1C25">
            <w:pPr>
              <w:pStyle w:val="TableText"/>
            </w:pPr>
            <w:r w:rsidRPr="00F71523">
              <w:t>Design the tunnel and underground structures so that they minimise groundwater drawdown during construction and operation to minimise impacts on groundwater dependent values, ground movement and contamination plume migration.</w:t>
            </w:r>
          </w:p>
        </w:tc>
        <w:tc>
          <w:tcPr>
            <w:tcW w:w="1168" w:type="dxa"/>
            <w:hideMark/>
          </w:tcPr>
          <w:p w14:paraId="33CC8754" w14:textId="77777777" w:rsidR="0089374D" w:rsidRPr="00F71523" w:rsidRDefault="0089374D" w:rsidP="00457BDE">
            <w:pPr>
              <w:pStyle w:val="TableText"/>
            </w:pPr>
            <w:r w:rsidRPr="00F71523">
              <w:t>All</w:t>
            </w:r>
          </w:p>
        </w:tc>
        <w:tc>
          <w:tcPr>
            <w:tcW w:w="1276" w:type="dxa"/>
            <w:hideMark/>
          </w:tcPr>
          <w:p w14:paraId="487071C3" w14:textId="77777777" w:rsidR="0089374D" w:rsidRPr="00F71523" w:rsidRDefault="0089374D" w:rsidP="00457BDE">
            <w:pPr>
              <w:pStyle w:val="TableText"/>
            </w:pPr>
            <w:r w:rsidRPr="00F71523">
              <w:t>Design</w:t>
            </w:r>
          </w:p>
        </w:tc>
        <w:tc>
          <w:tcPr>
            <w:tcW w:w="1383" w:type="dxa"/>
          </w:tcPr>
          <w:p w14:paraId="1CC93449" w14:textId="306D2D8F" w:rsidR="0089374D" w:rsidRPr="00F71523" w:rsidRDefault="0089374D" w:rsidP="0089374D">
            <w:pPr>
              <w:pStyle w:val="TableText"/>
              <w:jc w:val="center"/>
            </w:pPr>
            <w:r>
              <w:t>GW001 to GW059</w:t>
            </w:r>
          </w:p>
        </w:tc>
      </w:tr>
      <w:tr w:rsidR="0089374D" w:rsidRPr="00F71523" w14:paraId="7C8B5B41" w14:textId="77777777" w:rsidTr="00CB066E">
        <w:trPr>
          <w:cantSplit/>
        </w:trPr>
        <w:tc>
          <w:tcPr>
            <w:tcW w:w="2046" w:type="dxa"/>
            <w:vMerge/>
            <w:hideMark/>
          </w:tcPr>
          <w:p w14:paraId="6A97A26C" w14:textId="77777777" w:rsidR="0089374D" w:rsidRPr="00F71523" w:rsidRDefault="0089374D" w:rsidP="00CB1C25">
            <w:pPr>
              <w:pStyle w:val="TableText"/>
            </w:pPr>
          </w:p>
        </w:tc>
        <w:tc>
          <w:tcPr>
            <w:tcW w:w="800" w:type="dxa"/>
            <w:hideMark/>
          </w:tcPr>
          <w:p w14:paraId="563EF1C2" w14:textId="77777777" w:rsidR="0089374D" w:rsidRPr="00F71523" w:rsidRDefault="0089374D" w:rsidP="00953369">
            <w:pPr>
              <w:pStyle w:val="TableText"/>
              <w:jc w:val="center"/>
            </w:pPr>
            <w:r w:rsidRPr="00F71523">
              <w:t>GW2</w:t>
            </w:r>
          </w:p>
        </w:tc>
        <w:tc>
          <w:tcPr>
            <w:tcW w:w="7894" w:type="dxa"/>
            <w:hideMark/>
          </w:tcPr>
          <w:p w14:paraId="4253B23E" w14:textId="567A89F5" w:rsidR="0089374D" w:rsidRPr="00F71523" w:rsidRDefault="0089374D" w:rsidP="00272AE3">
            <w:pPr>
              <w:pStyle w:val="TableText"/>
            </w:pPr>
            <w:r w:rsidRPr="00F71523">
              <w:t xml:space="preserve">Develop a groundwater model for the detailed design phase to predict impacts associated with any changes to construction techniques or operational design features proposed during detailed design, and reconfirm that the Environmental Performance Requirements and mitigation measures are sufficient to mitigate impacts from changes in groundwater levels, flow and quality. </w:t>
            </w:r>
          </w:p>
          <w:p w14:paraId="47CD883A" w14:textId="1FE9D4E2" w:rsidR="0089374D" w:rsidRPr="00F71523" w:rsidRDefault="0089374D" w:rsidP="00272AE3">
            <w:pPr>
              <w:pStyle w:val="TableText"/>
            </w:pPr>
            <w:r w:rsidRPr="00F71523">
              <w:t>Undertake monitoring during construction to ensure that predictions are accurate and mitigation measures are appropriate.</w:t>
            </w:r>
          </w:p>
        </w:tc>
        <w:tc>
          <w:tcPr>
            <w:tcW w:w="1168" w:type="dxa"/>
            <w:hideMark/>
          </w:tcPr>
          <w:p w14:paraId="32EFF05D" w14:textId="77777777" w:rsidR="0089374D" w:rsidRPr="00F71523" w:rsidRDefault="0089374D" w:rsidP="00457BDE">
            <w:pPr>
              <w:pStyle w:val="TableText"/>
            </w:pPr>
            <w:r w:rsidRPr="00F71523">
              <w:t>All</w:t>
            </w:r>
          </w:p>
        </w:tc>
        <w:tc>
          <w:tcPr>
            <w:tcW w:w="1276" w:type="dxa"/>
            <w:hideMark/>
          </w:tcPr>
          <w:p w14:paraId="39E4EAB7" w14:textId="77777777" w:rsidR="0089374D" w:rsidRPr="00F71523" w:rsidRDefault="0089374D" w:rsidP="00457BDE">
            <w:pPr>
              <w:pStyle w:val="TableText"/>
            </w:pPr>
            <w:r w:rsidRPr="00F71523">
              <w:t>Design</w:t>
            </w:r>
          </w:p>
        </w:tc>
        <w:tc>
          <w:tcPr>
            <w:tcW w:w="1383" w:type="dxa"/>
          </w:tcPr>
          <w:p w14:paraId="1E0D3A89" w14:textId="7997970A" w:rsidR="0089374D" w:rsidRPr="00F71523" w:rsidRDefault="0089374D" w:rsidP="0089374D">
            <w:pPr>
              <w:pStyle w:val="TableText"/>
              <w:jc w:val="center"/>
            </w:pPr>
            <w:r>
              <w:t>GW001 to GW059</w:t>
            </w:r>
          </w:p>
        </w:tc>
      </w:tr>
      <w:tr w:rsidR="0089374D" w:rsidRPr="00F71523" w14:paraId="5FA62CB8" w14:textId="77777777" w:rsidTr="00CB066E">
        <w:trPr>
          <w:cantSplit/>
        </w:trPr>
        <w:tc>
          <w:tcPr>
            <w:tcW w:w="2046" w:type="dxa"/>
            <w:vMerge/>
            <w:hideMark/>
          </w:tcPr>
          <w:p w14:paraId="0938C361" w14:textId="77777777" w:rsidR="0089374D" w:rsidRPr="00F71523" w:rsidRDefault="0089374D" w:rsidP="00CB1C25">
            <w:pPr>
              <w:pStyle w:val="TableText"/>
            </w:pPr>
          </w:p>
        </w:tc>
        <w:tc>
          <w:tcPr>
            <w:tcW w:w="800" w:type="dxa"/>
            <w:hideMark/>
          </w:tcPr>
          <w:p w14:paraId="61AC0FF7" w14:textId="77777777" w:rsidR="0089374D" w:rsidRPr="00F71523" w:rsidRDefault="0089374D" w:rsidP="00953369">
            <w:pPr>
              <w:pStyle w:val="TableText"/>
              <w:jc w:val="center"/>
            </w:pPr>
            <w:r w:rsidRPr="00F71523">
              <w:t>GW3</w:t>
            </w:r>
          </w:p>
        </w:tc>
        <w:tc>
          <w:tcPr>
            <w:tcW w:w="7894" w:type="dxa"/>
            <w:hideMark/>
          </w:tcPr>
          <w:p w14:paraId="5B305E13" w14:textId="77777777" w:rsidR="0089374D" w:rsidRPr="00F71523" w:rsidRDefault="0089374D" w:rsidP="00CB1C25">
            <w:pPr>
              <w:pStyle w:val="TableText"/>
            </w:pPr>
            <w:r w:rsidRPr="00F71523">
              <w:t xml:space="preserve">Develop and implement a Groundwater Management Plan (GMP) detailing groundwater management approaches to address the predicted impacts to groundwater dependent values during construction. </w:t>
            </w:r>
          </w:p>
          <w:p w14:paraId="20ED6B9F" w14:textId="360B55D8" w:rsidR="0089374D" w:rsidRPr="00F71523" w:rsidRDefault="0089374D" w:rsidP="00CB1C25">
            <w:pPr>
              <w:pStyle w:val="TableText"/>
            </w:pPr>
            <w:r w:rsidRPr="00F71523">
              <w:t>The GMP must be based on the detailed design phase groundwater model, and should include the following details:</w:t>
            </w:r>
          </w:p>
          <w:p w14:paraId="4F467406" w14:textId="6BE91123" w:rsidR="0089374D" w:rsidRPr="00F71523" w:rsidRDefault="0089374D" w:rsidP="0066216E">
            <w:pPr>
              <w:pStyle w:val="TableBullet1"/>
            </w:pPr>
            <w:r w:rsidRPr="00F71523">
              <w:t>Approach to collection, treatment and disposal of groundwater collected during construction in accordance with the MMRA Groundwater Disposal Strategy</w:t>
            </w:r>
          </w:p>
          <w:p w14:paraId="5CDDEC09" w14:textId="77777777" w:rsidR="0089374D" w:rsidRPr="00F71523" w:rsidRDefault="0089374D" w:rsidP="0066216E">
            <w:pPr>
              <w:pStyle w:val="TableBullet1"/>
            </w:pPr>
            <w:r w:rsidRPr="00F71523">
              <w:t>Identifying and if necessary, specifying mitigation measures to protect groundwater dependent vegetation during periods of drawdown</w:t>
            </w:r>
          </w:p>
          <w:p w14:paraId="48B4F7A6" w14:textId="4CBF22A0" w:rsidR="0089374D" w:rsidRPr="00F71523" w:rsidRDefault="0089374D" w:rsidP="0066216E">
            <w:pPr>
              <w:pStyle w:val="TableBullet1"/>
            </w:pPr>
            <w:r w:rsidRPr="00F71523">
              <w:t>An approach identified in consultation with the EPA so that contaminant migration cause no significant impacts on beneficial uses and vapour intrusion into underground structures</w:t>
            </w:r>
            <w:r>
              <w:t>,</w:t>
            </w:r>
            <w:r w:rsidRPr="00F71523">
              <w:t xml:space="preserve"> and establish appropriate monitoring networks to confirm effectiveness of approach</w:t>
            </w:r>
          </w:p>
          <w:p w14:paraId="0BD2D9D5" w14:textId="1C1B6C2F" w:rsidR="0089374D" w:rsidRPr="00F71523" w:rsidRDefault="0089374D" w:rsidP="00597F28">
            <w:pPr>
              <w:pStyle w:val="TableBullet1"/>
            </w:pPr>
            <w:r w:rsidRPr="00F71523">
              <w:t>Methods for minimising drawdown in areas of known PASS and establishing appropriate monitoring networks to confirm effectiveness of approach</w:t>
            </w:r>
          </w:p>
        </w:tc>
        <w:tc>
          <w:tcPr>
            <w:tcW w:w="1168" w:type="dxa"/>
            <w:hideMark/>
          </w:tcPr>
          <w:p w14:paraId="32FB6A31" w14:textId="77777777" w:rsidR="0089374D" w:rsidRPr="00F71523" w:rsidRDefault="0089374D" w:rsidP="00457BDE">
            <w:pPr>
              <w:pStyle w:val="TableText"/>
            </w:pPr>
            <w:r w:rsidRPr="00F71523">
              <w:t>All</w:t>
            </w:r>
          </w:p>
        </w:tc>
        <w:tc>
          <w:tcPr>
            <w:tcW w:w="1276" w:type="dxa"/>
            <w:hideMark/>
          </w:tcPr>
          <w:p w14:paraId="72259AE9" w14:textId="77777777" w:rsidR="0089374D" w:rsidRPr="00F71523" w:rsidRDefault="0089374D" w:rsidP="00457BDE">
            <w:pPr>
              <w:pStyle w:val="TableText"/>
            </w:pPr>
            <w:r w:rsidRPr="00F71523">
              <w:t>Construction</w:t>
            </w:r>
          </w:p>
        </w:tc>
        <w:tc>
          <w:tcPr>
            <w:tcW w:w="1383" w:type="dxa"/>
          </w:tcPr>
          <w:p w14:paraId="27B4D6EE" w14:textId="046BBA5A" w:rsidR="0089374D" w:rsidRPr="00F71523" w:rsidRDefault="0089374D" w:rsidP="0089374D">
            <w:pPr>
              <w:pStyle w:val="TableText"/>
              <w:jc w:val="center"/>
            </w:pPr>
            <w:r>
              <w:t>GW001 to GW059</w:t>
            </w:r>
          </w:p>
        </w:tc>
      </w:tr>
      <w:tr w:rsidR="0089374D" w:rsidRPr="00F71523" w14:paraId="5D4D1E87" w14:textId="77777777" w:rsidTr="00CB066E">
        <w:trPr>
          <w:cantSplit/>
        </w:trPr>
        <w:tc>
          <w:tcPr>
            <w:tcW w:w="2046" w:type="dxa"/>
            <w:vMerge w:val="restart"/>
          </w:tcPr>
          <w:p w14:paraId="6C8C8565" w14:textId="77777777" w:rsidR="0089374D" w:rsidRPr="00F71523" w:rsidRDefault="0089374D" w:rsidP="00597F28">
            <w:pPr>
              <w:pStyle w:val="TableText"/>
              <w:pageBreakBefore/>
            </w:pPr>
          </w:p>
        </w:tc>
        <w:tc>
          <w:tcPr>
            <w:tcW w:w="800" w:type="dxa"/>
          </w:tcPr>
          <w:p w14:paraId="65E65B3E" w14:textId="77777777" w:rsidR="0089374D" w:rsidRPr="00F71523" w:rsidRDefault="0089374D" w:rsidP="00953369">
            <w:pPr>
              <w:pStyle w:val="TableText"/>
              <w:jc w:val="center"/>
            </w:pPr>
          </w:p>
        </w:tc>
        <w:tc>
          <w:tcPr>
            <w:tcW w:w="7894" w:type="dxa"/>
          </w:tcPr>
          <w:p w14:paraId="63121167" w14:textId="4A35E253" w:rsidR="0089374D" w:rsidRPr="00F71523" w:rsidRDefault="0089374D" w:rsidP="00E44F30">
            <w:pPr>
              <w:pStyle w:val="TableBullet1"/>
              <w:numPr>
                <w:ilvl w:val="0"/>
                <w:numId w:val="2"/>
              </w:numPr>
            </w:pPr>
            <w:r w:rsidRPr="00F71523">
              <w:t>Methods for minimising drawdown</w:t>
            </w:r>
            <w:r>
              <w:t xml:space="preserve"> </w:t>
            </w:r>
            <w:r w:rsidRPr="00F71523">
              <w:t>at any existing recharge bores, and establishing appropriate monitoring networks to confirm effectiveness of mitigation</w:t>
            </w:r>
          </w:p>
          <w:p w14:paraId="47327D73" w14:textId="77777777" w:rsidR="0089374D" w:rsidRPr="00F71523" w:rsidRDefault="0089374D" w:rsidP="00E44F30">
            <w:pPr>
              <w:pStyle w:val="TableBullet1"/>
              <w:numPr>
                <w:ilvl w:val="0"/>
                <w:numId w:val="2"/>
              </w:numPr>
            </w:pPr>
            <w:r w:rsidRPr="00F71523">
              <w:t xml:space="preserve">Groundwater drawdown trigger levels for groundwater dependant values at which additional mitigation measures must be adopted </w:t>
            </w:r>
          </w:p>
          <w:p w14:paraId="7703873B" w14:textId="77777777" w:rsidR="0089374D" w:rsidRPr="00F71523" w:rsidRDefault="0089374D" w:rsidP="00E44F30">
            <w:pPr>
              <w:pStyle w:val="TableBullet1"/>
              <w:numPr>
                <w:ilvl w:val="0"/>
                <w:numId w:val="2"/>
              </w:numPr>
            </w:pPr>
            <w:r w:rsidRPr="00F71523">
              <w:t xml:space="preserve">Design, operation and management of groundwater injection </w:t>
            </w:r>
            <w:proofErr w:type="spellStart"/>
            <w:r w:rsidRPr="00F71523">
              <w:t>borefields</w:t>
            </w:r>
            <w:proofErr w:type="spellEnd"/>
          </w:p>
          <w:p w14:paraId="5D67D632" w14:textId="4DE86585" w:rsidR="0089374D" w:rsidRPr="00F71523" w:rsidRDefault="0089374D" w:rsidP="00E44F30">
            <w:pPr>
              <w:pStyle w:val="TableBullet1"/>
              <w:numPr>
                <w:ilvl w:val="0"/>
                <w:numId w:val="2"/>
              </w:numPr>
            </w:pPr>
            <w:r w:rsidRPr="00F71523">
              <w:t>Contingency measures if impacts occur at existing active groundwater bores and surface water bodies</w:t>
            </w:r>
          </w:p>
          <w:p w14:paraId="73912E6D" w14:textId="77777777" w:rsidR="0089374D" w:rsidRPr="00F71523" w:rsidRDefault="0089374D" w:rsidP="00E44F30">
            <w:pPr>
              <w:pStyle w:val="TableBullet1"/>
              <w:numPr>
                <w:ilvl w:val="0"/>
                <w:numId w:val="2"/>
              </w:numPr>
            </w:pPr>
            <w:r w:rsidRPr="00F71523">
              <w:t>Contingency measures should unexpected groundwater conditions be encountered.</w:t>
            </w:r>
          </w:p>
          <w:p w14:paraId="23AF0BE0" w14:textId="678B7D80" w:rsidR="0089374D" w:rsidRPr="00F71523" w:rsidRDefault="0089374D" w:rsidP="00E44F30">
            <w:pPr>
              <w:pStyle w:val="TableText"/>
              <w:numPr>
                <w:ilvl w:val="0"/>
                <w:numId w:val="1"/>
              </w:numPr>
            </w:pPr>
            <w:r w:rsidRPr="00F71523">
              <w:t xml:space="preserve">The GMP must satisfy the EPA and relevant water authorities that groundwater dependent values </w:t>
            </w:r>
            <w:r>
              <w:t>would</w:t>
            </w:r>
            <w:r w:rsidRPr="00F71523">
              <w:t xml:space="preserve"> be protected.</w:t>
            </w:r>
          </w:p>
          <w:p w14:paraId="51473490" w14:textId="6D5A7DB3" w:rsidR="0089374D" w:rsidRPr="00F71523" w:rsidRDefault="0089374D" w:rsidP="0064316D">
            <w:pPr>
              <w:pStyle w:val="TableText"/>
            </w:pPr>
            <w:r w:rsidRPr="00F71523">
              <w:t xml:space="preserve">The </w:t>
            </w:r>
            <w:r>
              <w:t>GMP</w:t>
            </w:r>
            <w:r w:rsidRPr="00F71523">
              <w:t xml:space="preserve"> should also address MMRA’s sustainability requirements where appropriate.</w:t>
            </w:r>
          </w:p>
        </w:tc>
        <w:tc>
          <w:tcPr>
            <w:tcW w:w="1168" w:type="dxa"/>
          </w:tcPr>
          <w:p w14:paraId="33B84664" w14:textId="77777777" w:rsidR="0089374D" w:rsidRPr="00F71523" w:rsidRDefault="0089374D" w:rsidP="00457BDE">
            <w:pPr>
              <w:pStyle w:val="TableText"/>
            </w:pPr>
          </w:p>
        </w:tc>
        <w:tc>
          <w:tcPr>
            <w:tcW w:w="1276" w:type="dxa"/>
          </w:tcPr>
          <w:p w14:paraId="3F712825" w14:textId="77777777" w:rsidR="0089374D" w:rsidRPr="00F71523" w:rsidRDefault="0089374D" w:rsidP="00457BDE">
            <w:pPr>
              <w:pStyle w:val="TableText"/>
            </w:pPr>
          </w:p>
        </w:tc>
        <w:tc>
          <w:tcPr>
            <w:tcW w:w="1383" w:type="dxa"/>
          </w:tcPr>
          <w:p w14:paraId="731DE7A8" w14:textId="77777777" w:rsidR="0089374D" w:rsidRPr="00F71523" w:rsidRDefault="0089374D" w:rsidP="0089374D">
            <w:pPr>
              <w:pStyle w:val="TableText"/>
              <w:jc w:val="center"/>
            </w:pPr>
          </w:p>
        </w:tc>
      </w:tr>
      <w:tr w:rsidR="0089374D" w:rsidRPr="00F71523" w14:paraId="0AE6D6DF" w14:textId="77777777" w:rsidTr="00CB066E">
        <w:trPr>
          <w:cantSplit/>
        </w:trPr>
        <w:tc>
          <w:tcPr>
            <w:tcW w:w="2046" w:type="dxa"/>
            <w:vMerge/>
            <w:hideMark/>
          </w:tcPr>
          <w:p w14:paraId="050E7AE5" w14:textId="77777777" w:rsidR="0089374D" w:rsidRPr="00F71523" w:rsidRDefault="0089374D" w:rsidP="00CB1C25">
            <w:pPr>
              <w:pStyle w:val="TableText"/>
            </w:pPr>
          </w:p>
        </w:tc>
        <w:tc>
          <w:tcPr>
            <w:tcW w:w="800" w:type="dxa"/>
            <w:hideMark/>
          </w:tcPr>
          <w:p w14:paraId="178D53D3" w14:textId="77777777" w:rsidR="0089374D" w:rsidRPr="00F71523" w:rsidRDefault="0089374D" w:rsidP="00953369">
            <w:pPr>
              <w:pStyle w:val="TableText"/>
              <w:jc w:val="center"/>
            </w:pPr>
            <w:r w:rsidRPr="00F71523">
              <w:t>GW4</w:t>
            </w:r>
          </w:p>
        </w:tc>
        <w:tc>
          <w:tcPr>
            <w:tcW w:w="7894" w:type="dxa"/>
            <w:hideMark/>
          </w:tcPr>
          <w:p w14:paraId="23D574B6" w14:textId="77777777" w:rsidR="0089374D" w:rsidRPr="00F71523" w:rsidRDefault="0089374D" w:rsidP="00CB1C25">
            <w:pPr>
              <w:pStyle w:val="TableText"/>
            </w:pPr>
            <w:r w:rsidRPr="00F71523">
              <w:t>Use the Groundwater Disposal Strategy and GMP to obtain a Trade Waste Agreement with the relevant Water Retailers for groundwater disposal.</w:t>
            </w:r>
          </w:p>
        </w:tc>
        <w:tc>
          <w:tcPr>
            <w:tcW w:w="1168" w:type="dxa"/>
          </w:tcPr>
          <w:p w14:paraId="4EEB204A" w14:textId="16F8A25E" w:rsidR="0089374D" w:rsidRPr="00F71523" w:rsidRDefault="0089374D" w:rsidP="00457BDE">
            <w:pPr>
              <w:pStyle w:val="TableText"/>
            </w:pPr>
            <w:r w:rsidRPr="00F71523">
              <w:t>All</w:t>
            </w:r>
          </w:p>
        </w:tc>
        <w:tc>
          <w:tcPr>
            <w:tcW w:w="1276" w:type="dxa"/>
          </w:tcPr>
          <w:p w14:paraId="2D429D3C" w14:textId="560EF5CD" w:rsidR="0089374D" w:rsidRPr="00F71523" w:rsidRDefault="0089374D" w:rsidP="00457BDE">
            <w:pPr>
              <w:pStyle w:val="TableText"/>
            </w:pPr>
            <w:r w:rsidRPr="00F71523">
              <w:t>Construction/ Operation</w:t>
            </w:r>
          </w:p>
        </w:tc>
        <w:tc>
          <w:tcPr>
            <w:tcW w:w="1383" w:type="dxa"/>
          </w:tcPr>
          <w:p w14:paraId="6F96E547" w14:textId="3F398B48" w:rsidR="0089374D" w:rsidRPr="00F71523" w:rsidRDefault="0089374D" w:rsidP="00CB066E">
            <w:pPr>
              <w:pStyle w:val="TableText"/>
              <w:jc w:val="center"/>
            </w:pPr>
            <w:r>
              <w:t>GW055, GW056</w:t>
            </w:r>
          </w:p>
        </w:tc>
      </w:tr>
      <w:tr w:rsidR="0089374D" w:rsidRPr="00F71523" w14:paraId="5757770F" w14:textId="77777777" w:rsidTr="00CB066E">
        <w:trPr>
          <w:cantSplit/>
        </w:trPr>
        <w:tc>
          <w:tcPr>
            <w:tcW w:w="2046" w:type="dxa"/>
            <w:vMerge/>
            <w:hideMark/>
          </w:tcPr>
          <w:p w14:paraId="54CDE913" w14:textId="77777777" w:rsidR="0089374D" w:rsidRPr="00F71523" w:rsidRDefault="0089374D" w:rsidP="00CB1C25">
            <w:pPr>
              <w:pStyle w:val="TableText"/>
            </w:pPr>
          </w:p>
        </w:tc>
        <w:tc>
          <w:tcPr>
            <w:tcW w:w="800" w:type="dxa"/>
            <w:hideMark/>
          </w:tcPr>
          <w:p w14:paraId="7A73635A" w14:textId="77777777" w:rsidR="0089374D" w:rsidRPr="00F71523" w:rsidRDefault="0089374D" w:rsidP="00953369">
            <w:pPr>
              <w:pStyle w:val="TableText"/>
              <w:jc w:val="center"/>
            </w:pPr>
            <w:r w:rsidRPr="00F71523">
              <w:t>GW5</w:t>
            </w:r>
          </w:p>
        </w:tc>
        <w:tc>
          <w:tcPr>
            <w:tcW w:w="7894" w:type="dxa"/>
            <w:hideMark/>
          </w:tcPr>
          <w:p w14:paraId="2161F055" w14:textId="22C150F0" w:rsidR="00612922" w:rsidRPr="00F71523" w:rsidRDefault="00612922" w:rsidP="00612922">
            <w:pPr>
              <w:pStyle w:val="TableText"/>
              <w:numPr>
                <w:ilvl w:val="0"/>
                <w:numId w:val="1"/>
              </w:numPr>
            </w:pPr>
            <w:r w:rsidRPr="00F71523">
              <w:t xml:space="preserve">Develop and implement a groundwater monitoring plan as part of the </w:t>
            </w:r>
            <w:r>
              <w:t>GMP</w:t>
            </w:r>
            <w:r w:rsidRPr="00F71523">
              <w:t xml:space="preserve"> </w:t>
            </w:r>
            <w:r>
              <w:t>that details</w:t>
            </w:r>
            <w:r w:rsidRPr="00F71523">
              <w:t xml:space="preserve"> sufficient monitoring of drawdown </w:t>
            </w:r>
            <w:r>
              <w:t>to verify that no significant impacts occur from potential</w:t>
            </w:r>
            <w:r w:rsidRPr="00F71523">
              <w:t>:</w:t>
            </w:r>
          </w:p>
          <w:p w14:paraId="454DC1B3" w14:textId="77777777" w:rsidR="00612922" w:rsidRDefault="00612922" w:rsidP="009D5805">
            <w:pPr>
              <w:pStyle w:val="TableBullet1"/>
            </w:pPr>
            <w:r>
              <w:t>C</w:t>
            </w:r>
            <w:r w:rsidRPr="00F71523">
              <w:t>ontaminant migration on the beneficial uses of groundwater at third party properties caused by drawdown and vapour intrusion to underground structures</w:t>
            </w:r>
          </w:p>
          <w:p w14:paraId="530CBB2E" w14:textId="77777777" w:rsidR="00612922" w:rsidRPr="00F71523" w:rsidRDefault="00612922" w:rsidP="009D5805">
            <w:pPr>
              <w:pStyle w:val="TableBullet1"/>
            </w:pPr>
            <w:r>
              <w:t>Activation of PASS and groundwater acidification</w:t>
            </w:r>
          </w:p>
          <w:p w14:paraId="2A75B4AB" w14:textId="77777777" w:rsidR="00612922" w:rsidRPr="00F71523" w:rsidRDefault="00612922" w:rsidP="009D5805">
            <w:pPr>
              <w:pStyle w:val="TableBullet1"/>
            </w:pPr>
            <w:r>
              <w:t>R</w:t>
            </w:r>
            <w:r w:rsidRPr="00F71523">
              <w:t>eduction in access to water for bore owners in the area around the project</w:t>
            </w:r>
          </w:p>
          <w:p w14:paraId="00A0DF9D" w14:textId="77777777" w:rsidR="00612922" w:rsidRPr="004F3259" w:rsidRDefault="00612922" w:rsidP="009D5805">
            <w:pPr>
              <w:pStyle w:val="TableBullet1"/>
            </w:pPr>
            <w:r>
              <w:t>Reduction in access to groundwater for trees</w:t>
            </w:r>
            <w:r w:rsidRPr="00F71523">
              <w:t>– particularly in the Tunnels precinct between CBD South and Domain stations, and the CBD South station and eastern portal precincts</w:t>
            </w:r>
          </w:p>
          <w:p w14:paraId="28EE8A9B" w14:textId="36AF3532" w:rsidR="00612922" w:rsidRPr="00F71523" w:rsidRDefault="00612922" w:rsidP="00612922">
            <w:pPr>
              <w:pStyle w:val="TableBullet1"/>
            </w:pPr>
            <w:r>
              <w:t>Change in</w:t>
            </w:r>
            <w:r w:rsidRPr="00F71523">
              <w:t xml:space="preserve"> groundwater levels in any existing recharge bores that may be present in the area around the project.</w:t>
            </w:r>
          </w:p>
        </w:tc>
        <w:tc>
          <w:tcPr>
            <w:tcW w:w="1168" w:type="dxa"/>
            <w:hideMark/>
          </w:tcPr>
          <w:p w14:paraId="6248291C" w14:textId="77777777" w:rsidR="0089374D" w:rsidRPr="00F71523" w:rsidRDefault="0089374D" w:rsidP="00457BDE">
            <w:pPr>
              <w:pStyle w:val="TableText"/>
            </w:pPr>
            <w:r w:rsidRPr="00F71523">
              <w:t>All</w:t>
            </w:r>
          </w:p>
        </w:tc>
        <w:tc>
          <w:tcPr>
            <w:tcW w:w="1276" w:type="dxa"/>
            <w:hideMark/>
          </w:tcPr>
          <w:p w14:paraId="055DF7FC" w14:textId="77777777" w:rsidR="0089374D" w:rsidRPr="00F71523" w:rsidRDefault="0089374D" w:rsidP="00457BDE">
            <w:pPr>
              <w:pStyle w:val="TableText"/>
            </w:pPr>
            <w:r w:rsidRPr="00F71523">
              <w:t>Construction</w:t>
            </w:r>
          </w:p>
        </w:tc>
        <w:tc>
          <w:tcPr>
            <w:tcW w:w="1383" w:type="dxa"/>
          </w:tcPr>
          <w:p w14:paraId="00FF25BD" w14:textId="24334D4A" w:rsidR="0089374D" w:rsidRPr="00F71523" w:rsidRDefault="0089374D" w:rsidP="00CB066E">
            <w:pPr>
              <w:pStyle w:val="TableText"/>
              <w:jc w:val="center"/>
            </w:pPr>
            <w:r>
              <w:t>GW017, GW019, GW021, GW025, GW027, GW028, GW029, GW030, GW033, GW038, GW039, GW045, GW046</w:t>
            </w:r>
          </w:p>
        </w:tc>
      </w:tr>
      <w:tr w:rsidR="0089374D" w:rsidRPr="00F71523" w14:paraId="286F100B" w14:textId="77777777" w:rsidTr="00CB066E">
        <w:trPr>
          <w:cantSplit/>
        </w:trPr>
        <w:tc>
          <w:tcPr>
            <w:tcW w:w="2046" w:type="dxa"/>
            <w:vMerge/>
          </w:tcPr>
          <w:p w14:paraId="517F6B84" w14:textId="77777777" w:rsidR="0089374D" w:rsidRPr="00F71523" w:rsidRDefault="0089374D" w:rsidP="00CB1C25">
            <w:pPr>
              <w:pStyle w:val="TableText"/>
            </w:pPr>
          </w:p>
        </w:tc>
        <w:tc>
          <w:tcPr>
            <w:tcW w:w="12521" w:type="dxa"/>
            <w:gridSpan w:val="5"/>
          </w:tcPr>
          <w:p w14:paraId="086511F8" w14:textId="0F2F9DBD" w:rsidR="0089374D" w:rsidRPr="00F71523" w:rsidRDefault="0089374D" w:rsidP="00457BDE">
            <w:pPr>
              <w:pStyle w:val="TableText"/>
            </w:pPr>
            <w:r w:rsidRPr="00F71523">
              <w:rPr>
                <w:b/>
              </w:rPr>
              <w:t>Also refer to the following Environmental Performance Requirements for ‘Groundwater’: GM1, AE3, AE6</w:t>
            </w:r>
          </w:p>
        </w:tc>
      </w:tr>
      <w:tr w:rsidR="0089374D" w:rsidRPr="00F71523" w14:paraId="4245F1D9" w14:textId="77777777" w:rsidTr="00CB066E">
        <w:trPr>
          <w:cantSplit/>
        </w:trPr>
        <w:tc>
          <w:tcPr>
            <w:tcW w:w="14567" w:type="dxa"/>
            <w:gridSpan w:val="6"/>
            <w:shd w:val="clear" w:color="auto" w:fill="F2F2F2" w:themeFill="background1" w:themeFillShade="F2"/>
          </w:tcPr>
          <w:p w14:paraId="47C74243" w14:textId="0DCCD4D3" w:rsidR="0089374D" w:rsidRPr="00F71523" w:rsidRDefault="0089374D" w:rsidP="00457BDE">
            <w:pPr>
              <w:pStyle w:val="TableText"/>
              <w:keepNext/>
              <w:keepLines/>
              <w:rPr>
                <w:rStyle w:val="CharacterStyle-Bold"/>
              </w:rPr>
            </w:pPr>
            <w:r w:rsidRPr="00F71523">
              <w:rPr>
                <w:rStyle w:val="CharacterStyle-Bold"/>
              </w:rPr>
              <w:lastRenderedPageBreak/>
              <w:t>Ground Movement and Land Stability</w:t>
            </w:r>
          </w:p>
        </w:tc>
      </w:tr>
      <w:tr w:rsidR="006278EE" w:rsidRPr="00F71523" w14:paraId="21660685" w14:textId="77777777" w:rsidTr="00CB066E">
        <w:trPr>
          <w:cantSplit/>
        </w:trPr>
        <w:tc>
          <w:tcPr>
            <w:tcW w:w="2046" w:type="dxa"/>
            <w:vMerge w:val="restart"/>
          </w:tcPr>
          <w:p w14:paraId="105BEA67" w14:textId="77777777" w:rsidR="006278EE" w:rsidRPr="00F71523" w:rsidRDefault="006278EE" w:rsidP="00CB1C25">
            <w:pPr>
              <w:pStyle w:val="TableText"/>
            </w:pPr>
            <w:r w:rsidRPr="00F71523">
              <w:t>Land Stability – To avoid or minimise adverse effects on land stability that might arise directly or indirectly from project works</w:t>
            </w:r>
          </w:p>
        </w:tc>
        <w:tc>
          <w:tcPr>
            <w:tcW w:w="800" w:type="dxa"/>
          </w:tcPr>
          <w:p w14:paraId="313C195B" w14:textId="77777777" w:rsidR="006278EE" w:rsidRPr="00F71523" w:rsidRDefault="006278EE" w:rsidP="00953369">
            <w:pPr>
              <w:pStyle w:val="TableText"/>
              <w:jc w:val="center"/>
            </w:pPr>
            <w:r w:rsidRPr="00F71523">
              <w:t>GM1</w:t>
            </w:r>
          </w:p>
        </w:tc>
        <w:tc>
          <w:tcPr>
            <w:tcW w:w="7894" w:type="dxa"/>
          </w:tcPr>
          <w:p w14:paraId="69A58AC7" w14:textId="4E108F6B" w:rsidR="006278EE" w:rsidRPr="00F71523" w:rsidRDefault="006278EE" w:rsidP="00CB1C25">
            <w:pPr>
              <w:pStyle w:val="TableText"/>
            </w:pPr>
            <w:r w:rsidRPr="00F71523">
              <w:t>Develop and maintain geological and groundwater models (as per GW2) which:</w:t>
            </w:r>
          </w:p>
          <w:p w14:paraId="0EC9E284" w14:textId="77777777" w:rsidR="006278EE" w:rsidRPr="00F71523" w:rsidRDefault="006278EE" w:rsidP="00CB066E">
            <w:pPr>
              <w:pStyle w:val="TableBullet1"/>
              <w:spacing w:before="20"/>
            </w:pPr>
            <w:r w:rsidRPr="00F71523">
              <w:t>Use monitored ground movement and ground water levels prior to construction to identify pre-existing movement</w:t>
            </w:r>
          </w:p>
          <w:p w14:paraId="72039CD8" w14:textId="77777777" w:rsidR="006278EE" w:rsidRPr="00F71523" w:rsidRDefault="006278EE" w:rsidP="00CB066E">
            <w:pPr>
              <w:pStyle w:val="TableBullet1"/>
              <w:spacing w:before="20"/>
            </w:pPr>
            <w:r w:rsidRPr="00F71523">
              <w:t>Inform tunnel design and the construction techniques to be applied for the various geological and groundwater conditions</w:t>
            </w:r>
          </w:p>
          <w:p w14:paraId="0FA501D5" w14:textId="1B9BD4B9" w:rsidR="006278EE" w:rsidRPr="00F71523" w:rsidRDefault="006278EE" w:rsidP="00CB066E">
            <w:pPr>
              <w:pStyle w:val="TableBullet1"/>
              <w:spacing w:before="20"/>
            </w:pPr>
            <w:r w:rsidRPr="00F71523">
              <w:t>Assess potential drawdown and identify trigger levels for implementing additional mitigation measures to minimise potential primary consolidation settlement</w:t>
            </w:r>
          </w:p>
          <w:p w14:paraId="4844097E" w14:textId="77777777" w:rsidR="006278EE" w:rsidRPr="00F71523" w:rsidRDefault="006278EE" w:rsidP="00CB066E">
            <w:pPr>
              <w:pStyle w:val="TableBullet1"/>
              <w:spacing w:before="20"/>
            </w:pPr>
            <w:r w:rsidRPr="00F71523">
              <w:t>Assess potential ground movement effects from excavation and identify trigger levels for implementing additional mitigation measures to minimise potential ground movement effects.</w:t>
            </w:r>
          </w:p>
        </w:tc>
        <w:tc>
          <w:tcPr>
            <w:tcW w:w="1168" w:type="dxa"/>
          </w:tcPr>
          <w:p w14:paraId="752CFAB1" w14:textId="77777777" w:rsidR="006278EE" w:rsidRPr="00F71523" w:rsidRDefault="006278EE" w:rsidP="00457BDE">
            <w:pPr>
              <w:pStyle w:val="TableText"/>
            </w:pPr>
            <w:r w:rsidRPr="00F71523">
              <w:t>All</w:t>
            </w:r>
          </w:p>
        </w:tc>
        <w:tc>
          <w:tcPr>
            <w:tcW w:w="1276" w:type="dxa"/>
          </w:tcPr>
          <w:p w14:paraId="599A42EC" w14:textId="77777777" w:rsidR="006278EE" w:rsidRPr="00F71523" w:rsidRDefault="006278EE" w:rsidP="00457BDE">
            <w:pPr>
              <w:pStyle w:val="TableText"/>
            </w:pPr>
            <w:r w:rsidRPr="00F71523">
              <w:t>Design/ Construction</w:t>
            </w:r>
          </w:p>
        </w:tc>
        <w:tc>
          <w:tcPr>
            <w:tcW w:w="1383" w:type="dxa"/>
          </w:tcPr>
          <w:p w14:paraId="0E0643DC" w14:textId="15B1286A" w:rsidR="006278EE" w:rsidRPr="00F71523" w:rsidRDefault="006278EE" w:rsidP="00C712B8">
            <w:pPr>
              <w:pStyle w:val="TableText"/>
              <w:jc w:val="center"/>
            </w:pPr>
            <w:r>
              <w:t>GM001 to GM025</w:t>
            </w:r>
          </w:p>
        </w:tc>
      </w:tr>
      <w:tr w:rsidR="006278EE" w:rsidRPr="00F71523" w14:paraId="3B6CE06A" w14:textId="77777777" w:rsidTr="00CB066E">
        <w:trPr>
          <w:cantSplit/>
        </w:trPr>
        <w:tc>
          <w:tcPr>
            <w:tcW w:w="2046" w:type="dxa"/>
            <w:vMerge/>
          </w:tcPr>
          <w:p w14:paraId="6214ED9D" w14:textId="77777777" w:rsidR="006278EE" w:rsidRPr="00F71523" w:rsidRDefault="006278EE" w:rsidP="00CB1C25">
            <w:pPr>
              <w:pStyle w:val="TableText"/>
            </w:pPr>
          </w:p>
        </w:tc>
        <w:tc>
          <w:tcPr>
            <w:tcW w:w="800" w:type="dxa"/>
          </w:tcPr>
          <w:p w14:paraId="57EC7CF2" w14:textId="77777777" w:rsidR="006278EE" w:rsidRPr="00F71523" w:rsidRDefault="006278EE" w:rsidP="00953369">
            <w:pPr>
              <w:pStyle w:val="TableText"/>
              <w:jc w:val="center"/>
            </w:pPr>
            <w:r w:rsidRPr="00F71523">
              <w:t>GM2</w:t>
            </w:r>
          </w:p>
        </w:tc>
        <w:tc>
          <w:tcPr>
            <w:tcW w:w="7894" w:type="dxa"/>
          </w:tcPr>
          <w:p w14:paraId="268232BF" w14:textId="37282E54" w:rsidR="006278EE" w:rsidRPr="00F71523" w:rsidRDefault="006278EE" w:rsidP="008E2B6E">
            <w:pPr>
              <w:pStyle w:val="TableText"/>
            </w:pPr>
            <w:r w:rsidRPr="00F71523">
              <w:t>Design and construct the permanent structures and temporary works to limit ground movements to within appropriate acceptability criteria (to be determined in consultation with relevant stakeholders) for vertical, horizontal, and angular deformation as appropriate for project activities during the construction and operational phase.</w:t>
            </w:r>
          </w:p>
        </w:tc>
        <w:tc>
          <w:tcPr>
            <w:tcW w:w="1168" w:type="dxa"/>
          </w:tcPr>
          <w:p w14:paraId="6BE19343" w14:textId="77777777" w:rsidR="006278EE" w:rsidRPr="00F71523" w:rsidRDefault="006278EE" w:rsidP="00457BDE">
            <w:pPr>
              <w:pStyle w:val="TableText"/>
            </w:pPr>
            <w:r w:rsidRPr="00F71523">
              <w:t>All</w:t>
            </w:r>
          </w:p>
        </w:tc>
        <w:tc>
          <w:tcPr>
            <w:tcW w:w="1276" w:type="dxa"/>
          </w:tcPr>
          <w:p w14:paraId="47DB754A" w14:textId="411E06CE" w:rsidR="006278EE" w:rsidRPr="00F71523" w:rsidRDefault="006278EE" w:rsidP="00457BDE">
            <w:pPr>
              <w:pStyle w:val="TableText"/>
            </w:pPr>
            <w:r w:rsidRPr="00F71523">
              <w:t>Design</w:t>
            </w:r>
            <w:r>
              <w:t xml:space="preserve">/ </w:t>
            </w:r>
            <w:r w:rsidRPr="00F71523">
              <w:t>Construction</w:t>
            </w:r>
            <w:r>
              <w:t xml:space="preserve">/ </w:t>
            </w:r>
            <w:r w:rsidRPr="00F71523">
              <w:t>Operation</w:t>
            </w:r>
          </w:p>
        </w:tc>
        <w:tc>
          <w:tcPr>
            <w:tcW w:w="1383" w:type="dxa"/>
          </w:tcPr>
          <w:p w14:paraId="492F6CC7" w14:textId="15FFEABF" w:rsidR="006278EE" w:rsidRPr="00F71523" w:rsidRDefault="006278EE" w:rsidP="00953369">
            <w:pPr>
              <w:pStyle w:val="TableText"/>
              <w:jc w:val="center"/>
            </w:pPr>
            <w:r>
              <w:t>GM001 to GM025</w:t>
            </w:r>
          </w:p>
        </w:tc>
      </w:tr>
      <w:tr w:rsidR="006278EE" w:rsidRPr="00F71523" w14:paraId="2244A8C4" w14:textId="77777777" w:rsidTr="00CB066E">
        <w:tc>
          <w:tcPr>
            <w:tcW w:w="2046" w:type="dxa"/>
            <w:vMerge/>
          </w:tcPr>
          <w:p w14:paraId="35D6FCA2" w14:textId="77777777" w:rsidR="006278EE" w:rsidRPr="00F71523" w:rsidRDefault="006278EE" w:rsidP="00CB1C25">
            <w:pPr>
              <w:pStyle w:val="TableText"/>
            </w:pPr>
          </w:p>
        </w:tc>
        <w:tc>
          <w:tcPr>
            <w:tcW w:w="800" w:type="dxa"/>
          </w:tcPr>
          <w:p w14:paraId="13A69850" w14:textId="40A0DE7D" w:rsidR="006278EE" w:rsidRPr="00F71523" w:rsidRDefault="006278EE" w:rsidP="00953369">
            <w:pPr>
              <w:pStyle w:val="TableText"/>
              <w:jc w:val="center"/>
            </w:pPr>
            <w:r w:rsidRPr="00F71523">
              <w:t>GM3</w:t>
            </w:r>
          </w:p>
        </w:tc>
        <w:tc>
          <w:tcPr>
            <w:tcW w:w="7894" w:type="dxa"/>
          </w:tcPr>
          <w:p w14:paraId="792DF725" w14:textId="77777777" w:rsidR="006278EE" w:rsidRPr="00F71523" w:rsidRDefault="006278EE" w:rsidP="00CB1C25">
            <w:pPr>
              <w:pStyle w:val="TableText"/>
            </w:pPr>
            <w:r w:rsidRPr="00F71523">
              <w:t>Develop and implement a ground movement plan for construction and operational phases of the project that:</w:t>
            </w:r>
          </w:p>
          <w:p w14:paraId="736F4E95" w14:textId="438DFE4A" w:rsidR="006278EE" w:rsidRPr="00F71523" w:rsidRDefault="006278EE" w:rsidP="00CB066E">
            <w:pPr>
              <w:pStyle w:val="TableBullet1"/>
              <w:spacing w:before="40"/>
            </w:pPr>
            <w:r w:rsidRPr="00F71523">
              <w:t>Addresses the location of structures/assets which may be susceptible to damage by ground movement resulting from Melbourne Metro works</w:t>
            </w:r>
          </w:p>
          <w:p w14:paraId="1026ABFC" w14:textId="6AF05763" w:rsidR="006278EE" w:rsidRPr="00F71523" w:rsidRDefault="006278EE" w:rsidP="00CB066E">
            <w:pPr>
              <w:pStyle w:val="TableBullet1"/>
              <w:spacing w:before="40"/>
            </w:pPr>
            <w:r w:rsidRPr="00F71523">
              <w:t>Identifies appropriate ground movement impact acceptability criteria for buildings, utilities, trains, trams and pavement after consultation with the various stakeholders</w:t>
            </w:r>
          </w:p>
          <w:p w14:paraId="36A08DC8" w14:textId="4742CC6D" w:rsidR="006278EE" w:rsidRPr="00F71523" w:rsidRDefault="006278EE" w:rsidP="00CB066E">
            <w:pPr>
              <w:pStyle w:val="TableBullet1"/>
              <w:spacing w:before="40"/>
            </w:pPr>
            <w:r w:rsidRPr="00F71523">
              <w:t>Identifies mitigation measures to ensure acceptability criteria can be met</w:t>
            </w:r>
          </w:p>
          <w:p w14:paraId="486C0414" w14:textId="77777777" w:rsidR="006278EE" w:rsidRPr="00F71523" w:rsidRDefault="006278EE" w:rsidP="00CB066E">
            <w:pPr>
              <w:pStyle w:val="TableBullet1"/>
              <w:spacing w:before="40"/>
            </w:pPr>
            <w:r w:rsidRPr="00F71523">
              <w:t>Identifies techniques for limiting settlement of buildings and protecting buildings from damage</w:t>
            </w:r>
          </w:p>
          <w:p w14:paraId="72E5459C" w14:textId="68A94E35" w:rsidR="006278EE" w:rsidRPr="00F71523" w:rsidRDefault="006278EE" w:rsidP="00CB066E">
            <w:pPr>
              <w:pStyle w:val="TableBullet1"/>
              <w:spacing w:before="40"/>
            </w:pPr>
            <w:r w:rsidRPr="00F71523">
              <w:t>Addresses additional measures to be adopted if acceptability criteria are not met such as reinstatement of any property damage</w:t>
            </w:r>
          </w:p>
          <w:p w14:paraId="696377E2" w14:textId="07D0F580" w:rsidR="006278EE" w:rsidRPr="00F71523" w:rsidRDefault="006278EE" w:rsidP="00CB066E">
            <w:pPr>
              <w:pStyle w:val="TableBullet1"/>
              <w:spacing w:before="40"/>
            </w:pPr>
            <w:r w:rsidRPr="00F71523">
              <w:t>Addresses monitoring ground movement surrounding proposed Melbourne Metro works and at the location of various structures/assets to measure consistency with the predicted model</w:t>
            </w:r>
          </w:p>
          <w:p w14:paraId="60AC6369" w14:textId="2D69A643" w:rsidR="006278EE" w:rsidRPr="00F71523" w:rsidRDefault="006278EE" w:rsidP="00CB066E">
            <w:pPr>
              <w:pStyle w:val="TableBullet1"/>
              <w:spacing w:before="40"/>
            </w:pPr>
            <w:r w:rsidRPr="00F71523">
              <w:t xml:space="preserve">Consult with land and assets owners that could potentially be affected and where mitigation measures would be required. </w:t>
            </w:r>
          </w:p>
        </w:tc>
        <w:tc>
          <w:tcPr>
            <w:tcW w:w="1168" w:type="dxa"/>
          </w:tcPr>
          <w:p w14:paraId="506EA928" w14:textId="77777777" w:rsidR="006278EE" w:rsidRPr="00F71523" w:rsidRDefault="006278EE" w:rsidP="00457BDE">
            <w:pPr>
              <w:pStyle w:val="TableText"/>
            </w:pPr>
            <w:r w:rsidRPr="00F71523">
              <w:t>All</w:t>
            </w:r>
          </w:p>
        </w:tc>
        <w:tc>
          <w:tcPr>
            <w:tcW w:w="1276" w:type="dxa"/>
          </w:tcPr>
          <w:p w14:paraId="405C4098" w14:textId="77777777" w:rsidR="006278EE" w:rsidRPr="00F71523" w:rsidRDefault="006278EE" w:rsidP="00457BDE">
            <w:pPr>
              <w:pStyle w:val="TableText"/>
            </w:pPr>
            <w:r w:rsidRPr="00F71523">
              <w:t>Construction/ Operation</w:t>
            </w:r>
          </w:p>
        </w:tc>
        <w:tc>
          <w:tcPr>
            <w:tcW w:w="1383" w:type="dxa"/>
          </w:tcPr>
          <w:p w14:paraId="2E26D1A0" w14:textId="15DD6965" w:rsidR="006278EE" w:rsidRPr="00F71523" w:rsidRDefault="006278EE" w:rsidP="00953369">
            <w:pPr>
              <w:pStyle w:val="TableText"/>
              <w:jc w:val="center"/>
            </w:pPr>
            <w:r>
              <w:t>GM001 to GM025</w:t>
            </w:r>
          </w:p>
        </w:tc>
      </w:tr>
      <w:tr w:rsidR="006278EE" w:rsidRPr="00F71523" w14:paraId="2BDD4293" w14:textId="77777777" w:rsidTr="00CB066E">
        <w:tc>
          <w:tcPr>
            <w:tcW w:w="2046" w:type="dxa"/>
            <w:vMerge w:val="restart"/>
          </w:tcPr>
          <w:p w14:paraId="3F0B1F2D" w14:textId="77777777" w:rsidR="006278EE" w:rsidRPr="00F71523" w:rsidRDefault="006278EE" w:rsidP="00CB066E">
            <w:pPr>
              <w:pStyle w:val="TableText"/>
              <w:widowControl w:val="0"/>
            </w:pPr>
          </w:p>
        </w:tc>
        <w:tc>
          <w:tcPr>
            <w:tcW w:w="800" w:type="dxa"/>
          </w:tcPr>
          <w:p w14:paraId="28B7CF20" w14:textId="422A3493" w:rsidR="006278EE" w:rsidRPr="00F71523" w:rsidRDefault="006278EE" w:rsidP="00CB066E">
            <w:pPr>
              <w:pStyle w:val="TableText"/>
              <w:widowControl w:val="0"/>
              <w:jc w:val="center"/>
            </w:pPr>
            <w:r w:rsidRPr="00F71523">
              <w:t>GM4</w:t>
            </w:r>
          </w:p>
        </w:tc>
        <w:tc>
          <w:tcPr>
            <w:tcW w:w="7894" w:type="dxa"/>
          </w:tcPr>
          <w:p w14:paraId="7A899E2F" w14:textId="682FC5C4" w:rsidR="006278EE" w:rsidRPr="00F71523" w:rsidRDefault="006278EE" w:rsidP="00CB066E">
            <w:pPr>
              <w:pStyle w:val="TableText"/>
              <w:widowControl w:val="0"/>
            </w:pPr>
            <w:r w:rsidRPr="00F71523">
              <w:t>Conduct pre-construction condition surveys for the assets predicted to be affected by ground movement.</w:t>
            </w:r>
          </w:p>
          <w:p w14:paraId="2E91C6EF" w14:textId="69718033" w:rsidR="006278EE" w:rsidRPr="00F71523" w:rsidRDefault="006278EE" w:rsidP="00CB066E">
            <w:pPr>
              <w:pStyle w:val="TableText"/>
              <w:widowControl w:val="0"/>
            </w:pPr>
            <w:r w:rsidRPr="00F71523">
              <w:t>Develop and maintain a data base of as</w:t>
            </w:r>
            <w:r>
              <w:t>-</w:t>
            </w:r>
            <w:r w:rsidRPr="00F71523">
              <w:t>built and pre</w:t>
            </w:r>
            <w:r>
              <w:t>-</w:t>
            </w:r>
            <w:r w:rsidRPr="00F71523">
              <w:t>construction condition information for each potentially affected structure</w:t>
            </w:r>
            <w:r>
              <w:t>,</w:t>
            </w:r>
            <w:r w:rsidRPr="00F71523">
              <w:t xml:space="preserve"> specifically including:</w:t>
            </w:r>
          </w:p>
          <w:p w14:paraId="29897D2B" w14:textId="77777777" w:rsidR="006278EE" w:rsidRPr="00F71523" w:rsidRDefault="006278EE" w:rsidP="00CB066E">
            <w:pPr>
              <w:pStyle w:val="TableBullet1"/>
              <w:widowControl w:val="0"/>
            </w:pPr>
            <w:r w:rsidRPr="00F71523">
              <w:t>Identification of structures/assets which may be susceptible to damage resulting from ground movement resulting from Melbourne Metro works</w:t>
            </w:r>
          </w:p>
          <w:p w14:paraId="1A9392E5" w14:textId="77777777" w:rsidR="006278EE" w:rsidRPr="00F71523" w:rsidRDefault="006278EE" w:rsidP="00CB066E">
            <w:pPr>
              <w:pStyle w:val="TableBullet1"/>
              <w:widowControl w:val="0"/>
            </w:pPr>
            <w:r w:rsidRPr="00F71523">
              <w:t>Results of condition surveys of structures, pavements, significant utilities and parklands to establish baseline conditions and potential vulnerabilities</w:t>
            </w:r>
          </w:p>
          <w:p w14:paraId="2A771E7B" w14:textId="70A9E9D3" w:rsidR="006278EE" w:rsidRPr="00F71523" w:rsidRDefault="006278EE" w:rsidP="00CB066E">
            <w:pPr>
              <w:pStyle w:val="TableBullet1"/>
              <w:widowControl w:val="0"/>
            </w:pPr>
            <w:r w:rsidRPr="00F71523">
              <w:t>Records of consultation with landowners in relation to the condition surveys.</w:t>
            </w:r>
          </w:p>
          <w:p w14:paraId="36D90C82" w14:textId="425019A4" w:rsidR="006278EE" w:rsidRPr="00F71523" w:rsidRDefault="006278EE" w:rsidP="00CB066E">
            <w:pPr>
              <w:pStyle w:val="TableBullet1"/>
              <w:widowControl w:val="0"/>
            </w:pPr>
            <w:r w:rsidRPr="00F71523">
              <w:t>Post</w:t>
            </w:r>
            <w:r>
              <w:t>-</w:t>
            </w:r>
            <w:r w:rsidRPr="00F71523">
              <w:t>construction stage condition surveys conducted, where required, to ascertain if any damage has been caused as a result of Melbourne Metro.</w:t>
            </w:r>
          </w:p>
        </w:tc>
        <w:tc>
          <w:tcPr>
            <w:tcW w:w="1168" w:type="dxa"/>
          </w:tcPr>
          <w:p w14:paraId="3FC19711" w14:textId="77777777" w:rsidR="006278EE" w:rsidRPr="00F71523" w:rsidRDefault="006278EE" w:rsidP="00457BDE">
            <w:pPr>
              <w:pStyle w:val="TableText"/>
              <w:widowControl w:val="0"/>
            </w:pPr>
            <w:r w:rsidRPr="00F71523">
              <w:t>All</w:t>
            </w:r>
          </w:p>
        </w:tc>
        <w:tc>
          <w:tcPr>
            <w:tcW w:w="1276" w:type="dxa"/>
          </w:tcPr>
          <w:p w14:paraId="00CD37BA" w14:textId="77777777" w:rsidR="006278EE" w:rsidRPr="00F71523" w:rsidRDefault="006278EE" w:rsidP="00457BDE">
            <w:pPr>
              <w:pStyle w:val="TableText"/>
              <w:widowControl w:val="0"/>
            </w:pPr>
            <w:r w:rsidRPr="00F71523">
              <w:t>Construction</w:t>
            </w:r>
          </w:p>
        </w:tc>
        <w:tc>
          <w:tcPr>
            <w:tcW w:w="1383" w:type="dxa"/>
          </w:tcPr>
          <w:p w14:paraId="5BDF9829" w14:textId="6A211085" w:rsidR="006278EE" w:rsidRPr="00F71523" w:rsidRDefault="006278EE" w:rsidP="00CB066E">
            <w:pPr>
              <w:pStyle w:val="TableText"/>
              <w:widowControl w:val="0"/>
              <w:jc w:val="center"/>
            </w:pPr>
            <w:r>
              <w:t>GM001 to GM025</w:t>
            </w:r>
          </w:p>
        </w:tc>
      </w:tr>
      <w:tr w:rsidR="006278EE" w:rsidRPr="00F71523" w14:paraId="140D4051" w14:textId="77777777" w:rsidTr="00CB066E">
        <w:tc>
          <w:tcPr>
            <w:tcW w:w="2046" w:type="dxa"/>
            <w:vMerge/>
          </w:tcPr>
          <w:p w14:paraId="624FD2FF" w14:textId="77777777" w:rsidR="006278EE" w:rsidRPr="00F71523" w:rsidRDefault="006278EE" w:rsidP="00CB066E">
            <w:pPr>
              <w:pStyle w:val="TableText"/>
              <w:widowControl w:val="0"/>
            </w:pPr>
          </w:p>
        </w:tc>
        <w:tc>
          <w:tcPr>
            <w:tcW w:w="800" w:type="dxa"/>
          </w:tcPr>
          <w:p w14:paraId="2B5E796C" w14:textId="2CD62BE6" w:rsidR="006278EE" w:rsidRPr="00F71523" w:rsidRDefault="006278EE" w:rsidP="00CB066E">
            <w:pPr>
              <w:pStyle w:val="TableText"/>
              <w:widowControl w:val="0"/>
              <w:jc w:val="center"/>
            </w:pPr>
            <w:r w:rsidRPr="00F71523">
              <w:t>GM5</w:t>
            </w:r>
          </w:p>
        </w:tc>
        <w:tc>
          <w:tcPr>
            <w:tcW w:w="7894" w:type="dxa"/>
          </w:tcPr>
          <w:p w14:paraId="6264F694" w14:textId="27F6720C" w:rsidR="006278EE" w:rsidRPr="00F71523" w:rsidRDefault="006278EE" w:rsidP="00CB066E">
            <w:pPr>
              <w:pStyle w:val="TableText"/>
              <w:widowControl w:val="0"/>
            </w:pPr>
            <w:r w:rsidRPr="00F71523">
              <w:t>Adopt construction techniques for Melbourne Metro to limit ground movement to within appropriate acceptability criteria (to be determined in consultation with relevant stakeholders).</w:t>
            </w:r>
          </w:p>
        </w:tc>
        <w:tc>
          <w:tcPr>
            <w:tcW w:w="1168" w:type="dxa"/>
          </w:tcPr>
          <w:p w14:paraId="56547D81" w14:textId="77777777" w:rsidR="006278EE" w:rsidRPr="00F71523" w:rsidRDefault="006278EE" w:rsidP="00457BDE">
            <w:pPr>
              <w:pStyle w:val="TableText"/>
              <w:widowControl w:val="0"/>
            </w:pPr>
            <w:r w:rsidRPr="00F71523">
              <w:t>All</w:t>
            </w:r>
          </w:p>
        </w:tc>
        <w:tc>
          <w:tcPr>
            <w:tcW w:w="1276" w:type="dxa"/>
          </w:tcPr>
          <w:p w14:paraId="025FB3BB" w14:textId="77777777" w:rsidR="006278EE" w:rsidRPr="00F71523" w:rsidRDefault="006278EE" w:rsidP="00457BDE">
            <w:pPr>
              <w:pStyle w:val="TableText"/>
              <w:widowControl w:val="0"/>
            </w:pPr>
            <w:r w:rsidRPr="00F71523">
              <w:t>Construction</w:t>
            </w:r>
          </w:p>
        </w:tc>
        <w:tc>
          <w:tcPr>
            <w:tcW w:w="1383" w:type="dxa"/>
          </w:tcPr>
          <w:p w14:paraId="2C7EB5B2" w14:textId="1183AD70" w:rsidR="006278EE" w:rsidRPr="00F71523" w:rsidRDefault="006278EE" w:rsidP="00CB066E">
            <w:pPr>
              <w:pStyle w:val="TableText"/>
              <w:widowControl w:val="0"/>
              <w:jc w:val="center"/>
            </w:pPr>
            <w:r>
              <w:t>GM001 to GM025</w:t>
            </w:r>
          </w:p>
        </w:tc>
      </w:tr>
      <w:tr w:rsidR="006278EE" w:rsidRPr="00F71523" w14:paraId="0DE38303" w14:textId="77777777" w:rsidTr="00CB066E">
        <w:tc>
          <w:tcPr>
            <w:tcW w:w="2046" w:type="dxa"/>
            <w:vMerge/>
          </w:tcPr>
          <w:p w14:paraId="7CCA0A24" w14:textId="77777777" w:rsidR="006278EE" w:rsidRPr="00F71523" w:rsidRDefault="006278EE" w:rsidP="00CB066E">
            <w:pPr>
              <w:pStyle w:val="TableText"/>
              <w:widowControl w:val="0"/>
            </w:pPr>
          </w:p>
        </w:tc>
        <w:tc>
          <w:tcPr>
            <w:tcW w:w="800" w:type="dxa"/>
          </w:tcPr>
          <w:p w14:paraId="6DF40328" w14:textId="302F5EF5" w:rsidR="006278EE" w:rsidRPr="00F71523" w:rsidRDefault="006278EE" w:rsidP="00CB066E">
            <w:pPr>
              <w:pStyle w:val="TableText"/>
              <w:widowControl w:val="0"/>
              <w:jc w:val="center"/>
            </w:pPr>
            <w:r w:rsidRPr="00F71523">
              <w:t>GM6</w:t>
            </w:r>
          </w:p>
        </w:tc>
        <w:tc>
          <w:tcPr>
            <w:tcW w:w="7894" w:type="dxa"/>
          </w:tcPr>
          <w:p w14:paraId="452A0DF1" w14:textId="3216217F" w:rsidR="006278EE" w:rsidRPr="00F71523" w:rsidRDefault="006278EE" w:rsidP="00CB066E">
            <w:pPr>
              <w:pStyle w:val="TableText"/>
              <w:widowControl w:val="0"/>
            </w:pPr>
            <w:r w:rsidRPr="00F71523">
              <w:t>For properties and assets affected by ground movement, undertake any required repair works.</w:t>
            </w:r>
          </w:p>
        </w:tc>
        <w:tc>
          <w:tcPr>
            <w:tcW w:w="1168" w:type="dxa"/>
          </w:tcPr>
          <w:p w14:paraId="7965AC7E" w14:textId="20B2FC04" w:rsidR="006278EE" w:rsidRPr="00F71523" w:rsidRDefault="006278EE" w:rsidP="00457BDE">
            <w:pPr>
              <w:pStyle w:val="TableText"/>
              <w:widowControl w:val="0"/>
            </w:pPr>
            <w:r w:rsidRPr="00F71523">
              <w:t>All</w:t>
            </w:r>
          </w:p>
        </w:tc>
        <w:tc>
          <w:tcPr>
            <w:tcW w:w="1276" w:type="dxa"/>
          </w:tcPr>
          <w:p w14:paraId="4C9744B9" w14:textId="0D7AF28F" w:rsidR="006278EE" w:rsidRPr="00F71523" w:rsidRDefault="006278EE" w:rsidP="00457BDE">
            <w:pPr>
              <w:pStyle w:val="TableText"/>
              <w:widowControl w:val="0"/>
            </w:pPr>
            <w:r w:rsidRPr="00F71523">
              <w:t>Construction</w:t>
            </w:r>
          </w:p>
        </w:tc>
        <w:tc>
          <w:tcPr>
            <w:tcW w:w="1383" w:type="dxa"/>
          </w:tcPr>
          <w:p w14:paraId="62345D13" w14:textId="03A1637B" w:rsidR="006278EE" w:rsidRPr="00F71523" w:rsidRDefault="006278EE" w:rsidP="00CB066E">
            <w:pPr>
              <w:pStyle w:val="TableText"/>
              <w:widowControl w:val="0"/>
              <w:jc w:val="center"/>
            </w:pPr>
            <w:r>
              <w:t>GM001 to GM025</w:t>
            </w:r>
          </w:p>
        </w:tc>
      </w:tr>
      <w:tr w:rsidR="006278EE" w:rsidRPr="00F71523" w14:paraId="2F1EE528" w14:textId="77777777" w:rsidTr="00CB066E">
        <w:trPr>
          <w:cantSplit/>
        </w:trPr>
        <w:tc>
          <w:tcPr>
            <w:tcW w:w="2046" w:type="dxa"/>
            <w:vMerge/>
          </w:tcPr>
          <w:p w14:paraId="28A04C50" w14:textId="77777777" w:rsidR="006278EE" w:rsidRPr="00F71523" w:rsidRDefault="006278EE" w:rsidP="00CB1C25">
            <w:pPr>
              <w:pStyle w:val="TableText"/>
            </w:pPr>
          </w:p>
        </w:tc>
        <w:tc>
          <w:tcPr>
            <w:tcW w:w="12521" w:type="dxa"/>
            <w:gridSpan w:val="5"/>
          </w:tcPr>
          <w:p w14:paraId="40379368" w14:textId="0286193D" w:rsidR="006278EE" w:rsidRPr="00F71523" w:rsidRDefault="006278EE" w:rsidP="00457BDE">
            <w:pPr>
              <w:pStyle w:val="TableText"/>
            </w:pPr>
            <w:r w:rsidRPr="00F71523">
              <w:rPr>
                <w:b/>
              </w:rPr>
              <w:t>Also refer to the following Environmental Performance Requirements for ‘Ground Movement and Land Stability’: GW1, GW3, CH2</w:t>
            </w:r>
          </w:p>
        </w:tc>
      </w:tr>
      <w:tr w:rsidR="0089374D" w:rsidRPr="00F71523" w14:paraId="6955B0F3" w14:textId="77777777" w:rsidTr="00CB066E">
        <w:trPr>
          <w:cantSplit/>
        </w:trPr>
        <w:tc>
          <w:tcPr>
            <w:tcW w:w="14567" w:type="dxa"/>
            <w:gridSpan w:val="6"/>
            <w:shd w:val="clear" w:color="auto" w:fill="F2F2F2" w:themeFill="background1" w:themeFillShade="F2"/>
            <w:hideMark/>
          </w:tcPr>
          <w:p w14:paraId="5B6914F4" w14:textId="77777777" w:rsidR="0089374D" w:rsidRPr="00F71523" w:rsidRDefault="0089374D" w:rsidP="00457BDE">
            <w:pPr>
              <w:pStyle w:val="TableText"/>
              <w:keepNext/>
              <w:keepLines/>
              <w:rPr>
                <w:rStyle w:val="CharacterStyle-Bold"/>
              </w:rPr>
            </w:pPr>
            <w:r w:rsidRPr="00F71523">
              <w:rPr>
                <w:rStyle w:val="CharacterStyle-Bold"/>
              </w:rPr>
              <w:lastRenderedPageBreak/>
              <w:t>Surface Water</w:t>
            </w:r>
          </w:p>
        </w:tc>
      </w:tr>
      <w:tr w:rsidR="0089374D" w:rsidRPr="00F71523" w14:paraId="0509B23E" w14:textId="77777777" w:rsidTr="00CB066E">
        <w:trPr>
          <w:cantSplit/>
        </w:trPr>
        <w:tc>
          <w:tcPr>
            <w:tcW w:w="2046" w:type="dxa"/>
            <w:vMerge w:val="restart"/>
            <w:hideMark/>
          </w:tcPr>
          <w:p w14:paraId="17725217" w14:textId="77777777" w:rsidR="0089374D" w:rsidRPr="00F71523" w:rsidRDefault="0089374D" w:rsidP="00CB1C25">
            <w:pPr>
              <w:pStyle w:val="TableText"/>
            </w:pPr>
            <w:r w:rsidRPr="00F71523">
              <w:t>Hydrology, water quality and waste management: To protect waterways and waterway function and surface water and groundwater quality in accordance with statutory objectives, to identify and prevent potential adverse environmental effects resulting from the disturbance of contaminated or acid-forming material and to manage excavation spoil and other waste in accordance with relevant best practice principles</w:t>
            </w:r>
          </w:p>
        </w:tc>
        <w:tc>
          <w:tcPr>
            <w:tcW w:w="800" w:type="dxa"/>
            <w:hideMark/>
          </w:tcPr>
          <w:p w14:paraId="17C400D8" w14:textId="77777777" w:rsidR="0089374D" w:rsidRPr="00F71523" w:rsidRDefault="0089374D" w:rsidP="00953369">
            <w:pPr>
              <w:pStyle w:val="TableText"/>
              <w:jc w:val="center"/>
            </w:pPr>
            <w:r w:rsidRPr="00F71523">
              <w:t>SW1</w:t>
            </w:r>
          </w:p>
        </w:tc>
        <w:tc>
          <w:tcPr>
            <w:tcW w:w="7894" w:type="dxa"/>
          </w:tcPr>
          <w:p w14:paraId="25619DA5" w14:textId="5A9E4EF7" w:rsidR="0089374D" w:rsidRPr="00F71523" w:rsidRDefault="0089374D" w:rsidP="005B0134">
            <w:pPr>
              <w:pStyle w:val="TableText"/>
            </w:pPr>
            <w:r w:rsidRPr="00F71523">
              <w:t>For all precin</w:t>
            </w:r>
            <w:r>
              <w:t>cts (with the exception of the w</w:t>
            </w:r>
            <w:r w:rsidRPr="00F71523">
              <w:t xml:space="preserve">estern </w:t>
            </w:r>
            <w:proofErr w:type="spellStart"/>
            <w:r w:rsidRPr="00F71523">
              <w:t>turnback</w:t>
            </w:r>
            <w:proofErr w:type="spellEnd"/>
            <w:r w:rsidRPr="00F71523">
              <w:t xml:space="preserve">) design permanent and temporary works and, if necessary, develop and implement emergency flood management measures for the tunnels, tunnel portals, access shafts, station entrances and Arden electrical substation to provide appropriate protection against floodwaters and overland stormwater flows. </w:t>
            </w:r>
          </w:p>
          <w:p w14:paraId="556112B1" w14:textId="2CE990A5" w:rsidR="0089374D" w:rsidRPr="00F71523" w:rsidRDefault="0089374D" w:rsidP="005B0134">
            <w:pPr>
              <w:pStyle w:val="TableText"/>
            </w:pPr>
            <w:r w:rsidRPr="00F71523">
              <w:t>This would be informed by a flood immunity risk assessment that considers a range of events, and to the requirements and satisfaction of the responsible authority.</w:t>
            </w:r>
          </w:p>
        </w:tc>
        <w:tc>
          <w:tcPr>
            <w:tcW w:w="1168" w:type="dxa"/>
            <w:hideMark/>
          </w:tcPr>
          <w:p w14:paraId="133FE657" w14:textId="1B6DB406" w:rsidR="0089374D" w:rsidRPr="00F71523" w:rsidRDefault="0089374D" w:rsidP="00457BDE">
            <w:pPr>
              <w:pStyle w:val="TableText"/>
            </w:pPr>
            <w:r w:rsidRPr="00F71523">
              <w:t xml:space="preserve">All (except </w:t>
            </w:r>
            <w:r>
              <w:t>w</w:t>
            </w:r>
            <w:r w:rsidRPr="00F71523">
              <w:t xml:space="preserve">estern </w:t>
            </w:r>
            <w:proofErr w:type="spellStart"/>
            <w:r w:rsidRPr="00F71523">
              <w:t>turnback</w:t>
            </w:r>
            <w:proofErr w:type="spellEnd"/>
            <w:r w:rsidRPr="00F71523">
              <w:t>)</w:t>
            </w:r>
          </w:p>
        </w:tc>
        <w:tc>
          <w:tcPr>
            <w:tcW w:w="1276" w:type="dxa"/>
            <w:hideMark/>
          </w:tcPr>
          <w:p w14:paraId="15744A7C" w14:textId="77777777" w:rsidR="0089374D" w:rsidRPr="00F71523" w:rsidRDefault="0089374D" w:rsidP="00457BDE">
            <w:pPr>
              <w:pStyle w:val="TableText"/>
            </w:pPr>
            <w:r w:rsidRPr="00F71523">
              <w:t>Construction/ Operation</w:t>
            </w:r>
          </w:p>
        </w:tc>
        <w:tc>
          <w:tcPr>
            <w:tcW w:w="1383" w:type="dxa"/>
          </w:tcPr>
          <w:p w14:paraId="295A3756" w14:textId="5FAF3AE1" w:rsidR="0089374D" w:rsidRPr="00F71523" w:rsidRDefault="0089374D" w:rsidP="00C712B8">
            <w:pPr>
              <w:pStyle w:val="TableText"/>
              <w:jc w:val="center"/>
            </w:pPr>
            <w:r>
              <w:t>SW001 to SW003, SW005, SW007, SW009, SW010, SW011, SW014, SW015, SW018, SW019, SW022, SW024, SW025, SW027, SW029, SW030 to SW032</w:t>
            </w:r>
          </w:p>
        </w:tc>
      </w:tr>
      <w:tr w:rsidR="0089374D" w:rsidRPr="00F71523" w14:paraId="6EBB070B" w14:textId="77777777" w:rsidTr="00CB066E">
        <w:trPr>
          <w:cantSplit/>
        </w:trPr>
        <w:tc>
          <w:tcPr>
            <w:tcW w:w="2046" w:type="dxa"/>
            <w:vMerge/>
            <w:hideMark/>
          </w:tcPr>
          <w:p w14:paraId="60079963" w14:textId="77777777" w:rsidR="0089374D" w:rsidRPr="00F71523" w:rsidRDefault="0089374D" w:rsidP="00CB1C25">
            <w:pPr>
              <w:pStyle w:val="TableText"/>
            </w:pPr>
          </w:p>
        </w:tc>
        <w:tc>
          <w:tcPr>
            <w:tcW w:w="800" w:type="dxa"/>
          </w:tcPr>
          <w:p w14:paraId="1E9452E5" w14:textId="77777777" w:rsidR="0089374D" w:rsidRPr="00F71523" w:rsidRDefault="0089374D" w:rsidP="00953369">
            <w:pPr>
              <w:pStyle w:val="TableText"/>
              <w:jc w:val="center"/>
            </w:pPr>
            <w:r w:rsidRPr="00F71523">
              <w:t>SW2</w:t>
            </w:r>
          </w:p>
        </w:tc>
        <w:tc>
          <w:tcPr>
            <w:tcW w:w="7894" w:type="dxa"/>
            <w:hideMark/>
          </w:tcPr>
          <w:p w14:paraId="3B3CCC32" w14:textId="77777777" w:rsidR="0089374D" w:rsidRPr="00F71523" w:rsidRDefault="0089374D" w:rsidP="00CB1C25">
            <w:pPr>
              <w:pStyle w:val="TableText"/>
            </w:pPr>
            <w:r w:rsidRPr="00F71523">
              <w:t>For all precincts:</w:t>
            </w:r>
          </w:p>
          <w:p w14:paraId="26726C10" w14:textId="77777777" w:rsidR="0089374D" w:rsidRPr="00F71523" w:rsidRDefault="0089374D" w:rsidP="00CB1C25">
            <w:pPr>
              <w:pStyle w:val="TableBullet1"/>
            </w:pPr>
            <w:r w:rsidRPr="00F71523">
              <w:t>Maintain existing flood plain storage capacity potentially impacted by the project, to the requirements and satisfaction of the responsible authority</w:t>
            </w:r>
          </w:p>
          <w:p w14:paraId="0EA869BF" w14:textId="77777777" w:rsidR="0089374D" w:rsidRPr="00F71523" w:rsidRDefault="0089374D" w:rsidP="00CB1C25">
            <w:pPr>
              <w:pStyle w:val="TableBullet1"/>
            </w:pPr>
            <w:r w:rsidRPr="00F71523">
              <w:t>Permanent and associated temporary construction works must not increase flood levels that result in an additional flood risk to the requirements and satisfaction of the responsible authority</w:t>
            </w:r>
          </w:p>
          <w:p w14:paraId="6DED863F" w14:textId="77777777" w:rsidR="0089374D" w:rsidRPr="00F71523" w:rsidRDefault="0089374D" w:rsidP="00CB1C25">
            <w:pPr>
              <w:pStyle w:val="TableBullet1"/>
            </w:pPr>
            <w:r w:rsidRPr="00F71523">
              <w:t>Ensure permanent and associated temporary works do not increase flow velocities that would potentially affect the stability of property, structures or assets, and/or result in erosion during operation or construction, to the requirements and satisfaction of the responsible authority</w:t>
            </w:r>
          </w:p>
          <w:p w14:paraId="4C441220" w14:textId="77777777" w:rsidR="0089374D" w:rsidRPr="00F71523" w:rsidRDefault="0089374D" w:rsidP="00CB1C25">
            <w:pPr>
              <w:pStyle w:val="TableBullet1"/>
            </w:pPr>
            <w:r w:rsidRPr="00F71523">
              <w:t>Undertake modelling of the design of permanent and temporary works to demonstrate the resultant flood levels and risk profile to the satisfaction of the responsible authority.</w:t>
            </w:r>
          </w:p>
        </w:tc>
        <w:tc>
          <w:tcPr>
            <w:tcW w:w="1168" w:type="dxa"/>
            <w:hideMark/>
          </w:tcPr>
          <w:p w14:paraId="6A783D8C" w14:textId="77777777" w:rsidR="0089374D" w:rsidRPr="00F71523" w:rsidRDefault="0089374D" w:rsidP="00457BDE">
            <w:pPr>
              <w:pStyle w:val="TableText"/>
            </w:pPr>
            <w:r w:rsidRPr="00F71523">
              <w:t>All</w:t>
            </w:r>
          </w:p>
        </w:tc>
        <w:tc>
          <w:tcPr>
            <w:tcW w:w="1276" w:type="dxa"/>
          </w:tcPr>
          <w:p w14:paraId="21DE2197" w14:textId="77777777" w:rsidR="0089374D" w:rsidRPr="00F71523" w:rsidRDefault="0089374D" w:rsidP="00457BDE">
            <w:pPr>
              <w:pStyle w:val="TableText"/>
            </w:pPr>
            <w:r w:rsidRPr="00F71523">
              <w:t>Construction/ Operation</w:t>
            </w:r>
          </w:p>
        </w:tc>
        <w:tc>
          <w:tcPr>
            <w:tcW w:w="1383" w:type="dxa"/>
          </w:tcPr>
          <w:p w14:paraId="61BB6FC0" w14:textId="5A2E3FDA" w:rsidR="0089374D" w:rsidRPr="00F71523" w:rsidRDefault="0089374D" w:rsidP="00AA412A">
            <w:pPr>
              <w:pStyle w:val="TableText"/>
              <w:jc w:val="center"/>
            </w:pPr>
            <w:r>
              <w:t>SW004, SW006, SW008, SW012, SW013, SW016, SW017, SW020, SW021, SW023, SW026, SW028, SW033, SW034</w:t>
            </w:r>
          </w:p>
        </w:tc>
      </w:tr>
      <w:tr w:rsidR="0089374D" w:rsidRPr="00F71523" w14:paraId="183357C7" w14:textId="77777777" w:rsidTr="00CB066E">
        <w:trPr>
          <w:cantSplit/>
        </w:trPr>
        <w:tc>
          <w:tcPr>
            <w:tcW w:w="2046" w:type="dxa"/>
            <w:vMerge/>
            <w:hideMark/>
          </w:tcPr>
          <w:p w14:paraId="180A1939" w14:textId="77777777" w:rsidR="0089374D" w:rsidRPr="00F71523" w:rsidRDefault="0089374D" w:rsidP="00CB1C25">
            <w:pPr>
              <w:pStyle w:val="TableText"/>
            </w:pPr>
          </w:p>
        </w:tc>
        <w:tc>
          <w:tcPr>
            <w:tcW w:w="12521" w:type="dxa"/>
            <w:gridSpan w:val="5"/>
          </w:tcPr>
          <w:p w14:paraId="56766CA8" w14:textId="43753A7C" w:rsidR="0089374D" w:rsidRPr="00F71523" w:rsidRDefault="0089374D" w:rsidP="00457BDE">
            <w:pPr>
              <w:pStyle w:val="TableText"/>
              <w:rPr>
                <w:b/>
              </w:rPr>
            </w:pPr>
            <w:r w:rsidRPr="00F71523">
              <w:rPr>
                <w:b/>
              </w:rPr>
              <w:t>Also refer to the following Environmental Performance Requirements for ‘Surface Water’: AE6</w:t>
            </w:r>
          </w:p>
        </w:tc>
      </w:tr>
      <w:tr w:rsidR="0089374D" w:rsidRPr="00F71523" w14:paraId="1C911876" w14:textId="77777777" w:rsidTr="00CB066E">
        <w:trPr>
          <w:cantSplit/>
        </w:trPr>
        <w:tc>
          <w:tcPr>
            <w:tcW w:w="14567" w:type="dxa"/>
            <w:gridSpan w:val="6"/>
            <w:shd w:val="clear" w:color="auto" w:fill="F2F2F2" w:themeFill="background1" w:themeFillShade="F2"/>
            <w:hideMark/>
          </w:tcPr>
          <w:p w14:paraId="04BB329B" w14:textId="77777777" w:rsidR="0089374D" w:rsidRPr="00F71523" w:rsidRDefault="0089374D" w:rsidP="00457BDE">
            <w:pPr>
              <w:pStyle w:val="TableText"/>
              <w:keepNext/>
              <w:keepLines/>
              <w:rPr>
                <w:rStyle w:val="CharacterStyle-Bold"/>
              </w:rPr>
            </w:pPr>
            <w:r w:rsidRPr="00F71523">
              <w:rPr>
                <w:rStyle w:val="CharacterStyle-Bold"/>
              </w:rPr>
              <w:lastRenderedPageBreak/>
              <w:t>Aquatic ecology and river health</w:t>
            </w:r>
          </w:p>
        </w:tc>
      </w:tr>
      <w:tr w:rsidR="0089374D" w:rsidRPr="00F71523" w14:paraId="4249FB68" w14:textId="77777777" w:rsidTr="00CB066E">
        <w:trPr>
          <w:cantSplit/>
        </w:trPr>
        <w:tc>
          <w:tcPr>
            <w:tcW w:w="2046" w:type="dxa"/>
            <w:vMerge w:val="restart"/>
          </w:tcPr>
          <w:p w14:paraId="05642A88" w14:textId="77777777" w:rsidR="0089374D" w:rsidRPr="00F71523" w:rsidRDefault="0089374D" w:rsidP="00CB1C25">
            <w:pPr>
              <w:pStyle w:val="TableText"/>
            </w:pPr>
            <w:r w:rsidRPr="00F71523">
              <w:t>Hydrology, water quality and waste management: To protect waterways and waterway function and surface water and groundwater quality in accordance with statutory objectives, to identify and prevent potential adverse environmental effects resulting from the disturbance of contaminated or acid-forming material and to manage excavation spoil and other waste in accordance with relevant best practice principles.</w:t>
            </w:r>
          </w:p>
          <w:p w14:paraId="6EC057B4" w14:textId="77777777" w:rsidR="0089374D" w:rsidRPr="00F71523" w:rsidRDefault="0089374D" w:rsidP="00CB1C25">
            <w:pPr>
              <w:pStyle w:val="TableText"/>
            </w:pPr>
            <w:r w:rsidRPr="00F71523">
              <w:t>Biodiversity – To avoid or minimise adverse effects on native terrestrial and aquatic flora and fauna, in the context of the project’s components and urban setting</w:t>
            </w:r>
          </w:p>
        </w:tc>
        <w:tc>
          <w:tcPr>
            <w:tcW w:w="800" w:type="dxa"/>
            <w:hideMark/>
          </w:tcPr>
          <w:p w14:paraId="63F18C59" w14:textId="77777777" w:rsidR="0089374D" w:rsidRPr="00F71523" w:rsidRDefault="0089374D" w:rsidP="00953369">
            <w:pPr>
              <w:pStyle w:val="TableText"/>
              <w:jc w:val="center"/>
            </w:pPr>
            <w:r w:rsidRPr="00F71523">
              <w:t>AE1</w:t>
            </w:r>
          </w:p>
        </w:tc>
        <w:tc>
          <w:tcPr>
            <w:tcW w:w="7894" w:type="dxa"/>
            <w:hideMark/>
          </w:tcPr>
          <w:p w14:paraId="44A22B31" w14:textId="27543248" w:rsidR="0089374D" w:rsidRPr="00F71523" w:rsidRDefault="0089374D" w:rsidP="00D65455">
            <w:pPr>
              <w:pStyle w:val="TableText"/>
            </w:pPr>
            <w:r w:rsidRPr="00F71523">
              <w:t>Fully integrate the stormwater treatment system into the design of Melbourne Metro for construction [all precincts] to ensure that stormwater entering a receiving water body complies with SEPP (Waters of Victoria).</w:t>
            </w:r>
          </w:p>
          <w:p w14:paraId="1C5FD01E" w14:textId="4811428A" w:rsidR="0089374D" w:rsidRPr="00F71523" w:rsidRDefault="0089374D" w:rsidP="00D65455">
            <w:pPr>
              <w:pStyle w:val="TableText"/>
            </w:pPr>
            <w:r w:rsidRPr="00F71523">
              <w:t>The best practice performance objectives for achieving compliance with SEPP (Waters of Victoria) during the construction phase are described below:</w:t>
            </w:r>
          </w:p>
          <w:tbl>
            <w:tblPr>
              <w:tblStyle w:val="RowMainTableStyle"/>
              <w:tblW w:w="0" w:type="auto"/>
              <w:tblLayout w:type="fixed"/>
              <w:tblLook w:val="0400" w:firstRow="0" w:lastRow="0" w:firstColumn="0" w:lastColumn="0" w:noHBand="0" w:noVBand="1"/>
            </w:tblPr>
            <w:tblGrid>
              <w:gridCol w:w="1165"/>
              <w:gridCol w:w="1335"/>
              <w:gridCol w:w="5002"/>
            </w:tblGrid>
            <w:tr w:rsidR="0089374D" w:rsidRPr="00F71523" w14:paraId="6F99BD01" w14:textId="77777777" w:rsidTr="00AA73EF">
              <w:tc>
                <w:tcPr>
                  <w:tcW w:w="1165" w:type="dxa"/>
                  <w:shd w:val="clear" w:color="auto" w:fill="F2F2F2" w:themeFill="background1" w:themeFillShade="F2"/>
                  <w:vAlign w:val="bottom"/>
                  <w:hideMark/>
                </w:tcPr>
                <w:p w14:paraId="22BFD628" w14:textId="18BCF717" w:rsidR="0089374D" w:rsidRPr="00F71523" w:rsidRDefault="00A64B27" w:rsidP="00FB7030">
                  <w:pPr>
                    <w:pStyle w:val="TableText"/>
                    <w:keepNext/>
                    <w:keepLines/>
                    <w:rPr>
                      <w:b/>
                    </w:rPr>
                  </w:pPr>
                  <w:r>
                    <w:rPr>
                      <w:b/>
                    </w:rPr>
                    <w:t>Pollutant type</w:t>
                  </w:r>
                </w:p>
              </w:tc>
              <w:tc>
                <w:tcPr>
                  <w:tcW w:w="1335" w:type="dxa"/>
                  <w:shd w:val="clear" w:color="auto" w:fill="F2F2F2" w:themeFill="background1" w:themeFillShade="F2"/>
                  <w:vAlign w:val="bottom"/>
                  <w:hideMark/>
                </w:tcPr>
                <w:p w14:paraId="34878C68" w14:textId="59DAFC86" w:rsidR="0089374D" w:rsidRPr="00F71523" w:rsidRDefault="0089374D" w:rsidP="00AA73EF">
                  <w:pPr>
                    <w:pStyle w:val="TableText"/>
                    <w:keepNext/>
                    <w:keepLines/>
                    <w:jc w:val="center"/>
                    <w:rPr>
                      <w:b/>
                    </w:rPr>
                  </w:pPr>
                  <w:r w:rsidRPr="00F71523">
                    <w:rPr>
                      <w:b/>
                    </w:rPr>
                    <w:t>Receiving water objective</w:t>
                  </w:r>
                </w:p>
              </w:tc>
              <w:tc>
                <w:tcPr>
                  <w:tcW w:w="5002" w:type="dxa"/>
                  <w:shd w:val="clear" w:color="auto" w:fill="F2F2F2" w:themeFill="background1" w:themeFillShade="F2"/>
                  <w:vAlign w:val="bottom"/>
                  <w:hideMark/>
                </w:tcPr>
                <w:p w14:paraId="4F223D62" w14:textId="08D73C0C" w:rsidR="0089374D" w:rsidRPr="00F71523" w:rsidRDefault="0089374D" w:rsidP="00FB7030">
                  <w:pPr>
                    <w:pStyle w:val="TableText"/>
                    <w:keepNext/>
                    <w:keepLines/>
                    <w:rPr>
                      <w:b/>
                    </w:rPr>
                  </w:pPr>
                  <w:r w:rsidRPr="00F71523">
                    <w:rPr>
                      <w:b/>
                    </w:rPr>
                    <w:t>Current best practice performance objective</w:t>
                  </w:r>
                  <w:r w:rsidR="00CF058D" w:rsidRPr="009D5805">
                    <w:rPr>
                      <w:b/>
                      <w:vertAlign w:val="superscript"/>
                    </w:rPr>
                    <w:t>(</w:t>
                  </w:r>
                  <w:r w:rsidRPr="00CF058D">
                    <w:rPr>
                      <w:b/>
                      <w:vertAlign w:val="superscript"/>
                    </w:rPr>
                    <w:t>1</w:t>
                  </w:r>
                  <w:r w:rsidR="00CF058D">
                    <w:rPr>
                      <w:b/>
                      <w:vertAlign w:val="superscript"/>
                    </w:rPr>
                    <w:t>)</w:t>
                  </w:r>
                </w:p>
              </w:tc>
            </w:tr>
            <w:tr w:rsidR="0089374D" w:rsidRPr="00F71523" w14:paraId="5964CE85" w14:textId="77777777" w:rsidTr="00AA73EF">
              <w:tc>
                <w:tcPr>
                  <w:tcW w:w="1165" w:type="dxa"/>
                  <w:hideMark/>
                </w:tcPr>
                <w:p w14:paraId="77F4B87C" w14:textId="10F5B260" w:rsidR="0089374D" w:rsidRPr="00F71523" w:rsidRDefault="00A64B27" w:rsidP="00CB1C25">
                  <w:pPr>
                    <w:pStyle w:val="TableText"/>
                  </w:pPr>
                  <w:r>
                    <w:t>Suspended solids</w:t>
                  </w:r>
                </w:p>
              </w:tc>
              <w:tc>
                <w:tcPr>
                  <w:tcW w:w="1335" w:type="dxa"/>
                  <w:hideMark/>
                </w:tcPr>
                <w:p w14:paraId="02566742" w14:textId="7FA16AAB" w:rsidR="0089374D" w:rsidRPr="00F71523" w:rsidRDefault="00A64B27" w:rsidP="00AA73EF">
                  <w:pPr>
                    <w:pStyle w:val="TableText"/>
                    <w:jc w:val="center"/>
                  </w:pPr>
                  <w:r>
                    <w:t>Comply with SEPP</w:t>
                  </w:r>
                </w:p>
              </w:tc>
              <w:tc>
                <w:tcPr>
                  <w:tcW w:w="5002" w:type="dxa"/>
                  <w:hideMark/>
                </w:tcPr>
                <w:p w14:paraId="47C40C58" w14:textId="037FBD8E" w:rsidR="0089374D" w:rsidRPr="00F71523" w:rsidRDefault="0089374D" w:rsidP="00CB1C25">
                  <w:pPr>
                    <w:pStyle w:val="TableText"/>
                  </w:pPr>
                  <w:r w:rsidRPr="00F71523">
                    <w:t>Effective treatment of 90% of daily run-off events (</w:t>
                  </w:r>
                  <w:r>
                    <w:t>e</w:t>
                  </w:r>
                  <w:r w:rsidR="00452C01">
                    <w:t>.</w:t>
                  </w:r>
                  <w:r>
                    <w:t>g</w:t>
                  </w:r>
                  <w:r w:rsidR="00452C01">
                    <w:t>.</w:t>
                  </w:r>
                  <w:r w:rsidRPr="00F71523">
                    <w:t xml:space="preserve"> &lt;4 months ARI). Effective treatment equates to a 50 percentile suspended solids concentration of 50 mg/L.</w:t>
                  </w:r>
                </w:p>
                <w:p w14:paraId="471A5CBE" w14:textId="1027878D" w:rsidR="0089374D" w:rsidRPr="00F71523" w:rsidRDefault="0089374D" w:rsidP="00CB1C25">
                  <w:pPr>
                    <w:pStyle w:val="TableText"/>
                  </w:pPr>
                  <w:r w:rsidRPr="00F71523">
                    <w:t>This can be achieved by installing a sediment pond(s) to remove 95% of sediment d</w:t>
                  </w:r>
                  <w:r w:rsidR="00A64B27">
                    <w:t>own to 125 µm for a 1 year ARI.</w:t>
                  </w:r>
                </w:p>
              </w:tc>
            </w:tr>
            <w:tr w:rsidR="0089374D" w:rsidRPr="00F71523" w14:paraId="0FCEE03F" w14:textId="77777777" w:rsidTr="00AA73EF">
              <w:tc>
                <w:tcPr>
                  <w:tcW w:w="1165" w:type="dxa"/>
                  <w:tcBorders>
                    <w:bottom w:val="single" w:sz="4" w:space="0" w:color="A59C94" w:themeColor="accent3"/>
                  </w:tcBorders>
                  <w:hideMark/>
                </w:tcPr>
                <w:p w14:paraId="0B53BAEE" w14:textId="242D8C44" w:rsidR="0089374D" w:rsidRPr="00F71523" w:rsidRDefault="00A64B27" w:rsidP="00CB1C25">
                  <w:pPr>
                    <w:pStyle w:val="TableText"/>
                  </w:pPr>
                  <w:r>
                    <w:t>Litter</w:t>
                  </w:r>
                </w:p>
              </w:tc>
              <w:tc>
                <w:tcPr>
                  <w:tcW w:w="1335" w:type="dxa"/>
                  <w:tcBorders>
                    <w:bottom w:val="single" w:sz="4" w:space="0" w:color="A59C94" w:themeColor="accent3"/>
                  </w:tcBorders>
                  <w:hideMark/>
                </w:tcPr>
                <w:p w14:paraId="2637048B" w14:textId="2CD3C566" w:rsidR="0089374D" w:rsidRPr="00F71523" w:rsidRDefault="00A64B27" w:rsidP="00AA73EF">
                  <w:pPr>
                    <w:pStyle w:val="TableText"/>
                    <w:jc w:val="center"/>
                  </w:pPr>
                  <w:r>
                    <w:t>Comply with SEPP</w:t>
                  </w:r>
                </w:p>
              </w:tc>
              <w:tc>
                <w:tcPr>
                  <w:tcW w:w="5002" w:type="dxa"/>
                  <w:tcBorders>
                    <w:bottom w:val="single" w:sz="4" w:space="0" w:color="A59C94" w:themeColor="accent3"/>
                  </w:tcBorders>
                  <w:hideMark/>
                </w:tcPr>
                <w:p w14:paraId="27B6184C" w14:textId="59329082" w:rsidR="0089374D" w:rsidRPr="00F71523" w:rsidRDefault="0089374D" w:rsidP="008B7544">
                  <w:pPr>
                    <w:pStyle w:val="TableText"/>
                  </w:pPr>
                  <w:r w:rsidRPr="00F71523">
                    <w:t xml:space="preserve">Prevent litter from entering the stormwater system. </w:t>
                  </w:r>
                </w:p>
              </w:tc>
            </w:tr>
            <w:tr w:rsidR="0089374D" w:rsidRPr="00F71523" w14:paraId="291DE12A" w14:textId="77777777" w:rsidTr="00AA73EF">
              <w:tc>
                <w:tcPr>
                  <w:tcW w:w="1165" w:type="dxa"/>
                  <w:hideMark/>
                </w:tcPr>
                <w:p w14:paraId="0E7D930D" w14:textId="57975123" w:rsidR="0089374D" w:rsidRPr="00F71523" w:rsidRDefault="00A64B27" w:rsidP="00CB1C25">
                  <w:pPr>
                    <w:pStyle w:val="TableText"/>
                  </w:pPr>
                  <w:r>
                    <w:t>Other pollutants</w:t>
                  </w:r>
                </w:p>
              </w:tc>
              <w:tc>
                <w:tcPr>
                  <w:tcW w:w="1335" w:type="dxa"/>
                  <w:hideMark/>
                </w:tcPr>
                <w:p w14:paraId="027F1C1D" w14:textId="0C2B3DE7" w:rsidR="0089374D" w:rsidRPr="00F71523" w:rsidRDefault="00A64B27" w:rsidP="00AA73EF">
                  <w:pPr>
                    <w:pStyle w:val="TableText"/>
                    <w:jc w:val="center"/>
                  </w:pPr>
                  <w:r>
                    <w:t>Comply with SEPP</w:t>
                  </w:r>
                </w:p>
              </w:tc>
              <w:tc>
                <w:tcPr>
                  <w:tcW w:w="5002" w:type="dxa"/>
                  <w:hideMark/>
                </w:tcPr>
                <w:p w14:paraId="61663576" w14:textId="10C07D2C" w:rsidR="0089374D" w:rsidRPr="00F71523" w:rsidRDefault="0089374D" w:rsidP="00CB1C25">
                  <w:pPr>
                    <w:pStyle w:val="TableText"/>
                  </w:pPr>
                  <w:r w:rsidRPr="00F71523">
                    <w:t xml:space="preserve">Limit the application, generation and migration of toxic substances to </w:t>
                  </w:r>
                  <w:r w:rsidR="00A64B27">
                    <w:t>the maximum extent practicable.</w:t>
                  </w:r>
                </w:p>
              </w:tc>
            </w:tr>
          </w:tbl>
          <w:p w14:paraId="0828E42D" w14:textId="42991C9C" w:rsidR="0089374D" w:rsidRPr="00F71523" w:rsidRDefault="0089374D" w:rsidP="00FB7030">
            <w:pPr>
              <w:pStyle w:val="Source"/>
              <w:spacing w:after="60"/>
              <w:rPr>
                <w:b/>
              </w:rPr>
            </w:pPr>
            <w:r w:rsidRPr="00F71523">
              <w:rPr>
                <w:b/>
              </w:rPr>
              <w:t>Notes</w:t>
            </w:r>
          </w:p>
          <w:p w14:paraId="7A53C4F2" w14:textId="01DF540D" w:rsidR="0089374D" w:rsidRPr="00F71523" w:rsidRDefault="0089374D" w:rsidP="00FB7030">
            <w:pPr>
              <w:pStyle w:val="Source"/>
              <w:spacing w:before="60" w:after="240"/>
              <w:ind w:left="340" w:hanging="340"/>
            </w:pPr>
            <w:r w:rsidRPr="00F71523">
              <w:t>1</w:t>
            </w:r>
            <w:r w:rsidRPr="00F71523">
              <w:tab/>
              <w:t>Best practice performance objectives are based on the Best Practice Environmental Management Guidelines for Urban Stormwater – CSIRO.</w:t>
            </w:r>
          </w:p>
        </w:tc>
        <w:tc>
          <w:tcPr>
            <w:tcW w:w="1168" w:type="dxa"/>
            <w:hideMark/>
          </w:tcPr>
          <w:p w14:paraId="7AB77D0F" w14:textId="77777777" w:rsidR="0089374D" w:rsidRPr="00F71523" w:rsidRDefault="0089374D" w:rsidP="00457BDE">
            <w:pPr>
              <w:pStyle w:val="TableText"/>
            </w:pPr>
            <w:r w:rsidRPr="00F71523">
              <w:t>All</w:t>
            </w:r>
          </w:p>
        </w:tc>
        <w:tc>
          <w:tcPr>
            <w:tcW w:w="1276" w:type="dxa"/>
            <w:hideMark/>
          </w:tcPr>
          <w:p w14:paraId="6C45A01B" w14:textId="77777777" w:rsidR="0089374D" w:rsidRPr="00F71523" w:rsidRDefault="0089374D" w:rsidP="00457BDE">
            <w:pPr>
              <w:pStyle w:val="TableText"/>
            </w:pPr>
            <w:r w:rsidRPr="00F71523">
              <w:t>Construction</w:t>
            </w:r>
          </w:p>
        </w:tc>
        <w:tc>
          <w:tcPr>
            <w:tcW w:w="1383" w:type="dxa"/>
          </w:tcPr>
          <w:p w14:paraId="461C2F28" w14:textId="7AFCA988" w:rsidR="0089374D" w:rsidRPr="00F71523" w:rsidRDefault="0089374D" w:rsidP="0089374D">
            <w:pPr>
              <w:pStyle w:val="TableText"/>
              <w:jc w:val="center"/>
            </w:pPr>
            <w:r>
              <w:t>AE001, AE007, AE008</w:t>
            </w:r>
          </w:p>
        </w:tc>
      </w:tr>
      <w:tr w:rsidR="0089374D" w:rsidRPr="00F71523" w14:paraId="3F3D5ABE" w14:textId="77777777" w:rsidTr="00CB066E">
        <w:trPr>
          <w:cantSplit/>
        </w:trPr>
        <w:tc>
          <w:tcPr>
            <w:tcW w:w="2046" w:type="dxa"/>
            <w:vMerge/>
            <w:hideMark/>
          </w:tcPr>
          <w:p w14:paraId="2B3E9182" w14:textId="77777777" w:rsidR="0089374D" w:rsidRPr="00F71523" w:rsidRDefault="0089374D" w:rsidP="00CB1C25">
            <w:pPr>
              <w:pStyle w:val="TableText"/>
            </w:pPr>
          </w:p>
        </w:tc>
        <w:tc>
          <w:tcPr>
            <w:tcW w:w="800" w:type="dxa"/>
            <w:hideMark/>
          </w:tcPr>
          <w:p w14:paraId="1A610211" w14:textId="77777777" w:rsidR="0089374D" w:rsidRPr="00F71523" w:rsidRDefault="0089374D" w:rsidP="00953369">
            <w:pPr>
              <w:pStyle w:val="TableText"/>
              <w:jc w:val="center"/>
            </w:pPr>
            <w:r w:rsidRPr="00F71523">
              <w:t>AE2</w:t>
            </w:r>
          </w:p>
        </w:tc>
        <w:tc>
          <w:tcPr>
            <w:tcW w:w="7894" w:type="dxa"/>
            <w:hideMark/>
          </w:tcPr>
          <w:p w14:paraId="257EB697" w14:textId="5E5ECF91" w:rsidR="0089374D" w:rsidRPr="00F71523" w:rsidRDefault="0089374D" w:rsidP="00815137">
            <w:pPr>
              <w:pStyle w:val="TableText"/>
            </w:pPr>
            <w:r w:rsidRPr="00F71523">
              <w:t>Best practice sedimentation and pollution control measures must be applied to protect waterways in accordance with Best Practice Environmental Management: Environmental Guidelines for Major Construction Sites – EPA publication 480 (1996) and in accordance with an approved construction environmental management plan.</w:t>
            </w:r>
          </w:p>
          <w:p w14:paraId="169917DA" w14:textId="764DD85F" w:rsidR="0089374D" w:rsidRPr="00F71523" w:rsidRDefault="0089374D" w:rsidP="00815137">
            <w:pPr>
              <w:pStyle w:val="TableText"/>
            </w:pPr>
            <w:r w:rsidRPr="00F71523">
              <w:t>Measures should include: vehicle wheel wash and rumble bars at worksite egress points, appropriate placement of material stockpiles and chemical storages, covered loads, street sweeping and water quality monitoring, where required.</w:t>
            </w:r>
          </w:p>
        </w:tc>
        <w:tc>
          <w:tcPr>
            <w:tcW w:w="1168" w:type="dxa"/>
            <w:hideMark/>
          </w:tcPr>
          <w:p w14:paraId="0A34B93A" w14:textId="77777777" w:rsidR="0089374D" w:rsidRPr="00F71523" w:rsidRDefault="0089374D" w:rsidP="00457BDE">
            <w:pPr>
              <w:pStyle w:val="TableText"/>
            </w:pPr>
            <w:r w:rsidRPr="00F71523">
              <w:t>All</w:t>
            </w:r>
          </w:p>
        </w:tc>
        <w:tc>
          <w:tcPr>
            <w:tcW w:w="1276" w:type="dxa"/>
            <w:hideMark/>
          </w:tcPr>
          <w:p w14:paraId="23B28DEF" w14:textId="77777777" w:rsidR="0089374D" w:rsidRPr="00F71523" w:rsidRDefault="0089374D" w:rsidP="00457BDE">
            <w:pPr>
              <w:pStyle w:val="TableText"/>
            </w:pPr>
            <w:r w:rsidRPr="00F71523">
              <w:t>Construction</w:t>
            </w:r>
          </w:p>
        </w:tc>
        <w:tc>
          <w:tcPr>
            <w:tcW w:w="1383" w:type="dxa"/>
          </w:tcPr>
          <w:p w14:paraId="13FBD594" w14:textId="0665FFEC" w:rsidR="0089374D" w:rsidRPr="00F71523" w:rsidRDefault="0089374D" w:rsidP="0089374D">
            <w:pPr>
              <w:pStyle w:val="TableText"/>
              <w:jc w:val="center"/>
            </w:pPr>
            <w:r>
              <w:t>AE001, AE007, AE008</w:t>
            </w:r>
          </w:p>
        </w:tc>
      </w:tr>
      <w:tr w:rsidR="0089374D" w:rsidRPr="00F71523" w14:paraId="6904632A" w14:textId="77777777" w:rsidTr="00CB066E">
        <w:trPr>
          <w:cantSplit/>
        </w:trPr>
        <w:tc>
          <w:tcPr>
            <w:tcW w:w="2046" w:type="dxa"/>
            <w:vMerge w:val="restart"/>
            <w:hideMark/>
          </w:tcPr>
          <w:p w14:paraId="2FCF0BE8" w14:textId="77777777" w:rsidR="0089374D" w:rsidRPr="00F71523" w:rsidRDefault="0089374D" w:rsidP="00AA73EF">
            <w:pPr>
              <w:pStyle w:val="TableText"/>
              <w:spacing w:before="120"/>
            </w:pPr>
          </w:p>
        </w:tc>
        <w:tc>
          <w:tcPr>
            <w:tcW w:w="800" w:type="dxa"/>
            <w:hideMark/>
          </w:tcPr>
          <w:p w14:paraId="350897CD" w14:textId="77777777" w:rsidR="0089374D" w:rsidRPr="00F71523" w:rsidRDefault="0089374D" w:rsidP="00953369">
            <w:pPr>
              <w:pStyle w:val="TableText"/>
              <w:jc w:val="center"/>
            </w:pPr>
            <w:r w:rsidRPr="00F71523">
              <w:t>AE3</w:t>
            </w:r>
          </w:p>
        </w:tc>
        <w:tc>
          <w:tcPr>
            <w:tcW w:w="7894" w:type="dxa"/>
            <w:hideMark/>
          </w:tcPr>
          <w:p w14:paraId="25B4691E" w14:textId="2372A787" w:rsidR="0089374D" w:rsidRPr="00F71523" w:rsidRDefault="0089374D" w:rsidP="00CB1C25">
            <w:pPr>
              <w:pStyle w:val="TableText"/>
            </w:pPr>
            <w:r w:rsidRPr="00F71523">
              <w:t>During construction, discharge tunnel, station box and portal construction water to sewer.</w:t>
            </w:r>
          </w:p>
          <w:p w14:paraId="15316EFB" w14:textId="63F18985" w:rsidR="0089374D" w:rsidRPr="00F71523" w:rsidRDefault="0089374D" w:rsidP="00CB1C25">
            <w:pPr>
              <w:pStyle w:val="TableText"/>
            </w:pPr>
            <w:r w:rsidRPr="00F71523">
              <w:t>Where groundwater interception during construction is predicted to occur, dewatering is to be managed so that groundwater is not released to stormwater or sensitive surface water bodies (refer to related GW4).</w:t>
            </w:r>
          </w:p>
        </w:tc>
        <w:tc>
          <w:tcPr>
            <w:tcW w:w="1168" w:type="dxa"/>
            <w:hideMark/>
          </w:tcPr>
          <w:p w14:paraId="5E7A7A1D" w14:textId="64C5822F" w:rsidR="0089374D" w:rsidRPr="00F71523" w:rsidRDefault="0089374D" w:rsidP="00457BDE">
            <w:pPr>
              <w:pStyle w:val="TableText"/>
            </w:pPr>
            <w:r w:rsidRPr="00F71523">
              <w:t xml:space="preserve">All (except Western </w:t>
            </w:r>
            <w:proofErr w:type="spellStart"/>
            <w:r w:rsidRPr="00F71523">
              <w:t>turnback</w:t>
            </w:r>
            <w:proofErr w:type="spellEnd"/>
            <w:r w:rsidRPr="00F71523">
              <w:t>)</w:t>
            </w:r>
          </w:p>
        </w:tc>
        <w:tc>
          <w:tcPr>
            <w:tcW w:w="1276" w:type="dxa"/>
            <w:hideMark/>
          </w:tcPr>
          <w:p w14:paraId="1BAB984F" w14:textId="77777777" w:rsidR="0089374D" w:rsidRPr="00F71523" w:rsidRDefault="0089374D" w:rsidP="00457BDE">
            <w:pPr>
              <w:pStyle w:val="TableText"/>
            </w:pPr>
            <w:r w:rsidRPr="00F71523">
              <w:t>Construction</w:t>
            </w:r>
          </w:p>
        </w:tc>
        <w:tc>
          <w:tcPr>
            <w:tcW w:w="1383" w:type="dxa"/>
          </w:tcPr>
          <w:p w14:paraId="20FEC626" w14:textId="01264B61" w:rsidR="0089374D" w:rsidRPr="00F71523" w:rsidRDefault="0089374D" w:rsidP="00953369">
            <w:pPr>
              <w:pStyle w:val="TableText"/>
              <w:jc w:val="center"/>
            </w:pPr>
            <w:r>
              <w:t>AE002</w:t>
            </w:r>
          </w:p>
        </w:tc>
      </w:tr>
      <w:tr w:rsidR="0089374D" w:rsidRPr="00F71523" w14:paraId="3B79C1CA" w14:textId="77777777" w:rsidTr="00CB066E">
        <w:trPr>
          <w:cantSplit/>
        </w:trPr>
        <w:tc>
          <w:tcPr>
            <w:tcW w:w="2046" w:type="dxa"/>
            <w:vMerge/>
          </w:tcPr>
          <w:p w14:paraId="78FE31D8" w14:textId="77777777" w:rsidR="0089374D" w:rsidRPr="00F71523" w:rsidRDefault="0089374D" w:rsidP="0066216E">
            <w:pPr>
              <w:pStyle w:val="TableText"/>
            </w:pPr>
          </w:p>
        </w:tc>
        <w:tc>
          <w:tcPr>
            <w:tcW w:w="800" w:type="dxa"/>
          </w:tcPr>
          <w:p w14:paraId="4ACB2A9F" w14:textId="2922E233" w:rsidR="0089374D" w:rsidRPr="00F71523" w:rsidRDefault="0089374D" w:rsidP="00953369">
            <w:pPr>
              <w:pStyle w:val="TableText"/>
              <w:jc w:val="center"/>
            </w:pPr>
            <w:r w:rsidRPr="00F71523">
              <w:t>AE4</w:t>
            </w:r>
          </w:p>
        </w:tc>
        <w:tc>
          <w:tcPr>
            <w:tcW w:w="7894" w:type="dxa"/>
          </w:tcPr>
          <w:p w14:paraId="6F2EF90A" w14:textId="3A4C9871" w:rsidR="0089374D" w:rsidRPr="00F71523" w:rsidRDefault="0089374D" w:rsidP="002D44B6">
            <w:pPr>
              <w:pStyle w:val="TableText"/>
            </w:pPr>
            <w:r w:rsidRPr="00F71523">
              <w:t>Where ground treatment works are required in waterways, design and implement methods that prevent discharge of sediments into the water column.</w:t>
            </w:r>
          </w:p>
        </w:tc>
        <w:tc>
          <w:tcPr>
            <w:tcW w:w="1168" w:type="dxa"/>
          </w:tcPr>
          <w:p w14:paraId="7814E852" w14:textId="77777777" w:rsidR="0089374D" w:rsidRPr="00F71523" w:rsidRDefault="0089374D" w:rsidP="00457BDE">
            <w:pPr>
              <w:pStyle w:val="TableText"/>
            </w:pPr>
            <w:r w:rsidRPr="00F71523">
              <w:t>1 – Tunnels</w:t>
            </w:r>
          </w:p>
        </w:tc>
        <w:tc>
          <w:tcPr>
            <w:tcW w:w="1276" w:type="dxa"/>
          </w:tcPr>
          <w:p w14:paraId="55217D03" w14:textId="77777777" w:rsidR="0089374D" w:rsidRPr="00F71523" w:rsidRDefault="0089374D" w:rsidP="00457BDE">
            <w:pPr>
              <w:pStyle w:val="TableText"/>
            </w:pPr>
            <w:r w:rsidRPr="00F71523">
              <w:t>Construction</w:t>
            </w:r>
          </w:p>
        </w:tc>
        <w:tc>
          <w:tcPr>
            <w:tcW w:w="1383" w:type="dxa"/>
          </w:tcPr>
          <w:p w14:paraId="00C5B33C" w14:textId="34310064" w:rsidR="0089374D" w:rsidRPr="00F71523" w:rsidRDefault="0089374D" w:rsidP="00953369">
            <w:pPr>
              <w:pStyle w:val="TableText"/>
              <w:jc w:val="center"/>
            </w:pPr>
            <w:r>
              <w:t>AE003</w:t>
            </w:r>
          </w:p>
        </w:tc>
      </w:tr>
      <w:tr w:rsidR="0089374D" w:rsidRPr="00F71523" w14:paraId="25AEAB12" w14:textId="77777777" w:rsidTr="00CB066E">
        <w:trPr>
          <w:cantSplit/>
        </w:trPr>
        <w:tc>
          <w:tcPr>
            <w:tcW w:w="2046" w:type="dxa"/>
            <w:vMerge/>
          </w:tcPr>
          <w:p w14:paraId="490C36AE" w14:textId="77777777" w:rsidR="0089374D" w:rsidRPr="00F71523" w:rsidRDefault="0089374D" w:rsidP="00CB1C25">
            <w:pPr>
              <w:pStyle w:val="TableText"/>
            </w:pPr>
          </w:p>
        </w:tc>
        <w:tc>
          <w:tcPr>
            <w:tcW w:w="800" w:type="dxa"/>
          </w:tcPr>
          <w:p w14:paraId="749A7D69" w14:textId="2780FFB1" w:rsidR="0089374D" w:rsidRPr="00F71523" w:rsidRDefault="0089374D" w:rsidP="00953369">
            <w:pPr>
              <w:pStyle w:val="TableText"/>
              <w:jc w:val="center"/>
            </w:pPr>
            <w:r w:rsidRPr="00F71523">
              <w:t>AE5</w:t>
            </w:r>
          </w:p>
        </w:tc>
        <w:tc>
          <w:tcPr>
            <w:tcW w:w="7894" w:type="dxa"/>
          </w:tcPr>
          <w:p w14:paraId="65CA1AEE" w14:textId="2DBF0A24" w:rsidR="0089374D" w:rsidRPr="00F71523" w:rsidRDefault="0089374D" w:rsidP="00CB1C25">
            <w:pPr>
              <w:pStyle w:val="TableText"/>
            </w:pPr>
            <w:r w:rsidRPr="00F71523">
              <w:t>Design the Arden electrical substation (as per SW1) to provide appropriate protection against floodwaters during operation, to prevent the release of contaminants to Moonee Ponds Creek.</w:t>
            </w:r>
          </w:p>
        </w:tc>
        <w:tc>
          <w:tcPr>
            <w:tcW w:w="1168" w:type="dxa"/>
          </w:tcPr>
          <w:p w14:paraId="15780AFC" w14:textId="6F447527" w:rsidR="0089374D" w:rsidRPr="00F71523" w:rsidRDefault="0089374D" w:rsidP="00457BDE">
            <w:pPr>
              <w:pStyle w:val="TableText"/>
            </w:pPr>
            <w:r w:rsidRPr="00F71523">
              <w:t>3 – Arden station</w:t>
            </w:r>
          </w:p>
        </w:tc>
        <w:tc>
          <w:tcPr>
            <w:tcW w:w="1276" w:type="dxa"/>
          </w:tcPr>
          <w:p w14:paraId="394A15F4" w14:textId="77777777" w:rsidR="0089374D" w:rsidRPr="00F71523" w:rsidRDefault="0089374D" w:rsidP="00457BDE">
            <w:pPr>
              <w:pStyle w:val="TableText"/>
            </w:pPr>
            <w:r w:rsidRPr="00F71523">
              <w:t>Design/ Operation</w:t>
            </w:r>
          </w:p>
        </w:tc>
        <w:tc>
          <w:tcPr>
            <w:tcW w:w="1383" w:type="dxa"/>
          </w:tcPr>
          <w:p w14:paraId="6A38F227" w14:textId="7DC19E3E" w:rsidR="0089374D" w:rsidRPr="00F71523" w:rsidRDefault="0089374D" w:rsidP="00953369">
            <w:pPr>
              <w:pStyle w:val="TableText"/>
              <w:jc w:val="center"/>
            </w:pPr>
            <w:r>
              <w:t>AE012</w:t>
            </w:r>
          </w:p>
        </w:tc>
      </w:tr>
      <w:tr w:rsidR="0089374D" w:rsidRPr="00F71523" w14:paraId="101EFF0D" w14:textId="77777777" w:rsidTr="00CB066E">
        <w:trPr>
          <w:cantSplit/>
        </w:trPr>
        <w:tc>
          <w:tcPr>
            <w:tcW w:w="2046" w:type="dxa"/>
            <w:vMerge/>
            <w:hideMark/>
          </w:tcPr>
          <w:p w14:paraId="38E59068" w14:textId="77777777" w:rsidR="0089374D" w:rsidRPr="00F71523" w:rsidRDefault="0089374D" w:rsidP="00CB1C25">
            <w:pPr>
              <w:pStyle w:val="TableText"/>
            </w:pPr>
          </w:p>
        </w:tc>
        <w:tc>
          <w:tcPr>
            <w:tcW w:w="800" w:type="dxa"/>
            <w:hideMark/>
          </w:tcPr>
          <w:p w14:paraId="59E1A877" w14:textId="1ADDFE92" w:rsidR="0089374D" w:rsidRPr="00F71523" w:rsidRDefault="0089374D" w:rsidP="00953369">
            <w:pPr>
              <w:pStyle w:val="TableText"/>
              <w:jc w:val="center"/>
            </w:pPr>
            <w:r w:rsidRPr="00F71523">
              <w:t>AE6</w:t>
            </w:r>
          </w:p>
        </w:tc>
        <w:tc>
          <w:tcPr>
            <w:tcW w:w="7894" w:type="dxa"/>
            <w:hideMark/>
          </w:tcPr>
          <w:p w14:paraId="4108D065" w14:textId="77777777" w:rsidR="0089374D" w:rsidRPr="00F71523" w:rsidRDefault="0089374D" w:rsidP="00CB1C25">
            <w:pPr>
              <w:pStyle w:val="TableText"/>
            </w:pPr>
            <w:r w:rsidRPr="00F71523">
              <w:t>During operation, discharge tunnel drainage water to sewer, unless otherwise agreed by EPA and Melbourne Water.</w:t>
            </w:r>
          </w:p>
          <w:p w14:paraId="0A2F9381" w14:textId="5B799FBA" w:rsidR="0089374D" w:rsidRPr="00F71523" w:rsidRDefault="0089374D" w:rsidP="00CB1C25">
            <w:pPr>
              <w:pStyle w:val="TableText"/>
            </w:pPr>
            <w:r w:rsidRPr="00F71523">
              <w:t>Where groundwater interception during operation is predicted to occur, disposal is to be managed so that contaminated water is not released to stormwater or sensitive surface water bodies (refer to related GW4).</w:t>
            </w:r>
          </w:p>
        </w:tc>
        <w:tc>
          <w:tcPr>
            <w:tcW w:w="1168" w:type="dxa"/>
            <w:hideMark/>
          </w:tcPr>
          <w:p w14:paraId="5E3A630D" w14:textId="77777777" w:rsidR="0089374D" w:rsidRPr="00F71523" w:rsidRDefault="0089374D" w:rsidP="00457BDE">
            <w:pPr>
              <w:pStyle w:val="TableText"/>
            </w:pPr>
            <w:r w:rsidRPr="00F71523">
              <w:t>1 – Tunnels</w:t>
            </w:r>
          </w:p>
        </w:tc>
        <w:tc>
          <w:tcPr>
            <w:tcW w:w="1276" w:type="dxa"/>
            <w:hideMark/>
          </w:tcPr>
          <w:p w14:paraId="00F6C37E" w14:textId="77777777" w:rsidR="0089374D" w:rsidRPr="00F71523" w:rsidRDefault="0089374D" w:rsidP="00457BDE">
            <w:pPr>
              <w:pStyle w:val="TableText"/>
            </w:pPr>
            <w:r w:rsidRPr="00F71523">
              <w:t>Operation</w:t>
            </w:r>
          </w:p>
        </w:tc>
        <w:tc>
          <w:tcPr>
            <w:tcW w:w="1383" w:type="dxa"/>
          </w:tcPr>
          <w:p w14:paraId="15B65D1E" w14:textId="51618157" w:rsidR="0089374D" w:rsidRPr="00F71523" w:rsidRDefault="0089374D" w:rsidP="00953369">
            <w:pPr>
              <w:pStyle w:val="TableText"/>
              <w:jc w:val="center"/>
            </w:pPr>
            <w:r>
              <w:t>AE010</w:t>
            </w:r>
          </w:p>
        </w:tc>
      </w:tr>
      <w:tr w:rsidR="0089374D" w:rsidRPr="00F71523" w14:paraId="1E0981CC" w14:textId="77777777" w:rsidTr="00CB066E">
        <w:trPr>
          <w:cantSplit/>
        </w:trPr>
        <w:tc>
          <w:tcPr>
            <w:tcW w:w="2046" w:type="dxa"/>
            <w:hideMark/>
          </w:tcPr>
          <w:p w14:paraId="102B48B7" w14:textId="77777777" w:rsidR="0089374D" w:rsidRPr="00F71523" w:rsidRDefault="0089374D" w:rsidP="00CB1C25">
            <w:pPr>
              <w:pStyle w:val="TableText"/>
            </w:pPr>
          </w:p>
        </w:tc>
        <w:tc>
          <w:tcPr>
            <w:tcW w:w="800" w:type="dxa"/>
            <w:hideMark/>
          </w:tcPr>
          <w:p w14:paraId="67914C0A" w14:textId="517BF5A3" w:rsidR="0089374D" w:rsidRPr="00F71523" w:rsidRDefault="0089374D" w:rsidP="00953369">
            <w:pPr>
              <w:pStyle w:val="TableText"/>
              <w:jc w:val="center"/>
            </w:pPr>
            <w:r w:rsidRPr="00F71523">
              <w:t>AE7</w:t>
            </w:r>
          </w:p>
        </w:tc>
        <w:tc>
          <w:tcPr>
            <w:tcW w:w="7894" w:type="dxa"/>
          </w:tcPr>
          <w:p w14:paraId="5BCE7850" w14:textId="4BB25C66" w:rsidR="0089374D" w:rsidRPr="00F71523" w:rsidRDefault="0089374D" w:rsidP="00CB1C25">
            <w:pPr>
              <w:pStyle w:val="TableText"/>
            </w:pPr>
            <w:r w:rsidRPr="00F71523">
              <w:t xml:space="preserve">Fully integrate the stormwater treatment system into the design of the western portal and eastern portal to ensure that stormwater entering a receiving water body complies with SEPP (Waters of Victoria). The best practice performance objectives for achieving compliance with SEPP (Waters of Victoria) during the operations phase are described below: </w:t>
            </w:r>
          </w:p>
          <w:tbl>
            <w:tblPr>
              <w:tblStyle w:val="RowMainTableStyle"/>
              <w:tblW w:w="0" w:type="auto"/>
              <w:tblLayout w:type="fixed"/>
              <w:tblLook w:val="0400" w:firstRow="0" w:lastRow="0" w:firstColumn="0" w:lastColumn="0" w:noHBand="0" w:noVBand="1"/>
            </w:tblPr>
            <w:tblGrid>
              <w:gridCol w:w="1501"/>
              <w:gridCol w:w="3098"/>
              <w:gridCol w:w="2903"/>
            </w:tblGrid>
            <w:tr w:rsidR="0089374D" w:rsidRPr="00F71523" w14:paraId="28FE7347" w14:textId="77777777" w:rsidTr="00AA73EF">
              <w:tc>
                <w:tcPr>
                  <w:tcW w:w="1501" w:type="dxa"/>
                  <w:shd w:val="clear" w:color="auto" w:fill="F2F2F2" w:themeFill="background1" w:themeFillShade="F2"/>
                  <w:vAlign w:val="bottom"/>
                  <w:hideMark/>
                </w:tcPr>
                <w:p w14:paraId="1AEA8E60" w14:textId="77777777" w:rsidR="0089374D" w:rsidRPr="00F71523" w:rsidRDefault="0089374D" w:rsidP="00AA73EF">
                  <w:pPr>
                    <w:pStyle w:val="TableText"/>
                    <w:keepNext/>
                    <w:keepLines/>
                    <w:rPr>
                      <w:b/>
                    </w:rPr>
                  </w:pPr>
                  <w:r w:rsidRPr="00F71523">
                    <w:rPr>
                      <w:b/>
                    </w:rPr>
                    <w:t>Pollutant type​</w:t>
                  </w:r>
                </w:p>
              </w:tc>
              <w:tc>
                <w:tcPr>
                  <w:tcW w:w="3098" w:type="dxa"/>
                  <w:shd w:val="clear" w:color="auto" w:fill="F2F2F2" w:themeFill="background1" w:themeFillShade="F2"/>
                  <w:vAlign w:val="bottom"/>
                  <w:hideMark/>
                </w:tcPr>
                <w:p w14:paraId="3364AF46" w14:textId="77777777" w:rsidR="0089374D" w:rsidRPr="00F71523" w:rsidRDefault="0089374D" w:rsidP="00AA73EF">
                  <w:pPr>
                    <w:pStyle w:val="TableText"/>
                    <w:keepNext/>
                    <w:keepLines/>
                    <w:rPr>
                      <w:b/>
                    </w:rPr>
                  </w:pPr>
                  <w:r w:rsidRPr="00F71523">
                    <w:rPr>
                      <w:b/>
                    </w:rPr>
                    <w:t>Receiving water objective​</w:t>
                  </w:r>
                </w:p>
              </w:tc>
              <w:tc>
                <w:tcPr>
                  <w:tcW w:w="2903" w:type="dxa"/>
                  <w:shd w:val="clear" w:color="auto" w:fill="F2F2F2" w:themeFill="background1" w:themeFillShade="F2"/>
                  <w:vAlign w:val="bottom"/>
                  <w:hideMark/>
                </w:tcPr>
                <w:p w14:paraId="38A4E553" w14:textId="4400D687" w:rsidR="0089374D" w:rsidRPr="00F71523" w:rsidRDefault="0089374D" w:rsidP="00AA73EF">
                  <w:pPr>
                    <w:pStyle w:val="TableText"/>
                    <w:keepNext/>
                    <w:keepLines/>
                    <w:rPr>
                      <w:b/>
                    </w:rPr>
                  </w:pPr>
                  <w:r w:rsidRPr="00F71523">
                    <w:rPr>
                      <w:b/>
                    </w:rPr>
                    <w:t>Current best practice performance objective</w:t>
                  </w:r>
                  <w:r w:rsidR="00CF058D" w:rsidRPr="009D5805">
                    <w:rPr>
                      <w:b/>
                      <w:vertAlign w:val="superscript"/>
                    </w:rPr>
                    <w:t>(</w:t>
                  </w:r>
                  <w:r w:rsidRPr="00F71523">
                    <w:rPr>
                      <w:b/>
                      <w:vertAlign w:val="superscript"/>
                    </w:rPr>
                    <w:t>1</w:t>
                  </w:r>
                  <w:r w:rsidR="00CF058D">
                    <w:rPr>
                      <w:b/>
                      <w:vertAlign w:val="superscript"/>
                    </w:rPr>
                    <w:t>)</w:t>
                  </w:r>
                  <w:r w:rsidRPr="00F71523">
                    <w:rPr>
                      <w:b/>
                    </w:rPr>
                    <w:t>​</w:t>
                  </w:r>
                </w:p>
              </w:tc>
            </w:tr>
            <w:tr w:rsidR="0089374D" w:rsidRPr="00F71523" w14:paraId="7F9C430E" w14:textId="77777777" w:rsidTr="00AA73EF">
              <w:tc>
                <w:tcPr>
                  <w:tcW w:w="1501" w:type="dxa"/>
                  <w:hideMark/>
                </w:tcPr>
                <w:p w14:paraId="44992144" w14:textId="148F8442" w:rsidR="0089374D" w:rsidRPr="00F71523" w:rsidRDefault="0089374D" w:rsidP="00CB1C25">
                  <w:pPr>
                    <w:pStyle w:val="TableText"/>
                  </w:pPr>
                  <w:r w:rsidRPr="00F71523">
                    <w:t>Suspended solids (SS)</w:t>
                  </w:r>
                </w:p>
              </w:tc>
              <w:tc>
                <w:tcPr>
                  <w:tcW w:w="3098" w:type="dxa"/>
                  <w:hideMark/>
                </w:tcPr>
                <w:p w14:paraId="419E0991" w14:textId="6FA06C98" w:rsidR="0089374D" w:rsidRPr="00F71523" w:rsidRDefault="0089374D" w:rsidP="00A64B27">
                  <w:pPr>
                    <w:pStyle w:val="TableText"/>
                  </w:pPr>
                  <w:r w:rsidRPr="00F71523">
                    <w:t xml:space="preserve">Comply with SEPP (not to exceed the 90th percentile of 80 mg/L) </w:t>
                  </w:r>
                  <w:r w:rsidRPr="00F71523">
                    <w:rPr>
                      <w:vertAlign w:val="superscript"/>
                    </w:rPr>
                    <w:t>(</w:t>
                  </w:r>
                  <w:r w:rsidR="00A64B27">
                    <w:rPr>
                      <w:vertAlign w:val="superscript"/>
                    </w:rPr>
                    <w:t>2</w:t>
                  </w:r>
                  <w:r w:rsidRPr="00F71523">
                    <w:rPr>
                      <w:vertAlign w:val="superscript"/>
                    </w:rPr>
                    <w:t>)​</w:t>
                  </w:r>
                </w:p>
              </w:tc>
              <w:tc>
                <w:tcPr>
                  <w:tcW w:w="2903" w:type="dxa"/>
                  <w:hideMark/>
                </w:tcPr>
                <w:p w14:paraId="66E1CDAD" w14:textId="77777777" w:rsidR="0089374D" w:rsidRPr="00F71523" w:rsidRDefault="0089374D" w:rsidP="00CB1C25">
                  <w:pPr>
                    <w:pStyle w:val="TableText"/>
                  </w:pPr>
                  <w:r w:rsidRPr="00F71523">
                    <w:t>80% retention of the typical urban annual load​</w:t>
                  </w:r>
                </w:p>
              </w:tc>
            </w:tr>
            <w:tr w:rsidR="0089374D" w:rsidRPr="00F71523" w14:paraId="131062E2" w14:textId="77777777" w:rsidTr="00AA73EF">
              <w:tc>
                <w:tcPr>
                  <w:tcW w:w="1501" w:type="dxa"/>
                  <w:hideMark/>
                </w:tcPr>
                <w:p w14:paraId="28C56ECB" w14:textId="7872F36E" w:rsidR="0089374D" w:rsidRPr="00F71523" w:rsidRDefault="0089374D" w:rsidP="00CB1C25">
                  <w:pPr>
                    <w:pStyle w:val="TableText"/>
                  </w:pPr>
                  <w:r w:rsidRPr="00F71523">
                    <w:t>Total phosphorus (TP)</w:t>
                  </w:r>
                </w:p>
              </w:tc>
              <w:tc>
                <w:tcPr>
                  <w:tcW w:w="3098" w:type="dxa"/>
                  <w:hideMark/>
                </w:tcPr>
                <w:p w14:paraId="39381B38" w14:textId="6CF1BF90" w:rsidR="0089374D" w:rsidRPr="00F71523" w:rsidRDefault="0089374D" w:rsidP="00CF058D">
                  <w:pPr>
                    <w:pStyle w:val="TableText"/>
                  </w:pPr>
                  <w:r w:rsidRPr="00F71523">
                    <w:t xml:space="preserve">Comply with SEPP (base flow concentration not to exceed 0.08 mg/L) </w:t>
                  </w:r>
                  <w:r w:rsidRPr="00F71523">
                    <w:rPr>
                      <w:vertAlign w:val="superscript"/>
                    </w:rPr>
                    <w:t>(</w:t>
                  </w:r>
                  <w:r w:rsidR="00CF058D">
                    <w:rPr>
                      <w:vertAlign w:val="superscript"/>
                    </w:rPr>
                    <w:t>3</w:t>
                  </w:r>
                  <w:r w:rsidRPr="00F71523">
                    <w:rPr>
                      <w:vertAlign w:val="superscript"/>
                    </w:rPr>
                    <w:t>)</w:t>
                  </w:r>
                </w:p>
              </w:tc>
              <w:tc>
                <w:tcPr>
                  <w:tcW w:w="2903" w:type="dxa"/>
                  <w:hideMark/>
                </w:tcPr>
                <w:p w14:paraId="3878F309" w14:textId="77777777" w:rsidR="0089374D" w:rsidRPr="00F71523" w:rsidRDefault="0089374D" w:rsidP="00CB1C25">
                  <w:pPr>
                    <w:pStyle w:val="TableText"/>
                  </w:pPr>
                  <w:r w:rsidRPr="00F71523">
                    <w:t>45% retention of the typical urban annual load​</w:t>
                  </w:r>
                </w:p>
              </w:tc>
            </w:tr>
            <w:tr w:rsidR="0089374D" w:rsidRPr="00F71523" w14:paraId="3CA7570A" w14:textId="77777777" w:rsidTr="00AA73EF">
              <w:tc>
                <w:tcPr>
                  <w:tcW w:w="1501" w:type="dxa"/>
                  <w:hideMark/>
                </w:tcPr>
                <w:p w14:paraId="76AE3DEF" w14:textId="114EFA37" w:rsidR="0089374D" w:rsidRPr="00F71523" w:rsidRDefault="0089374D" w:rsidP="00CB1C25">
                  <w:pPr>
                    <w:pStyle w:val="TableText"/>
                  </w:pPr>
                  <w:r w:rsidRPr="00F71523">
                    <w:t>Total nitrogen (TN)</w:t>
                  </w:r>
                </w:p>
              </w:tc>
              <w:tc>
                <w:tcPr>
                  <w:tcW w:w="3098" w:type="dxa"/>
                  <w:hideMark/>
                </w:tcPr>
                <w:p w14:paraId="158ADEC1" w14:textId="1DE1D00C" w:rsidR="0089374D" w:rsidRPr="00F71523" w:rsidRDefault="0089374D" w:rsidP="00CF058D">
                  <w:pPr>
                    <w:pStyle w:val="TableText"/>
                  </w:pPr>
                  <w:r w:rsidRPr="00F71523">
                    <w:t xml:space="preserve">Comply with SEPP (base flow concentration not to exceed 0.9 mg/L) </w:t>
                  </w:r>
                  <w:r w:rsidRPr="00F71523">
                    <w:rPr>
                      <w:vertAlign w:val="superscript"/>
                    </w:rPr>
                    <w:t>(</w:t>
                  </w:r>
                  <w:r w:rsidR="00CF058D">
                    <w:rPr>
                      <w:vertAlign w:val="superscript"/>
                    </w:rPr>
                    <w:t>3</w:t>
                  </w:r>
                  <w:r w:rsidRPr="00F71523">
                    <w:rPr>
                      <w:vertAlign w:val="superscript"/>
                    </w:rPr>
                    <w:t>)</w:t>
                  </w:r>
                </w:p>
              </w:tc>
              <w:tc>
                <w:tcPr>
                  <w:tcW w:w="2903" w:type="dxa"/>
                  <w:hideMark/>
                </w:tcPr>
                <w:p w14:paraId="0B905F5E" w14:textId="77777777" w:rsidR="0089374D" w:rsidRPr="00F71523" w:rsidRDefault="0089374D" w:rsidP="00CB1C25">
                  <w:pPr>
                    <w:pStyle w:val="TableText"/>
                  </w:pPr>
                  <w:r w:rsidRPr="00F71523">
                    <w:t>45% retention of the typical urban annual load​</w:t>
                  </w:r>
                </w:p>
              </w:tc>
            </w:tr>
            <w:tr w:rsidR="0089374D" w:rsidRPr="00F71523" w14:paraId="72132D9C" w14:textId="77777777" w:rsidTr="00AA73EF">
              <w:tc>
                <w:tcPr>
                  <w:tcW w:w="1501" w:type="dxa"/>
                  <w:hideMark/>
                </w:tcPr>
                <w:p w14:paraId="7AC2F5D1" w14:textId="77777777" w:rsidR="0089374D" w:rsidRPr="00F71523" w:rsidRDefault="0089374D" w:rsidP="00CB1C25">
                  <w:pPr>
                    <w:pStyle w:val="TableText"/>
                  </w:pPr>
                  <w:r w:rsidRPr="00F71523">
                    <w:t>Litter​</w:t>
                  </w:r>
                </w:p>
              </w:tc>
              <w:tc>
                <w:tcPr>
                  <w:tcW w:w="3098" w:type="dxa"/>
                  <w:hideMark/>
                </w:tcPr>
                <w:p w14:paraId="245D554E" w14:textId="7AF71B72" w:rsidR="0089374D" w:rsidRPr="00F71523" w:rsidRDefault="0089374D" w:rsidP="00CF058D">
                  <w:pPr>
                    <w:pStyle w:val="TableText"/>
                  </w:pPr>
                  <w:r w:rsidRPr="00F71523">
                    <w:t xml:space="preserve">Comply with SEPP (No litter in waterways) </w:t>
                  </w:r>
                  <w:r w:rsidRPr="00F71523">
                    <w:rPr>
                      <w:vertAlign w:val="superscript"/>
                    </w:rPr>
                    <w:t>(</w:t>
                  </w:r>
                  <w:r w:rsidR="00CF058D">
                    <w:rPr>
                      <w:vertAlign w:val="superscript"/>
                    </w:rPr>
                    <w:t>2</w:t>
                  </w:r>
                  <w:r w:rsidRPr="00F71523">
                    <w:rPr>
                      <w:vertAlign w:val="superscript"/>
                    </w:rPr>
                    <w:t>)</w:t>
                  </w:r>
                </w:p>
              </w:tc>
              <w:tc>
                <w:tcPr>
                  <w:tcW w:w="2903" w:type="dxa"/>
                  <w:hideMark/>
                </w:tcPr>
                <w:p w14:paraId="2B9E46E9" w14:textId="74E4E25E" w:rsidR="0089374D" w:rsidRPr="00F71523" w:rsidRDefault="0089374D" w:rsidP="00CF058D">
                  <w:pPr>
                    <w:pStyle w:val="TableText"/>
                  </w:pPr>
                  <w:r w:rsidRPr="00F71523">
                    <w:t xml:space="preserve">70% reduction of typical urban annual load </w:t>
                  </w:r>
                  <w:r w:rsidRPr="00F71523">
                    <w:rPr>
                      <w:vertAlign w:val="superscript"/>
                    </w:rPr>
                    <w:t>(</w:t>
                  </w:r>
                  <w:r w:rsidR="00CF058D">
                    <w:rPr>
                      <w:vertAlign w:val="superscript"/>
                    </w:rPr>
                    <w:t>4</w:t>
                  </w:r>
                  <w:r w:rsidRPr="00F71523">
                    <w:rPr>
                      <w:vertAlign w:val="superscript"/>
                    </w:rPr>
                    <w:t>)​</w:t>
                  </w:r>
                </w:p>
              </w:tc>
            </w:tr>
            <w:tr w:rsidR="0089374D" w:rsidRPr="00F71523" w14:paraId="684024D6" w14:textId="77777777" w:rsidTr="00AA73EF">
              <w:tc>
                <w:tcPr>
                  <w:tcW w:w="1501" w:type="dxa"/>
                  <w:hideMark/>
                </w:tcPr>
                <w:p w14:paraId="64C9B91F" w14:textId="77777777" w:rsidR="0089374D" w:rsidRPr="00F71523" w:rsidRDefault="0089374D" w:rsidP="00CB1C25">
                  <w:pPr>
                    <w:pStyle w:val="TableText"/>
                  </w:pPr>
                  <w:r w:rsidRPr="00F71523">
                    <w:t>Flows​</w:t>
                  </w:r>
                </w:p>
              </w:tc>
              <w:tc>
                <w:tcPr>
                  <w:tcW w:w="3098" w:type="dxa"/>
                  <w:hideMark/>
                </w:tcPr>
                <w:p w14:paraId="29CFD96B" w14:textId="77777777" w:rsidR="0089374D" w:rsidRPr="00F71523" w:rsidRDefault="0089374D" w:rsidP="00CB1C25">
                  <w:pPr>
                    <w:pStyle w:val="TableText"/>
                  </w:pPr>
                  <w:r w:rsidRPr="00F71523">
                    <w:t>Maintain flows at pre-urbanisation levels​</w:t>
                  </w:r>
                </w:p>
              </w:tc>
              <w:tc>
                <w:tcPr>
                  <w:tcW w:w="2903" w:type="dxa"/>
                  <w:hideMark/>
                </w:tcPr>
                <w:p w14:paraId="25D49AB7" w14:textId="77777777" w:rsidR="0089374D" w:rsidRPr="00F71523" w:rsidRDefault="0089374D" w:rsidP="00CB1C25">
                  <w:pPr>
                    <w:pStyle w:val="TableText"/>
                  </w:pPr>
                  <w:r w:rsidRPr="00F71523">
                    <w:t>Maintain discharges for the 1.5 year ARI at pre-development levels​</w:t>
                  </w:r>
                </w:p>
              </w:tc>
            </w:tr>
          </w:tbl>
          <w:p w14:paraId="7FD21515" w14:textId="6BCF27BB" w:rsidR="0089374D" w:rsidRPr="00F71523" w:rsidRDefault="0089374D" w:rsidP="00AA73EF">
            <w:pPr>
              <w:pStyle w:val="Source"/>
              <w:spacing w:after="60"/>
              <w:rPr>
                <w:b/>
              </w:rPr>
            </w:pPr>
            <w:r w:rsidRPr="00F71523">
              <w:rPr>
                <w:b/>
              </w:rPr>
              <w:t>Notes</w:t>
            </w:r>
          </w:p>
          <w:p w14:paraId="0CF56CBC" w14:textId="7EB7BE6D" w:rsidR="0089374D" w:rsidRPr="00F71523" w:rsidRDefault="0089374D" w:rsidP="00453D99">
            <w:pPr>
              <w:pStyle w:val="Source"/>
              <w:spacing w:before="60" w:after="60"/>
              <w:ind w:left="340" w:hanging="340"/>
            </w:pPr>
            <w:r w:rsidRPr="00F71523">
              <w:t>1</w:t>
            </w:r>
            <w:r w:rsidRPr="00F71523">
              <w:tab/>
              <w:t>Best practice performance objectives are based on the Best Practice Environmental Management Guidelines for Urban Stormwater – CSIRO.</w:t>
            </w:r>
          </w:p>
          <w:p w14:paraId="397FC3AF" w14:textId="6A1156ED" w:rsidR="0089374D" w:rsidRPr="00F71523" w:rsidRDefault="0089374D" w:rsidP="00453D99">
            <w:pPr>
              <w:pStyle w:val="Source"/>
              <w:spacing w:before="60" w:after="60"/>
              <w:ind w:left="340" w:hanging="340"/>
            </w:pPr>
            <w:r w:rsidRPr="00F71523">
              <w:t>2</w:t>
            </w:r>
            <w:r w:rsidRPr="00F71523">
              <w:tab/>
              <w:t>An example using SEPP (Waters of Victoria), general surface waters segment.</w:t>
            </w:r>
          </w:p>
          <w:p w14:paraId="7582F08E" w14:textId="3640C1B4" w:rsidR="0089374D" w:rsidRPr="00F71523" w:rsidRDefault="0089374D" w:rsidP="00453D99">
            <w:pPr>
              <w:pStyle w:val="Source"/>
              <w:spacing w:before="60" w:after="60"/>
              <w:ind w:left="340" w:hanging="340"/>
            </w:pPr>
            <w:r w:rsidRPr="00F71523">
              <w:t>3</w:t>
            </w:r>
            <w:r w:rsidRPr="00F71523">
              <w:tab/>
              <w:t>SEPP Schedule F7 – Yarra Catchment – urban waterways for the Yarra River main stream.</w:t>
            </w:r>
          </w:p>
          <w:p w14:paraId="3B536B93" w14:textId="711354AB" w:rsidR="0089374D" w:rsidRPr="00F71523" w:rsidRDefault="00A64B27" w:rsidP="009D5805">
            <w:pPr>
              <w:pStyle w:val="Source"/>
              <w:spacing w:before="60" w:after="60"/>
              <w:ind w:left="340" w:hanging="340"/>
            </w:pPr>
            <w:r>
              <w:t>4</w:t>
            </w:r>
            <w:r>
              <w:tab/>
            </w:r>
            <w:r w:rsidR="0089374D" w:rsidRPr="00F71523">
              <w:t>Litter is defined as anthropogenic material larger than five millimetres.</w:t>
            </w:r>
          </w:p>
          <w:p w14:paraId="0A52C723" w14:textId="61D71333" w:rsidR="0089374D" w:rsidRPr="00F71523" w:rsidRDefault="0089374D" w:rsidP="00452C01">
            <w:pPr>
              <w:pStyle w:val="TableText"/>
              <w:spacing w:before="0"/>
            </w:pPr>
            <w:r w:rsidRPr="00F71523">
              <w:t>Sedimentation and pollution control measures must be applied to protect waterways in accordance with industry best practice. This shall include water quality monitoring, where required.</w:t>
            </w:r>
          </w:p>
        </w:tc>
        <w:tc>
          <w:tcPr>
            <w:tcW w:w="1168" w:type="dxa"/>
            <w:hideMark/>
          </w:tcPr>
          <w:p w14:paraId="24AE504D" w14:textId="77777777" w:rsidR="0089374D" w:rsidRPr="00F71523" w:rsidRDefault="0089374D" w:rsidP="00457BDE">
            <w:pPr>
              <w:pStyle w:val="TableText"/>
            </w:pPr>
            <w:r w:rsidRPr="00F71523">
              <w:t>2 – Western portal</w:t>
            </w:r>
          </w:p>
          <w:p w14:paraId="4E4B517E" w14:textId="77777777" w:rsidR="0089374D" w:rsidRPr="00F71523" w:rsidRDefault="0089374D" w:rsidP="00457BDE">
            <w:pPr>
              <w:pStyle w:val="TableText"/>
            </w:pPr>
            <w:r w:rsidRPr="00F71523">
              <w:t>8 – Eastern portal</w:t>
            </w:r>
          </w:p>
        </w:tc>
        <w:tc>
          <w:tcPr>
            <w:tcW w:w="1276" w:type="dxa"/>
            <w:hideMark/>
          </w:tcPr>
          <w:p w14:paraId="3A823F77" w14:textId="77777777" w:rsidR="0089374D" w:rsidRPr="00F71523" w:rsidRDefault="0089374D" w:rsidP="00457BDE">
            <w:pPr>
              <w:pStyle w:val="TableText"/>
            </w:pPr>
            <w:r w:rsidRPr="00F71523">
              <w:t>Operation</w:t>
            </w:r>
          </w:p>
        </w:tc>
        <w:tc>
          <w:tcPr>
            <w:tcW w:w="1383" w:type="dxa"/>
          </w:tcPr>
          <w:p w14:paraId="31C99944" w14:textId="0953DEBE" w:rsidR="0089374D" w:rsidRPr="00F71523" w:rsidRDefault="0089374D" w:rsidP="00953369">
            <w:pPr>
              <w:pStyle w:val="TableText"/>
              <w:jc w:val="center"/>
            </w:pPr>
            <w:r>
              <w:t>AE009</w:t>
            </w:r>
          </w:p>
        </w:tc>
      </w:tr>
      <w:tr w:rsidR="0089374D" w:rsidRPr="00F71523" w14:paraId="42AF396B" w14:textId="77777777" w:rsidTr="00CB066E">
        <w:trPr>
          <w:cantSplit/>
        </w:trPr>
        <w:tc>
          <w:tcPr>
            <w:tcW w:w="14567" w:type="dxa"/>
            <w:gridSpan w:val="6"/>
            <w:shd w:val="clear" w:color="auto" w:fill="F2F2F2" w:themeFill="background1" w:themeFillShade="F2"/>
            <w:hideMark/>
          </w:tcPr>
          <w:p w14:paraId="6DC53C82" w14:textId="77777777" w:rsidR="0089374D" w:rsidRPr="00F71523" w:rsidRDefault="0089374D" w:rsidP="00457BDE">
            <w:pPr>
              <w:pStyle w:val="TableText"/>
              <w:keepNext/>
              <w:keepLines/>
              <w:rPr>
                <w:rStyle w:val="CharacterStyle-Bold"/>
              </w:rPr>
            </w:pPr>
            <w:r w:rsidRPr="00F71523">
              <w:rPr>
                <w:rStyle w:val="CharacterStyle-Bold"/>
              </w:rPr>
              <w:lastRenderedPageBreak/>
              <w:t>Terrestrial flora and fauna</w:t>
            </w:r>
          </w:p>
        </w:tc>
      </w:tr>
      <w:tr w:rsidR="0089374D" w:rsidRPr="00F71523" w14:paraId="6D34FB02" w14:textId="77777777" w:rsidTr="00CB066E">
        <w:trPr>
          <w:cantSplit/>
        </w:trPr>
        <w:tc>
          <w:tcPr>
            <w:tcW w:w="2046" w:type="dxa"/>
            <w:vMerge w:val="restart"/>
            <w:hideMark/>
          </w:tcPr>
          <w:p w14:paraId="573A90D1" w14:textId="77777777" w:rsidR="0089374D" w:rsidRPr="00F71523" w:rsidRDefault="0089374D" w:rsidP="00CB1C25">
            <w:pPr>
              <w:pStyle w:val="TableText"/>
            </w:pPr>
            <w:r w:rsidRPr="00F71523">
              <w:t>Biodiversity – To avoid or minimise adverse effects on native terrestrial and aquatic flora and fauna, in the context of the project’s components and urban setting</w:t>
            </w:r>
          </w:p>
        </w:tc>
        <w:tc>
          <w:tcPr>
            <w:tcW w:w="800" w:type="dxa"/>
          </w:tcPr>
          <w:p w14:paraId="7CD27EAF" w14:textId="77777777" w:rsidR="0089374D" w:rsidRPr="00F71523" w:rsidRDefault="0089374D" w:rsidP="00953369">
            <w:pPr>
              <w:pStyle w:val="TableText"/>
              <w:jc w:val="center"/>
            </w:pPr>
            <w:r w:rsidRPr="00F71523">
              <w:t>FF1</w:t>
            </w:r>
          </w:p>
        </w:tc>
        <w:tc>
          <w:tcPr>
            <w:tcW w:w="7894" w:type="dxa"/>
          </w:tcPr>
          <w:p w14:paraId="3252FAD5" w14:textId="77777777" w:rsidR="0089374D" w:rsidRPr="00F71523" w:rsidRDefault="0089374D" w:rsidP="00CB1C25">
            <w:pPr>
              <w:pStyle w:val="TableText"/>
            </w:pPr>
            <w:r w:rsidRPr="00F71523">
              <w:t xml:space="preserve">Where ‘unavoidable’ native vegetation (as defined under relevant policy) needs to be removed, meet the requirements of the </w:t>
            </w:r>
            <w:r w:rsidRPr="00F71523">
              <w:rPr>
                <w:i/>
              </w:rPr>
              <w:t>Permitted Clearing of Native Vegetation – Biodiversity Assessment Guidelines</w:t>
            </w:r>
            <w:r w:rsidRPr="00F71523">
              <w:t>.</w:t>
            </w:r>
          </w:p>
        </w:tc>
        <w:tc>
          <w:tcPr>
            <w:tcW w:w="1168" w:type="dxa"/>
          </w:tcPr>
          <w:p w14:paraId="346D8F94" w14:textId="77777777" w:rsidR="0089374D" w:rsidRPr="00F71523" w:rsidRDefault="0089374D" w:rsidP="00457BDE">
            <w:pPr>
              <w:pStyle w:val="TableText"/>
            </w:pPr>
            <w:r w:rsidRPr="00F71523">
              <w:t>All</w:t>
            </w:r>
          </w:p>
        </w:tc>
        <w:tc>
          <w:tcPr>
            <w:tcW w:w="1276" w:type="dxa"/>
          </w:tcPr>
          <w:p w14:paraId="6A29DE34" w14:textId="77777777" w:rsidR="0089374D" w:rsidRPr="00F71523" w:rsidRDefault="0089374D" w:rsidP="00457BDE">
            <w:pPr>
              <w:pStyle w:val="TableText"/>
            </w:pPr>
            <w:r w:rsidRPr="00F71523">
              <w:t>Construction</w:t>
            </w:r>
          </w:p>
        </w:tc>
        <w:tc>
          <w:tcPr>
            <w:tcW w:w="1383" w:type="dxa"/>
          </w:tcPr>
          <w:p w14:paraId="633E6EFE" w14:textId="4DD97869" w:rsidR="0089374D" w:rsidRPr="00F71523" w:rsidRDefault="0089374D" w:rsidP="0089374D">
            <w:pPr>
              <w:pStyle w:val="TableText"/>
              <w:jc w:val="center"/>
            </w:pPr>
            <w:r w:rsidRPr="004A463A">
              <w:t>TE005</w:t>
            </w:r>
            <w:r>
              <w:t xml:space="preserve">, </w:t>
            </w:r>
            <w:r w:rsidRPr="004A463A">
              <w:t>TE006</w:t>
            </w:r>
          </w:p>
        </w:tc>
      </w:tr>
      <w:tr w:rsidR="0089374D" w:rsidRPr="00F71523" w14:paraId="4D97AEFA" w14:textId="77777777" w:rsidTr="00CB066E">
        <w:trPr>
          <w:cantSplit/>
        </w:trPr>
        <w:tc>
          <w:tcPr>
            <w:tcW w:w="2046" w:type="dxa"/>
            <w:vMerge/>
            <w:hideMark/>
          </w:tcPr>
          <w:p w14:paraId="248E7BC8" w14:textId="77777777" w:rsidR="0089374D" w:rsidRPr="00F71523" w:rsidRDefault="0089374D" w:rsidP="00CB1C25">
            <w:pPr>
              <w:pStyle w:val="TableText"/>
            </w:pPr>
          </w:p>
        </w:tc>
        <w:tc>
          <w:tcPr>
            <w:tcW w:w="800" w:type="dxa"/>
          </w:tcPr>
          <w:p w14:paraId="092F6B78" w14:textId="77777777" w:rsidR="0089374D" w:rsidRPr="00F71523" w:rsidRDefault="0089374D" w:rsidP="00953369">
            <w:pPr>
              <w:pStyle w:val="TableText"/>
              <w:jc w:val="center"/>
            </w:pPr>
            <w:r w:rsidRPr="00F71523">
              <w:t>FF2</w:t>
            </w:r>
          </w:p>
        </w:tc>
        <w:tc>
          <w:tcPr>
            <w:tcW w:w="7894" w:type="dxa"/>
          </w:tcPr>
          <w:p w14:paraId="7B3A9CD4" w14:textId="77777777" w:rsidR="0089374D" w:rsidRPr="00F71523" w:rsidRDefault="0089374D" w:rsidP="00CB1C25">
            <w:pPr>
              <w:pStyle w:val="TableText"/>
            </w:pPr>
            <w:r w:rsidRPr="00F71523">
              <w:t>Develop and implement measures to avoid the spread or introduction of weeds and pathogens during construction, including vehicle hygiene.</w:t>
            </w:r>
          </w:p>
        </w:tc>
        <w:tc>
          <w:tcPr>
            <w:tcW w:w="1168" w:type="dxa"/>
          </w:tcPr>
          <w:p w14:paraId="129F60BD" w14:textId="77777777" w:rsidR="0089374D" w:rsidRPr="00F71523" w:rsidRDefault="0089374D" w:rsidP="00457BDE">
            <w:pPr>
              <w:pStyle w:val="TableText"/>
            </w:pPr>
            <w:r w:rsidRPr="00F71523">
              <w:t>All</w:t>
            </w:r>
          </w:p>
        </w:tc>
        <w:tc>
          <w:tcPr>
            <w:tcW w:w="1276" w:type="dxa"/>
          </w:tcPr>
          <w:p w14:paraId="074EDF8C" w14:textId="77777777" w:rsidR="0089374D" w:rsidRPr="00F71523" w:rsidRDefault="0089374D" w:rsidP="00457BDE">
            <w:pPr>
              <w:pStyle w:val="TableText"/>
            </w:pPr>
            <w:r w:rsidRPr="00F71523">
              <w:t>Construction</w:t>
            </w:r>
          </w:p>
        </w:tc>
        <w:tc>
          <w:tcPr>
            <w:tcW w:w="1383" w:type="dxa"/>
          </w:tcPr>
          <w:p w14:paraId="77E2A9C4" w14:textId="6A02B1D9" w:rsidR="0089374D" w:rsidRPr="00F71523" w:rsidRDefault="0089374D" w:rsidP="00C712B8">
            <w:pPr>
              <w:pStyle w:val="TableText"/>
              <w:jc w:val="center"/>
            </w:pPr>
            <w:r w:rsidRPr="004A463A">
              <w:t>TE001</w:t>
            </w:r>
            <w:r>
              <w:t xml:space="preserve">, </w:t>
            </w:r>
            <w:r w:rsidRPr="004A463A">
              <w:t>TE002</w:t>
            </w:r>
            <w:r>
              <w:t xml:space="preserve">, </w:t>
            </w:r>
            <w:r w:rsidRPr="004A463A">
              <w:t>TE005</w:t>
            </w:r>
            <w:r>
              <w:t xml:space="preserve">, </w:t>
            </w:r>
            <w:r w:rsidRPr="004A463A">
              <w:t>TE006</w:t>
            </w:r>
          </w:p>
        </w:tc>
      </w:tr>
      <w:tr w:rsidR="0089374D" w:rsidRPr="00F71523" w14:paraId="5EC4C14E" w14:textId="77777777" w:rsidTr="00CB066E">
        <w:trPr>
          <w:cantSplit/>
        </w:trPr>
        <w:tc>
          <w:tcPr>
            <w:tcW w:w="2046" w:type="dxa"/>
            <w:vMerge/>
          </w:tcPr>
          <w:p w14:paraId="598915FD" w14:textId="77777777" w:rsidR="0089374D" w:rsidRPr="00F71523" w:rsidRDefault="0089374D" w:rsidP="00CB1C25">
            <w:pPr>
              <w:pStyle w:val="TableText"/>
            </w:pPr>
          </w:p>
        </w:tc>
        <w:tc>
          <w:tcPr>
            <w:tcW w:w="800" w:type="dxa"/>
          </w:tcPr>
          <w:p w14:paraId="7B1D7EE5" w14:textId="4891623C" w:rsidR="0089374D" w:rsidRPr="00F71523" w:rsidRDefault="0089374D" w:rsidP="00953369">
            <w:pPr>
              <w:pStyle w:val="TableText"/>
              <w:jc w:val="center"/>
            </w:pPr>
            <w:r w:rsidRPr="00F71523">
              <w:t>FF3</w:t>
            </w:r>
          </w:p>
        </w:tc>
        <w:tc>
          <w:tcPr>
            <w:tcW w:w="7894" w:type="dxa"/>
          </w:tcPr>
          <w:p w14:paraId="66D47F35" w14:textId="20417976" w:rsidR="0089374D" w:rsidRPr="00F71523" w:rsidRDefault="0089374D" w:rsidP="00D65455">
            <w:pPr>
              <w:pStyle w:val="TableText"/>
            </w:pPr>
            <w:r w:rsidRPr="00F71523">
              <w:t>Prior to site clearance for construction, all vegetation being removed is to be inspected by a suitably experienced and qualified environmental officer for habitat features and fauna occupancy.</w:t>
            </w:r>
            <w:r>
              <w:t xml:space="preserve"> </w:t>
            </w:r>
            <w:r w:rsidRPr="00F71523">
              <w:t>Where non-listed species (native and exotic) are encountered, any individuals will be encouraged to leave the tree or vegetation.</w:t>
            </w:r>
            <w:r>
              <w:t xml:space="preserve"> </w:t>
            </w:r>
            <w:r w:rsidRPr="00F71523">
              <w:t>Where nests/young are encountered, they will be relocated to a similar tree (or habitat) in close proximity.</w:t>
            </w:r>
          </w:p>
          <w:p w14:paraId="359A1E4A" w14:textId="04434D24" w:rsidR="0089374D" w:rsidRPr="00F71523" w:rsidRDefault="0089374D">
            <w:pPr>
              <w:pStyle w:val="TableText"/>
            </w:pPr>
            <w:r w:rsidRPr="00F71523">
              <w:t>Prior to site clearance for construction, develop a translocation plan for the management of listed fauna species if encountered.</w:t>
            </w:r>
          </w:p>
        </w:tc>
        <w:tc>
          <w:tcPr>
            <w:tcW w:w="1168" w:type="dxa"/>
          </w:tcPr>
          <w:p w14:paraId="7488C38A" w14:textId="0C726A4C" w:rsidR="0089374D" w:rsidRPr="00F71523" w:rsidRDefault="0089374D" w:rsidP="00457BDE">
            <w:pPr>
              <w:pStyle w:val="TableText"/>
            </w:pPr>
            <w:r w:rsidRPr="00F71523">
              <w:t>All</w:t>
            </w:r>
          </w:p>
        </w:tc>
        <w:tc>
          <w:tcPr>
            <w:tcW w:w="1276" w:type="dxa"/>
          </w:tcPr>
          <w:p w14:paraId="3DC269FD" w14:textId="1C649890" w:rsidR="0089374D" w:rsidRPr="00F71523" w:rsidRDefault="0089374D" w:rsidP="00457BDE">
            <w:pPr>
              <w:pStyle w:val="TableText"/>
            </w:pPr>
            <w:r w:rsidRPr="00F71523">
              <w:t>Construction</w:t>
            </w:r>
          </w:p>
        </w:tc>
        <w:tc>
          <w:tcPr>
            <w:tcW w:w="1383" w:type="dxa"/>
          </w:tcPr>
          <w:p w14:paraId="6668D51E" w14:textId="3CAC9781" w:rsidR="0089374D" w:rsidRPr="00F71523" w:rsidRDefault="0089374D" w:rsidP="00953369">
            <w:pPr>
              <w:pStyle w:val="TableText"/>
              <w:jc w:val="center"/>
            </w:pPr>
            <w:r w:rsidRPr="004A463A">
              <w:t>TE001 to TE006</w:t>
            </w:r>
          </w:p>
        </w:tc>
      </w:tr>
      <w:tr w:rsidR="0089374D" w:rsidRPr="00F71523" w14:paraId="6C522187" w14:textId="77777777" w:rsidTr="00CB066E">
        <w:trPr>
          <w:cantSplit/>
        </w:trPr>
        <w:tc>
          <w:tcPr>
            <w:tcW w:w="2046" w:type="dxa"/>
            <w:vMerge/>
            <w:hideMark/>
          </w:tcPr>
          <w:p w14:paraId="4F208084" w14:textId="77777777" w:rsidR="0089374D" w:rsidRPr="00F71523" w:rsidRDefault="0089374D" w:rsidP="00CB1C25">
            <w:pPr>
              <w:pStyle w:val="TableText"/>
            </w:pPr>
          </w:p>
        </w:tc>
        <w:tc>
          <w:tcPr>
            <w:tcW w:w="12521" w:type="dxa"/>
            <w:gridSpan w:val="5"/>
            <w:hideMark/>
          </w:tcPr>
          <w:p w14:paraId="2CEF1DAC" w14:textId="77777777" w:rsidR="0089374D" w:rsidRPr="00F71523" w:rsidRDefault="0089374D" w:rsidP="00457BDE">
            <w:pPr>
              <w:pStyle w:val="TableText"/>
              <w:rPr>
                <w:b/>
              </w:rPr>
            </w:pPr>
            <w:r w:rsidRPr="00F71523">
              <w:rPr>
                <w:b/>
              </w:rPr>
              <w:t>Also refer to the following Environmental Performance Requirements for ‘Terrestrial Flora and Fauna’: AR3, AE1, AE2, AE3, AE4, AE5, AE6, AE7, AE8, NV4</w:t>
            </w:r>
          </w:p>
        </w:tc>
      </w:tr>
    </w:tbl>
    <w:p w14:paraId="322B4190" w14:textId="518E7A6B" w:rsidR="007571B9" w:rsidRPr="00F71523" w:rsidRDefault="007571B9" w:rsidP="00970474">
      <w:pPr>
        <w:pStyle w:val="BodyText"/>
      </w:pPr>
    </w:p>
    <w:p w14:paraId="407F0CE0" w14:textId="77777777" w:rsidR="00D377B9" w:rsidRPr="00F71523" w:rsidRDefault="00D377B9" w:rsidP="00970474">
      <w:pPr>
        <w:pStyle w:val="BodyText"/>
        <w:sectPr w:rsidR="00D377B9" w:rsidRPr="00F71523" w:rsidSect="00457BDE">
          <w:footnotePr>
            <w:numFmt w:val="chicago"/>
            <w:numRestart w:val="eachPage"/>
          </w:footnotePr>
          <w:pgSz w:w="16838" w:h="11906" w:orient="landscape" w:code="9"/>
          <w:pgMar w:top="1701" w:right="1418" w:bottom="1701" w:left="1418" w:header="567" w:footer="567" w:gutter="0"/>
          <w:pgNumType w:start="11" w:chapStyle="1" w:chapSep="enDash"/>
          <w:cols w:space="708"/>
          <w:formProt w:val="0"/>
          <w:docGrid w:linePitch="360"/>
        </w:sectPr>
      </w:pPr>
    </w:p>
    <w:p w14:paraId="651DC5DD" w14:textId="77777777" w:rsidR="002F1C5F" w:rsidRPr="00F71523" w:rsidRDefault="002F1C5F" w:rsidP="00466BBB">
      <w:pPr>
        <w:pStyle w:val="Heading2"/>
      </w:pPr>
      <w:bookmarkStart w:id="17" w:name="_Ref446407745"/>
      <w:bookmarkStart w:id="18" w:name="_Toc450895089"/>
      <w:r w:rsidRPr="00F71523">
        <w:lastRenderedPageBreak/>
        <w:t>Environmental Management Documentation</w:t>
      </w:r>
      <w:bookmarkEnd w:id="17"/>
      <w:bookmarkEnd w:id="18"/>
    </w:p>
    <w:p w14:paraId="423C9CFB" w14:textId="77777777" w:rsidR="002F1C5F" w:rsidRPr="00F71523" w:rsidRDefault="002F1C5F" w:rsidP="002F1C5F">
      <w:pPr>
        <w:pStyle w:val="Heading3"/>
      </w:pPr>
      <w:bookmarkStart w:id="19" w:name="_Ref447512857"/>
      <w:r w:rsidRPr="00F71523">
        <w:t>Overview</w:t>
      </w:r>
      <w:bookmarkEnd w:id="19"/>
    </w:p>
    <w:p w14:paraId="2A5F2007" w14:textId="209C5152" w:rsidR="004C0087" w:rsidRPr="00F71523" w:rsidRDefault="002F1C5F" w:rsidP="002F1C5F">
      <w:pPr>
        <w:pStyle w:val="BodyText"/>
      </w:pPr>
      <w:r w:rsidRPr="00F71523">
        <w:t xml:space="preserve">The EMF is made up of a number of key pieces of documentation from MMRA (on behalf of the State Government) and the </w:t>
      </w:r>
      <w:r w:rsidR="00452C01">
        <w:t>c</w:t>
      </w:r>
      <w:r w:rsidRPr="00F71523">
        <w:t xml:space="preserve">ontractor, as well as relevant legislation and approvals that must be complied with (refer to </w:t>
      </w:r>
      <w:r w:rsidR="00C96C5C" w:rsidRPr="00F71523">
        <w:fldChar w:fldCharType="begin"/>
      </w:r>
      <w:r w:rsidR="00C96C5C" w:rsidRPr="00F71523">
        <w:instrText xml:space="preserve"> REF _Ref447513026 \h </w:instrText>
      </w:r>
      <w:r w:rsidR="00C96C5C" w:rsidRPr="00F71523">
        <w:fldChar w:fldCharType="separate"/>
      </w:r>
      <w:r w:rsidR="002F5366" w:rsidRPr="00F71523">
        <w:t>Figure </w:t>
      </w:r>
      <w:r w:rsidR="002F5366">
        <w:rPr>
          <w:noProof/>
          <w:cs/>
        </w:rPr>
        <w:t>‎</w:t>
      </w:r>
      <w:r w:rsidR="002F5366">
        <w:rPr>
          <w:noProof/>
        </w:rPr>
        <w:t>23</w:t>
      </w:r>
      <w:r w:rsidR="002F5366" w:rsidRPr="00F71523">
        <w:noBreakHyphen/>
      </w:r>
      <w:r w:rsidR="002F5366">
        <w:rPr>
          <w:noProof/>
        </w:rPr>
        <w:t>3</w:t>
      </w:r>
      <w:r w:rsidR="00C96C5C" w:rsidRPr="00F71523">
        <w:fldChar w:fldCharType="end"/>
      </w:r>
      <w:r w:rsidRPr="00F71523">
        <w:t xml:space="preserve">). At the State level, MMRA would be the owner and administrator of the Environmental Performance Requirements, MMRA Environmental Policy, </w:t>
      </w:r>
      <w:r w:rsidR="004C0087" w:rsidRPr="00F71523">
        <w:t xml:space="preserve">MMRA </w:t>
      </w:r>
      <w:r w:rsidRPr="00F71523">
        <w:t xml:space="preserve">EMS and statutory decisions and approvals. </w:t>
      </w:r>
    </w:p>
    <w:p w14:paraId="1E5C7407" w14:textId="77777777" w:rsidR="004C0087" w:rsidRPr="00F71523" w:rsidRDefault="004C0087" w:rsidP="004C0087">
      <w:pPr>
        <w:pStyle w:val="BodyText"/>
      </w:pPr>
      <w:r w:rsidRPr="00F71523">
        <w:t>The Environmental Vision stated in the MMRA Environmental Policy is:</w:t>
      </w:r>
    </w:p>
    <w:p w14:paraId="5BDBEEF5" w14:textId="77777777" w:rsidR="004C0087" w:rsidRPr="00F71523" w:rsidRDefault="004C0087" w:rsidP="00457BDE">
      <w:pPr>
        <w:pStyle w:val="Quote"/>
        <w:pBdr>
          <w:left w:val="none" w:sz="0" w:space="0" w:color="auto"/>
        </w:pBdr>
      </w:pPr>
      <w:r w:rsidRPr="00F71523">
        <w:t>"</w:t>
      </w:r>
      <w:proofErr w:type="gramStart"/>
      <w:r w:rsidRPr="00F71523">
        <w:t>to</w:t>
      </w:r>
      <w:proofErr w:type="gramEnd"/>
      <w:r w:rsidRPr="00F71523">
        <w:t xml:space="preserve"> be an industry leader in managing the environmental impacts of delivering major infrastructure projects".</w:t>
      </w:r>
    </w:p>
    <w:p w14:paraId="1F6B129C" w14:textId="27E86FBD" w:rsidR="002F1C5F" w:rsidRPr="00F71523" w:rsidRDefault="002F1C5F" w:rsidP="002F1C5F">
      <w:pPr>
        <w:pStyle w:val="BodyText"/>
      </w:pPr>
      <w:r w:rsidRPr="00F71523">
        <w:t xml:space="preserve">The </w:t>
      </w:r>
      <w:r w:rsidR="004C0087" w:rsidRPr="00F71523">
        <w:t xml:space="preserve">MMRA </w:t>
      </w:r>
      <w:r w:rsidRPr="00F71523">
        <w:t xml:space="preserve">EMS (aligned to </w:t>
      </w:r>
      <w:r w:rsidRPr="00F71523">
        <w:rPr>
          <w:rStyle w:val="CharacterStyle-Italic"/>
        </w:rPr>
        <w:t>AS/NZS ISO 14001: 2015 Environmental management systems</w:t>
      </w:r>
      <w:r w:rsidR="004E78F0" w:rsidRPr="00F71523">
        <w:rPr>
          <w:rStyle w:val="CharacterStyle-Italic"/>
        </w:rPr>
        <w:t xml:space="preserve"> – </w:t>
      </w:r>
      <w:r w:rsidRPr="00F71523">
        <w:rPr>
          <w:rStyle w:val="CharacterStyle-Italic"/>
        </w:rPr>
        <w:t>requirements with guidance for use</w:t>
      </w:r>
      <w:r w:rsidRPr="00F71523">
        <w:t xml:space="preserve">) would outline and track compliance with the environmental management responsibilities for all parties including the delivery contractors (the </w:t>
      </w:r>
      <w:r w:rsidR="00452C01">
        <w:t>c</w:t>
      </w:r>
      <w:r w:rsidRPr="00F71523">
        <w:t>ontractors).</w:t>
      </w:r>
      <w:r w:rsidR="004C0087" w:rsidRPr="00F71523">
        <w:t xml:space="preserve"> Additional MMRA strategies and plans include the Cultural Heritage Management Plan (currently under development), the Urban Design Strategy</w:t>
      </w:r>
      <w:r w:rsidR="00081396" w:rsidRPr="00F71523">
        <w:t xml:space="preserve"> and</w:t>
      </w:r>
      <w:r w:rsidR="00064AA5" w:rsidRPr="00F71523">
        <w:t xml:space="preserve"> the </w:t>
      </w:r>
      <w:r w:rsidR="00064AA5" w:rsidRPr="00CB066E">
        <w:t>Community and Stakeholder Engagement Plan</w:t>
      </w:r>
      <w:r w:rsidR="00440A29" w:rsidRPr="00CB066E">
        <w:t>.</w:t>
      </w:r>
    </w:p>
    <w:p w14:paraId="69B5A9D6" w14:textId="6D82E058" w:rsidR="002F1C5F" w:rsidRPr="00F71523" w:rsidRDefault="002F1C5F" w:rsidP="002F1C5F">
      <w:pPr>
        <w:pStyle w:val="BodyText"/>
      </w:pPr>
      <w:r w:rsidRPr="00F71523">
        <w:t xml:space="preserve">MMRA would also be responsible for administering the Project </w:t>
      </w:r>
      <w:r w:rsidR="00B17076" w:rsidRPr="00F71523">
        <w:t>Contracts</w:t>
      </w:r>
      <w:r w:rsidRPr="00F71523">
        <w:t xml:space="preserve"> on behalf of the State Government in accordance with its </w:t>
      </w:r>
      <w:r w:rsidR="004C0087" w:rsidRPr="00F71523">
        <w:t>EMS</w:t>
      </w:r>
      <w:r w:rsidRPr="00F71523">
        <w:t xml:space="preserve"> and procedures. </w:t>
      </w:r>
    </w:p>
    <w:p w14:paraId="7941554C" w14:textId="1B135AF0" w:rsidR="002F1C5F" w:rsidRPr="00F71523" w:rsidRDefault="002F1C5F" w:rsidP="002F1C5F">
      <w:pPr>
        <w:pStyle w:val="BodyText"/>
      </w:pPr>
      <w:r w:rsidRPr="00F71523">
        <w:t xml:space="preserve">The </w:t>
      </w:r>
      <w:r w:rsidR="00452C01">
        <w:t>c</w:t>
      </w:r>
      <w:r w:rsidRPr="00F71523">
        <w:t xml:space="preserve">ontractors would each be required to develop and implement a project-specific EMS for construction of the </w:t>
      </w:r>
      <w:r w:rsidR="00E75ECF" w:rsidRPr="00F71523">
        <w:t xml:space="preserve">project </w:t>
      </w:r>
      <w:r w:rsidRPr="00F71523">
        <w:t xml:space="preserve">that is </w:t>
      </w:r>
      <w:r w:rsidR="004C0087" w:rsidRPr="00F71523">
        <w:t xml:space="preserve">certified to AS/NZS ISO 14001: 2015 and </w:t>
      </w:r>
      <w:r w:rsidRPr="00F71523">
        <w:t xml:space="preserve">consistent with the </w:t>
      </w:r>
      <w:r w:rsidR="004C0087" w:rsidRPr="00F71523">
        <w:t xml:space="preserve">MMRA </w:t>
      </w:r>
      <w:r w:rsidRPr="00F71523">
        <w:t xml:space="preserve">EMS. The purpose of the EMS would be to establish a system whereby environmental risks and impacts are managed and there is a process for identifying opportunities of continual improvement across the </w:t>
      </w:r>
      <w:r w:rsidR="00E75ECF" w:rsidRPr="00F71523">
        <w:t>project</w:t>
      </w:r>
      <w:r w:rsidRPr="00F71523">
        <w:t xml:space="preserve">. </w:t>
      </w:r>
    </w:p>
    <w:p w14:paraId="5A724DA7" w14:textId="4677ED1C" w:rsidR="002F1C5F" w:rsidRPr="00F71523" w:rsidRDefault="002F1C5F" w:rsidP="002F1C5F">
      <w:pPr>
        <w:pStyle w:val="BodyText"/>
      </w:pPr>
      <w:r w:rsidRPr="00F71523">
        <w:t xml:space="preserve">MMRA together with </w:t>
      </w:r>
      <w:r w:rsidR="00452C01">
        <w:t>the c</w:t>
      </w:r>
      <w:r w:rsidRPr="00F71523">
        <w:t xml:space="preserve">ontractors would prepare plans to comply with the approval conditions of the </w:t>
      </w:r>
      <w:r w:rsidR="004C0087" w:rsidRPr="00F71523">
        <w:t>planning controls applied under the P</w:t>
      </w:r>
      <w:r w:rsidR="00E75ECF" w:rsidRPr="00F71523">
        <w:t xml:space="preserve">lanning </w:t>
      </w:r>
      <w:r w:rsidR="004C0087" w:rsidRPr="00F71523">
        <w:t>S</w:t>
      </w:r>
      <w:r w:rsidR="00E75ECF" w:rsidRPr="00F71523">
        <w:t xml:space="preserve">cheme </w:t>
      </w:r>
      <w:r w:rsidR="004C0087" w:rsidRPr="00F71523">
        <w:t>A</w:t>
      </w:r>
      <w:r w:rsidR="00E75ECF" w:rsidRPr="00F71523">
        <w:t>mendment</w:t>
      </w:r>
      <w:r w:rsidRPr="00F71523">
        <w:t xml:space="preserve">. </w:t>
      </w:r>
      <w:r w:rsidR="004C0087" w:rsidRPr="00F71523">
        <w:t xml:space="preserve">Each </w:t>
      </w:r>
      <w:r w:rsidR="00D40BED">
        <w:t>c</w:t>
      </w:r>
      <w:r w:rsidRPr="00F71523">
        <w:t xml:space="preserve">ontractor would also be required to prepare </w:t>
      </w:r>
      <w:r w:rsidR="004C0087" w:rsidRPr="00F71523">
        <w:t xml:space="preserve">a </w:t>
      </w:r>
      <w:r w:rsidRPr="00F71523">
        <w:t>Construction Environmental Management Plan (CEMP)</w:t>
      </w:r>
      <w:r w:rsidR="004C0087" w:rsidRPr="00F71523">
        <w:t>, S</w:t>
      </w:r>
      <w:r w:rsidRPr="00F71523">
        <w:t>ite Environment Implementation Plan</w:t>
      </w:r>
      <w:r w:rsidR="004C0087" w:rsidRPr="00F71523">
        <w:t>(</w:t>
      </w:r>
      <w:r w:rsidRPr="00F71523">
        <w:t>s</w:t>
      </w:r>
      <w:r w:rsidR="004C0087" w:rsidRPr="00F71523">
        <w:t>)</w:t>
      </w:r>
      <w:r w:rsidRPr="00F71523">
        <w:t xml:space="preserve"> (SEIPs)</w:t>
      </w:r>
      <w:r w:rsidR="004C0087" w:rsidRPr="00F71523">
        <w:t xml:space="preserve"> and a Traffic Management Plan</w:t>
      </w:r>
      <w:r w:rsidR="0090365A" w:rsidRPr="00F71523">
        <w:t xml:space="preserve"> for the construction phase</w:t>
      </w:r>
      <w:r w:rsidRPr="00F71523">
        <w:t>.</w:t>
      </w:r>
      <w:r w:rsidR="0090365A" w:rsidRPr="00F71523">
        <w:t xml:space="preserve"> For the operations phase, the PPP </w:t>
      </w:r>
      <w:r w:rsidR="00D40BED">
        <w:t>c</w:t>
      </w:r>
      <w:r w:rsidR="0090365A" w:rsidRPr="00F71523">
        <w:t xml:space="preserve">ontractor would be required to prepare </w:t>
      </w:r>
      <w:r w:rsidR="00F71523" w:rsidRPr="00F71523">
        <w:t>an</w:t>
      </w:r>
      <w:r w:rsidR="0090365A" w:rsidRPr="00F71523">
        <w:t xml:space="preserve"> Operations Environmental Management Plan (OEMP).</w:t>
      </w:r>
    </w:p>
    <w:p w14:paraId="6E19E20C" w14:textId="20F15A21" w:rsidR="002F1C5F" w:rsidRPr="00F71523" w:rsidRDefault="002F1C5F" w:rsidP="002F1C5F">
      <w:pPr>
        <w:pStyle w:val="BodyText"/>
      </w:pPr>
      <w:r w:rsidRPr="00F71523">
        <w:t xml:space="preserve">A detailed description of the key documentation elements of the EMF is provided in </w:t>
      </w:r>
      <w:r w:rsidR="00A04D30" w:rsidRPr="00F71523">
        <w:fldChar w:fldCharType="begin"/>
      </w:r>
      <w:r w:rsidR="00A04D30" w:rsidRPr="00F71523">
        <w:instrText xml:space="preserve"> REF _Ref446097439 \h </w:instrText>
      </w:r>
      <w:r w:rsidR="00A04D30" w:rsidRPr="00F71523">
        <w:fldChar w:fldCharType="separate"/>
      </w:r>
      <w:r w:rsidR="002F5366" w:rsidRPr="00F71523">
        <w:t xml:space="preserve">Table </w:t>
      </w:r>
      <w:r w:rsidR="002F5366">
        <w:rPr>
          <w:noProof/>
          <w:cs/>
        </w:rPr>
        <w:t>‎</w:t>
      </w:r>
      <w:r w:rsidR="002F5366">
        <w:rPr>
          <w:noProof/>
        </w:rPr>
        <w:t>23</w:t>
      </w:r>
      <w:r w:rsidR="002F5366" w:rsidRPr="00F71523">
        <w:t>–</w:t>
      </w:r>
      <w:r w:rsidR="002F5366">
        <w:rPr>
          <w:noProof/>
        </w:rPr>
        <w:t>3</w:t>
      </w:r>
      <w:r w:rsidR="00A04D30" w:rsidRPr="00F71523">
        <w:fldChar w:fldCharType="end"/>
      </w:r>
      <w:r w:rsidRPr="00F71523">
        <w:t>.</w:t>
      </w:r>
    </w:p>
    <w:p w14:paraId="7201D327" w14:textId="77777777" w:rsidR="002F1C5F" w:rsidRDefault="002F1C5F" w:rsidP="002F1C5F">
      <w:pPr>
        <w:pStyle w:val="Caption"/>
      </w:pPr>
      <w:bookmarkStart w:id="20" w:name="_Ref447513026"/>
      <w:r w:rsidRPr="00F71523">
        <w:lastRenderedPageBreak/>
        <w:t>Figure </w:t>
      </w:r>
      <w:fldSimple w:instr=" STYLEREF 1 \s ">
        <w:r w:rsidR="002F5366">
          <w:rPr>
            <w:noProof/>
            <w:cs/>
          </w:rPr>
          <w:t>‎</w:t>
        </w:r>
        <w:r w:rsidR="002F5366">
          <w:rPr>
            <w:noProof/>
          </w:rPr>
          <w:t>23</w:t>
        </w:r>
      </w:fldSimple>
      <w:r w:rsidR="00E6554C" w:rsidRPr="00F71523">
        <w:noBreakHyphen/>
      </w:r>
      <w:fldSimple w:instr=" SEQ Figure \* ARABIC \s 1 ">
        <w:r w:rsidR="002F5366">
          <w:rPr>
            <w:noProof/>
          </w:rPr>
          <w:t>3</w:t>
        </w:r>
      </w:fldSimple>
      <w:bookmarkEnd w:id="20"/>
      <w:r w:rsidRPr="00F71523">
        <w:tab/>
        <w:t>Environmental Management Framework</w:t>
      </w:r>
    </w:p>
    <w:p w14:paraId="7F7CA8B1" w14:textId="169304C4" w:rsidR="00947F90" w:rsidRPr="00947F90" w:rsidRDefault="00947F90" w:rsidP="00947F90">
      <w:pPr>
        <w:pStyle w:val="Object"/>
      </w:pPr>
      <w:r w:rsidRPr="00947F90">
        <w:rPr>
          <w:noProof/>
          <w:lang w:eastAsia="en-AU"/>
        </w:rPr>
        <mc:AlternateContent>
          <mc:Choice Requires="wpg">
            <w:drawing>
              <wp:inline distT="0" distB="0" distL="0" distR="0" wp14:anchorId="5CDF135A" wp14:editId="74F65B5A">
                <wp:extent cx="4206617" cy="6072211"/>
                <wp:effectExtent l="0" t="0" r="22860" b="24130"/>
                <wp:docPr id="174" name="Group 17"/>
                <wp:cNvGraphicFramePr/>
                <a:graphic xmlns:a="http://schemas.openxmlformats.org/drawingml/2006/main">
                  <a:graphicData uri="http://schemas.microsoft.com/office/word/2010/wordprocessingGroup">
                    <wpg:wgp>
                      <wpg:cNvGrpSpPr/>
                      <wpg:grpSpPr>
                        <a:xfrm>
                          <a:off x="0" y="0"/>
                          <a:ext cx="4206617" cy="6072211"/>
                          <a:chOff x="0" y="0"/>
                          <a:chExt cx="4206617" cy="6072211"/>
                        </a:xfrm>
                      </wpg:grpSpPr>
                      <wps:wsp>
                        <wps:cNvPr id="175" name="Straight Arrow Connector 175"/>
                        <wps:cNvCnPr/>
                        <wps:spPr>
                          <a:xfrm>
                            <a:off x="1703820" y="544751"/>
                            <a:ext cx="0" cy="424450"/>
                          </a:xfrm>
                          <a:prstGeom prst="straightConnector1">
                            <a:avLst/>
                          </a:prstGeom>
                          <a:ln w="6350" cmpd="sng">
                            <a:solidFill>
                              <a:schemeClr val="accent4"/>
                            </a:solidFill>
                            <a:headEnd type="none" w="med" len="med"/>
                            <a:tailEnd type="triangle" w="med" len="med"/>
                          </a:ln>
                          <a:effectLst/>
                        </wps:spPr>
                        <wps:style>
                          <a:lnRef idx="2">
                            <a:schemeClr val="accent1"/>
                          </a:lnRef>
                          <a:fillRef idx="0">
                            <a:schemeClr val="accent1"/>
                          </a:fillRef>
                          <a:effectRef idx="1">
                            <a:schemeClr val="accent1"/>
                          </a:effectRef>
                          <a:fontRef idx="minor">
                            <a:schemeClr val="tx1"/>
                          </a:fontRef>
                        </wps:style>
                        <wps:bodyPr/>
                      </wps:wsp>
                      <wps:wsp>
                        <wps:cNvPr id="176" name="Rectangle 176"/>
                        <wps:cNvSpPr/>
                        <wps:spPr>
                          <a:xfrm>
                            <a:off x="2823145" y="1968743"/>
                            <a:ext cx="127783" cy="125771"/>
                          </a:xfrm>
                          <a:prstGeom prst="rect">
                            <a:avLst/>
                          </a:prstGeom>
                          <a:solidFill>
                            <a:schemeClr val="bg1">
                              <a:lumMod val="9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B6A099" w14:textId="77777777" w:rsidR="00947F90" w:rsidRDefault="00947F90" w:rsidP="00947F90">
                              <w:pPr>
                                <w:rPr>
                                  <w:rFonts w:eastAsia="Times New Roman"/>
                                </w:rPr>
                              </w:pP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177" name="Rectangle 177"/>
                        <wps:cNvSpPr/>
                        <wps:spPr>
                          <a:xfrm>
                            <a:off x="3722397" y="3989236"/>
                            <a:ext cx="127783" cy="125771"/>
                          </a:xfrm>
                          <a:prstGeom prst="rect">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3BD669" w14:textId="77777777" w:rsidR="00947F90" w:rsidRDefault="00947F90" w:rsidP="00947F90">
                              <w:pPr>
                                <w:rPr>
                                  <w:rFonts w:eastAsia="Times New Roman"/>
                                </w:rPr>
                              </w:pP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178" name="Rectangle 178"/>
                        <wps:cNvSpPr/>
                        <wps:spPr>
                          <a:xfrm>
                            <a:off x="374" y="0"/>
                            <a:ext cx="3053394" cy="756976"/>
                          </a:xfrm>
                          <a:prstGeom prst="rect">
                            <a:avLst/>
                          </a:prstGeom>
                          <a:solidFill>
                            <a:schemeClr val="tx2">
                              <a:lumMod val="75000"/>
                            </a:schemeClr>
                          </a:solidFill>
                          <a:ln w="6350">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9D6943" w14:textId="77777777" w:rsidR="00947F90" w:rsidRDefault="00947F90" w:rsidP="00947F90">
                              <w:pPr>
                                <w:rPr>
                                  <w:rFonts w:eastAsia="Times New Roman"/>
                                </w:rPr>
                              </w:pP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179" name="Rectangle 179"/>
                        <wps:cNvSpPr/>
                        <wps:spPr>
                          <a:xfrm>
                            <a:off x="670341" y="154687"/>
                            <a:ext cx="925307" cy="39006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DC1792" w14:textId="77777777" w:rsidR="00947F90" w:rsidRDefault="00947F90" w:rsidP="00947F90">
                              <w:pPr>
                                <w:pStyle w:val="NormalWeb"/>
                                <w:spacing w:before="0" w:beforeAutospacing="0" w:after="0" w:afterAutospacing="0"/>
                                <w:jc w:val="center"/>
                              </w:pPr>
                              <w:r>
                                <w:rPr>
                                  <w:rFonts w:asciiTheme="minorHAnsi" w:hAnsi="Arial" w:cstheme="minorBidi"/>
                                  <w:color w:val="008A9E" w:themeColor="text2" w:themeShade="BF"/>
                                  <w:kern w:val="24"/>
                                  <w:sz w:val="16"/>
                                  <w:szCs w:val="16"/>
                                </w:rPr>
                                <w:t>Legislation</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180" name="Rectangle 180"/>
                        <wps:cNvSpPr/>
                        <wps:spPr>
                          <a:xfrm>
                            <a:off x="1775924" y="154687"/>
                            <a:ext cx="971948" cy="39006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80E28E" w14:textId="77777777" w:rsidR="00947F90" w:rsidRDefault="00947F90" w:rsidP="00947F90">
                              <w:pPr>
                                <w:pStyle w:val="NormalWeb"/>
                                <w:spacing w:before="120" w:beforeAutospacing="0" w:after="120" w:afterAutospacing="0"/>
                                <w:jc w:val="center"/>
                              </w:pPr>
                              <w:r>
                                <w:rPr>
                                  <w:rFonts w:asciiTheme="minorHAnsi" w:hAnsi="Arial" w:cstheme="minorBidi"/>
                                  <w:color w:val="008A9E" w:themeColor="text2" w:themeShade="BF"/>
                                  <w:kern w:val="24"/>
                                  <w:sz w:val="16"/>
                                  <w:szCs w:val="16"/>
                                </w:rPr>
                                <w:t xml:space="preserve">Project Approvals </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181" name="Rectangle 181"/>
                        <wps:cNvSpPr/>
                        <wps:spPr>
                          <a:xfrm>
                            <a:off x="0" y="972048"/>
                            <a:ext cx="3053781" cy="1413840"/>
                          </a:xfrm>
                          <a:prstGeom prst="rect">
                            <a:avLst/>
                          </a:prstGeom>
                          <a:solidFill>
                            <a:schemeClr val="tx2"/>
                          </a:solidFill>
                          <a:ln w="63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8022FF" w14:textId="77777777" w:rsidR="00947F90" w:rsidRDefault="00947F90" w:rsidP="00947F90">
                              <w:pPr>
                                <w:rPr>
                                  <w:rFonts w:eastAsia="Times New Roman"/>
                                </w:rPr>
                              </w:pP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182" name="Rectangle 182"/>
                        <wps:cNvSpPr/>
                        <wps:spPr>
                          <a:xfrm>
                            <a:off x="373" y="972048"/>
                            <a:ext cx="252000" cy="1413840"/>
                          </a:xfrm>
                          <a:prstGeom prst="rect">
                            <a:avLst/>
                          </a:prstGeom>
                          <a:solidFill>
                            <a:schemeClr val="bg1"/>
                          </a:solidFill>
                          <a:ln w="6350">
                            <a:solidFill>
                              <a:srgbClr val="00BAD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CB806F" w14:textId="77777777" w:rsidR="00947F90" w:rsidRDefault="00947F90" w:rsidP="00947F90">
                              <w:pPr>
                                <w:pStyle w:val="NormalWeb"/>
                                <w:spacing w:before="0" w:beforeAutospacing="0" w:after="0" w:afterAutospacing="0"/>
                                <w:jc w:val="center"/>
                              </w:pPr>
                              <w:r>
                                <w:rPr>
                                  <w:rFonts w:ascii="Arial" w:hAnsi="Arial" w:cs="Arial"/>
                                  <w:b/>
                                  <w:bCs/>
                                  <w:color w:val="008A9E" w:themeColor="text2" w:themeShade="BF"/>
                                  <w:kern w:val="24"/>
                                  <w:sz w:val="16"/>
                                  <w:szCs w:val="16"/>
                                </w:rPr>
                                <w:t>MMRA EMS</w:t>
                              </w:r>
                            </w:p>
                          </w:txbxContent>
                        </wps:txbx>
                        <wps:bodyPr rot="0" spcFirstLastPara="0" vert="vert270" wrap="square" lIns="36000" tIns="36000" rIns="36000" bIns="36000" numCol="1" spcCol="0" rtlCol="0" fromWordArt="0" anchor="ctr" anchorCtr="0" forceAA="0" compatLnSpc="1">
                          <a:prstTxWarp prst="textNoShape">
                            <a:avLst/>
                          </a:prstTxWarp>
                          <a:noAutofit/>
                        </wps:bodyPr>
                      </wps:wsp>
                      <wps:wsp>
                        <wps:cNvPr id="183" name="Rectangle 183"/>
                        <wps:cNvSpPr/>
                        <wps:spPr>
                          <a:xfrm rot="16200000">
                            <a:off x="-173284" y="1588968"/>
                            <a:ext cx="1413839" cy="180000"/>
                          </a:xfrm>
                          <a:prstGeom prst="rect">
                            <a:avLst/>
                          </a:prstGeom>
                          <a:solidFill>
                            <a:schemeClr val="tx2">
                              <a:lumMod val="75000"/>
                            </a:schemeClr>
                          </a:solidFill>
                          <a:ln w="6350">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0AD61A" w14:textId="77777777" w:rsidR="00947F90" w:rsidRDefault="00947F90" w:rsidP="00947F90">
                              <w:pPr>
                                <w:pStyle w:val="NormalWeb"/>
                                <w:spacing w:before="0" w:beforeAutospacing="0" w:after="0" w:afterAutospacing="0"/>
                                <w:jc w:val="center"/>
                              </w:pPr>
                              <w:r>
                                <w:rPr>
                                  <w:rFonts w:ascii="Arial" w:hAnsi="Arial" w:cs="Arial"/>
                                  <w:color w:val="FFFFFF" w:themeColor="background1"/>
                                  <w:kern w:val="24"/>
                                  <w:sz w:val="16"/>
                                  <w:szCs w:val="16"/>
                                </w:rPr>
                                <w:t>Environmental Policy</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184" name="Rectangle 184"/>
                        <wps:cNvSpPr/>
                        <wps:spPr>
                          <a:xfrm>
                            <a:off x="1127820" y="1110310"/>
                            <a:ext cx="1152000" cy="43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C46AA0" w14:textId="77777777" w:rsidR="00947F90" w:rsidRDefault="00947F90" w:rsidP="00947F90">
                              <w:pPr>
                                <w:pStyle w:val="NormalWeb"/>
                                <w:spacing w:before="0" w:beforeAutospacing="0" w:after="0" w:afterAutospacing="0"/>
                                <w:jc w:val="center"/>
                              </w:pPr>
                              <w:r>
                                <w:rPr>
                                  <w:rFonts w:ascii="Arial" w:hAnsi="Arial" w:cs="Arial"/>
                                  <w:color w:val="008A9E" w:themeColor="text2" w:themeShade="BF"/>
                                  <w:kern w:val="24"/>
                                  <w:sz w:val="16"/>
                                  <w:szCs w:val="16"/>
                                </w:rPr>
                                <w:t>EES Environmental Performance Requirements (EPRs)</w:t>
                              </w:r>
                              <w:r>
                                <w:rPr>
                                  <w:rFonts w:asciiTheme="minorHAnsi" w:hAnsi="Arial" w:cstheme="minorBidi"/>
                                  <w:color w:val="FFFFFF" w:themeColor="light1"/>
                                  <w:kern w:val="24"/>
                                  <w:sz w:val="16"/>
                                  <w:szCs w:val="16"/>
                                </w:rPr>
                                <w:t>)</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185" name="Rectangle 185"/>
                        <wps:cNvSpPr/>
                        <wps:spPr>
                          <a:xfrm>
                            <a:off x="731648" y="1815628"/>
                            <a:ext cx="864000" cy="468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3B6B64" w14:textId="77777777" w:rsidR="00947F90" w:rsidRDefault="00947F90" w:rsidP="00947F90">
                              <w:pPr>
                                <w:pStyle w:val="NormalWeb"/>
                                <w:spacing w:before="0" w:beforeAutospacing="0" w:after="0" w:afterAutospacing="0"/>
                                <w:jc w:val="center"/>
                              </w:pPr>
                              <w:r>
                                <w:rPr>
                                  <w:rFonts w:ascii="Arial" w:hAnsi="Arial" w:cs="Arial"/>
                                  <w:color w:val="008A9E" w:themeColor="text2" w:themeShade="BF"/>
                                  <w:kern w:val="24"/>
                                  <w:sz w:val="16"/>
                                  <w:szCs w:val="16"/>
                                </w:rPr>
                                <w:t xml:space="preserve">Design and Construction </w:t>
                              </w:r>
                            </w:p>
                            <w:p w14:paraId="2693D17E" w14:textId="77777777" w:rsidR="00947F90" w:rsidRDefault="00947F90" w:rsidP="00947F90">
                              <w:pPr>
                                <w:pStyle w:val="NormalWeb"/>
                                <w:spacing w:before="0" w:beforeAutospacing="0" w:after="0" w:afterAutospacing="0"/>
                                <w:jc w:val="center"/>
                              </w:pPr>
                              <w:r>
                                <w:rPr>
                                  <w:rFonts w:ascii="Arial" w:hAnsi="Arial" w:cs="Arial"/>
                                  <w:color w:val="008A9E" w:themeColor="text2" w:themeShade="BF"/>
                                  <w:kern w:val="24"/>
                                  <w:sz w:val="16"/>
                                  <w:szCs w:val="16"/>
                                </w:rPr>
                                <w:t>EPRs</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186" name="Rectangle 186"/>
                        <wps:cNvSpPr/>
                        <wps:spPr>
                          <a:xfrm>
                            <a:off x="1811768" y="1815628"/>
                            <a:ext cx="864000" cy="468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D8937C" w14:textId="77777777" w:rsidR="00947F90" w:rsidRDefault="00947F90" w:rsidP="00947F90">
                              <w:pPr>
                                <w:pStyle w:val="NormalWeb"/>
                                <w:spacing w:before="0" w:beforeAutospacing="0" w:after="0" w:afterAutospacing="0"/>
                                <w:jc w:val="center"/>
                              </w:pPr>
                              <w:r>
                                <w:rPr>
                                  <w:rFonts w:ascii="Arial" w:hAnsi="Arial" w:cs="Arial"/>
                                  <w:color w:val="008A9E" w:themeColor="text2" w:themeShade="BF"/>
                                  <w:kern w:val="24"/>
                                  <w:sz w:val="16"/>
                                  <w:szCs w:val="16"/>
                                </w:rPr>
                                <w:t>Operational Performance</w:t>
                              </w:r>
                            </w:p>
                            <w:p w14:paraId="029EC52E" w14:textId="77777777" w:rsidR="00947F90" w:rsidRDefault="00947F90" w:rsidP="00947F90">
                              <w:pPr>
                                <w:pStyle w:val="NormalWeb"/>
                                <w:spacing w:before="0" w:beforeAutospacing="0" w:after="0" w:afterAutospacing="0"/>
                                <w:jc w:val="center"/>
                              </w:pPr>
                              <w:r>
                                <w:rPr>
                                  <w:rFonts w:ascii="Arial" w:hAnsi="Arial" w:cs="Arial"/>
                                  <w:color w:val="008A9E" w:themeColor="text2" w:themeShade="BF"/>
                                  <w:kern w:val="24"/>
                                  <w:sz w:val="16"/>
                                  <w:szCs w:val="16"/>
                                </w:rPr>
                                <w:t>EPRs</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187" name="Elbow Connector 187"/>
                        <wps:cNvCnPr>
                          <a:stCxn id="184" idx="2"/>
                          <a:endCxn id="185" idx="0"/>
                        </wps:cNvCnPr>
                        <wps:spPr>
                          <a:xfrm rot="5400000">
                            <a:off x="1297075" y="1408883"/>
                            <a:ext cx="273318" cy="540172"/>
                          </a:xfrm>
                          <a:prstGeom prst="bentConnector3">
                            <a:avLst/>
                          </a:prstGeom>
                          <a:ln w="6350" cmpd="sng">
                            <a:solidFill>
                              <a:schemeClr val="accent4"/>
                            </a:solidFill>
                            <a:headEnd type="none" w="med" len="med"/>
                            <a:tailEnd type="triangle" w="med" len="med"/>
                          </a:ln>
                          <a:effectLst/>
                        </wps:spPr>
                        <wps:style>
                          <a:lnRef idx="2">
                            <a:schemeClr val="accent1"/>
                          </a:lnRef>
                          <a:fillRef idx="0">
                            <a:schemeClr val="accent1"/>
                          </a:fillRef>
                          <a:effectRef idx="1">
                            <a:schemeClr val="accent1"/>
                          </a:effectRef>
                          <a:fontRef idx="minor">
                            <a:schemeClr val="tx1"/>
                          </a:fontRef>
                        </wps:style>
                        <wps:bodyPr/>
                      </wps:wsp>
                      <wps:wsp>
                        <wps:cNvPr id="188" name="Elbow Connector 188"/>
                        <wps:cNvCnPr>
                          <a:stCxn id="184" idx="2"/>
                          <a:endCxn id="186" idx="0"/>
                        </wps:cNvCnPr>
                        <wps:spPr>
                          <a:xfrm rot="16200000" flipH="1">
                            <a:off x="1837135" y="1408995"/>
                            <a:ext cx="273318" cy="539948"/>
                          </a:xfrm>
                          <a:prstGeom prst="bentConnector3">
                            <a:avLst>
                              <a:gd name="adj1" fmla="val 50000"/>
                            </a:avLst>
                          </a:prstGeom>
                          <a:ln w="6350" cmpd="sng">
                            <a:solidFill>
                              <a:schemeClr val="accent4"/>
                            </a:solidFill>
                            <a:headEnd type="none" w="med" len="med"/>
                            <a:tailEnd type="triangle" w="med" len="med"/>
                          </a:ln>
                          <a:effectLst/>
                        </wps:spPr>
                        <wps:style>
                          <a:lnRef idx="2">
                            <a:schemeClr val="accent1"/>
                          </a:lnRef>
                          <a:fillRef idx="0">
                            <a:schemeClr val="accent1"/>
                          </a:fillRef>
                          <a:effectRef idx="1">
                            <a:schemeClr val="accent1"/>
                          </a:effectRef>
                          <a:fontRef idx="minor">
                            <a:schemeClr val="tx1"/>
                          </a:fontRef>
                        </wps:style>
                        <wps:bodyPr/>
                      </wps:wsp>
                      <wps:wsp>
                        <wps:cNvPr id="189" name="Rectangle 189"/>
                        <wps:cNvSpPr/>
                        <wps:spPr>
                          <a:xfrm>
                            <a:off x="775825" y="5548967"/>
                            <a:ext cx="127783" cy="125771"/>
                          </a:xfrm>
                          <a:prstGeom prst="rect">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FF33FB" w14:textId="77777777" w:rsidR="00947F90" w:rsidRDefault="00947F90" w:rsidP="00947F90">
                              <w:pPr>
                                <w:rPr>
                                  <w:rFonts w:eastAsia="Times New Roman"/>
                                </w:rPr>
                              </w:pP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190" name="Rectangle 190"/>
                        <wps:cNvSpPr/>
                        <wps:spPr>
                          <a:xfrm>
                            <a:off x="335716" y="3384376"/>
                            <a:ext cx="1008000" cy="576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79D57E" w14:textId="77777777" w:rsidR="00947F90" w:rsidRDefault="00947F90" w:rsidP="00947F90">
                              <w:pPr>
                                <w:pStyle w:val="NormalWeb"/>
                                <w:spacing w:before="0" w:beforeAutospacing="0" w:after="0" w:afterAutospacing="0"/>
                                <w:jc w:val="center"/>
                              </w:pPr>
                              <w:r>
                                <w:rPr>
                                  <w:rFonts w:asciiTheme="minorHAnsi" w:hAnsi="Arial" w:cstheme="minorBidi"/>
                                  <w:color w:val="FFFFFF" w:themeColor="light1"/>
                                  <w:kern w:val="24"/>
                                  <w:sz w:val="16"/>
                                  <w:szCs w:val="16"/>
                                </w:rPr>
                                <w:t>Plans to comply with PSA conditions</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191" name="Rectangle 191"/>
                        <wps:cNvSpPr/>
                        <wps:spPr>
                          <a:xfrm>
                            <a:off x="335716" y="5460550"/>
                            <a:ext cx="1008000" cy="576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FFFAD3" w14:textId="77777777" w:rsidR="00947F90" w:rsidRDefault="00947F90" w:rsidP="00947F90">
                              <w:pPr>
                                <w:pStyle w:val="NormalWeb"/>
                                <w:spacing w:before="0" w:beforeAutospacing="0" w:after="0" w:afterAutospacing="0"/>
                                <w:jc w:val="center"/>
                              </w:pPr>
                              <w:r>
                                <w:rPr>
                                  <w:rFonts w:asciiTheme="minorHAnsi" w:hAnsi="Arial" w:cstheme="minorBidi"/>
                                  <w:color w:val="FFFFFF" w:themeColor="light1"/>
                                  <w:kern w:val="24"/>
                                  <w:sz w:val="16"/>
                                  <w:szCs w:val="16"/>
                                </w:rPr>
                                <w:t>Work Method Statement(s) (WMS)</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192" name="Straight Arrow Connector 192"/>
                        <wps:cNvCnPr/>
                        <wps:spPr>
                          <a:xfrm>
                            <a:off x="839716" y="4608512"/>
                            <a:ext cx="0" cy="144076"/>
                          </a:xfrm>
                          <a:prstGeom prst="straightConnector1">
                            <a:avLst/>
                          </a:prstGeom>
                          <a:ln w="6350" cmpd="sng">
                            <a:solidFill>
                              <a:schemeClr val="accent4"/>
                            </a:solidFill>
                            <a:headEnd type="none" w="med" len="med"/>
                            <a:tailEnd type="triangle" w="sm" len="sm"/>
                          </a:ln>
                          <a:effectLst/>
                        </wps:spPr>
                        <wps:style>
                          <a:lnRef idx="2">
                            <a:schemeClr val="accent1"/>
                          </a:lnRef>
                          <a:fillRef idx="0">
                            <a:schemeClr val="accent1"/>
                          </a:fillRef>
                          <a:effectRef idx="1">
                            <a:schemeClr val="accent1"/>
                          </a:effectRef>
                          <a:fontRef idx="minor">
                            <a:schemeClr val="tx1"/>
                          </a:fontRef>
                        </wps:style>
                        <wps:bodyPr/>
                      </wps:wsp>
                      <wps:wsp>
                        <wps:cNvPr id="193" name="Straight Arrow Connector 193"/>
                        <wps:cNvCnPr/>
                        <wps:spPr>
                          <a:xfrm>
                            <a:off x="839716" y="5316474"/>
                            <a:ext cx="0" cy="144076"/>
                          </a:xfrm>
                          <a:prstGeom prst="straightConnector1">
                            <a:avLst/>
                          </a:prstGeom>
                          <a:ln w="6350" cmpd="sng">
                            <a:solidFill>
                              <a:schemeClr val="accent4"/>
                            </a:solidFill>
                            <a:headEnd type="none" w="med" len="med"/>
                            <a:tailEnd type="triangle" w="sm" len="sm"/>
                          </a:ln>
                          <a:effectLst/>
                        </wps:spPr>
                        <wps:style>
                          <a:lnRef idx="2">
                            <a:schemeClr val="accent1"/>
                          </a:lnRef>
                          <a:fillRef idx="0">
                            <a:schemeClr val="accent1"/>
                          </a:fillRef>
                          <a:effectRef idx="1">
                            <a:schemeClr val="accent1"/>
                          </a:effectRef>
                          <a:fontRef idx="minor">
                            <a:schemeClr val="tx1"/>
                          </a:fontRef>
                        </wps:style>
                        <wps:bodyPr/>
                      </wps:wsp>
                      <wps:wsp>
                        <wps:cNvPr id="194" name="Rectangle 194"/>
                        <wps:cNvSpPr/>
                        <wps:spPr>
                          <a:xfrm>
                            <a:off x="1919780" y="3456452"/>
                            <a:ext cx="1008000" cy="6120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461F08" w14:textId="77777777" w:rsidR="00947F90" w:rsidRDefault="00947F90" w:rsidP="00947F90">
                              <w:pPr>
                                <w:pStyle w:val="NormalWeb"/>
                                <w:spacing w:before="0" w:beforeAutospacing="0" w:after="0" w:afterAutospacing="0"/>
                                <w:jc w:val="center"/>
                              </w:pPr>
                              <w:r>
                                <w:rPr>
                                  <w:rFonts w:asciiTheme="minorHAnsi" w:hAnsi="Arial" w:cstheme="minorBidi"/>
                                  <w:color w:val="FFFFFF" w:themeColor="light1"/>
                                  <w:kern w:val="24"/>
                                  <w:sz w:val="16"/>
                                  <w:szCs w:val="16"/>
                                </w:rPr>
                                <w:t>Operations Environmental Management Plan (OEMP)*</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195" name="Rectangle 195"/>
                        <wps:cNvSpPr/>
                        <wps:spPr>
                          <a:xfrm>
                            <a:off x="1811767" y="3222359"/>
                            <a:ext cx="1188000" cy="1785154"/>
                          </a:xfrm>
                          <a:prstGeom prst="rect">
                            <a:avLst/>
                          </a:prstGeom>
                          <a:noFill/>
                          <a:ln w="635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216075" w14:textId="77777777" w:rsidR="00947F90" w:rsidRDefault="00947F90" w:rsidP="00947F90">
                              <w:pPr>
                                <w:rPr>
                                  <w:rFonts w:eastAsia="Times New Roman"/>
                                </w:rPr>
                              </w:pP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196" name="Rectangle 196"/>
                        <wps:cNvSpPr/>
                        <wps:spPr>
                          <a:xfrm>
                            <a:off x="1919780" y="4212532"/>
                            <a:ext cx="1008000" cy="6120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7E2738" w14:textId="77777777" w:rsidR="00947F90" w:rsidRDefault="00947F90" w:rsidP="00947F90">
                              <w:pPr>
                                <w:pStyle w:val="NormalWeb"/>
                                <w:spacing w:before="0" w:beforeAutospacing="0" w:after="0" w:afterAutospacing="0"/>
                                <w:jc w:val="center"/>
                              </w:pPr>
                              <w:r>
                                <w:rPr>
                                  <w:rFonts w:asciiTheme="minorHAnsi" w:hAnsi="Arial" w:cstheme="minorBidi"/>
                                  <w:color w:val="FFFFFF" w:themeColor="light1"/>
                                  <w:kern w:val="24"/>
                                  <w:sz w:val="16"/>
                                  <w:szCs w:val="16"/>
                                </w:rPr>
                                <w:t>Compliance monitoring*</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197" name="Rectangle 197"/>
                        <wps:cNvSpPr/>
                        <wps:spPr>
                          <a:xfrm>
                            <a:off x="1985018" y="3096344"/>
                            <a:ext cx="849351" cy="252028"/>
                          </a:xfrm>
                          <a:prstGeom prst="rect">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B36A74" w14:textId="77777777" w:rsidR="00947F90" w:rsidRDefault="00947F90" w:rsidP="00947F90">
                              <w:pPr>
                                <w:pStyle w:val="NormalWeb"/>
                                <w:spacing w:before="0" w:beforeAutospacing="0" w:after="0" w:afterAutospacing="0"/>
                                <w:jc w:val="center"/>
                              </w:pPr>
                              <w:r>
                                <w:rPr>
                                  <w:rFonts w:ascii="Arial" w:hAnsi="Arial" w:cs="Arial"/>
                                  <w:b/>
                                  <w:bCs/>
                                  <w:color w:val="00B398" w:themeColor="accent5"/>
                                  <w:kern w:val="24"/>
                                  <w:sz w:val="16"/>
                                  <w:szCs w:val="16"/>
                                </w:rPr>
                                <w:t>Operator</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198" name="Straight Arrow Connector 198"/>
                        <wps:cNvCnPr/>
                        <wps:spPr>
                          <a:xfrm>
                            <a:off x="995068" y="2376264"/>
                            <a:ext cx="0" cy="704562"/>
                          </a:xfrm>
                          <a:prstGeom prst="straightConnector1">
                            <a:avLst/>
                          </a:prstGeom>
                          <a:ln w="6350" cmpd="sng">
                            <a:solidFill>
                              <a:schemeClr val="accent4"/>
                            </a:solidFill>
                            <a:headEnd type="none" w="med" len="med"/>
                            <a:tailEnd type="triangle" w="med" len="med"/>
                          </a:ln>
                          <a:effectLst/>
                        </wps:spPr>
                        <wps:style>
                          <a:lnRef idx="2">
                            <a:schemeClr val="accent1"/>
                          </a:lnRef>
                          <a:fillRef idx="0">
                            <a:schemeClr val="accent1"/>
                          </a:fillRef>
                          <a:effectRef idx="1">
                            <a:schemeClr val="accent1"/>
                          </a:effectRef>
                          <a:fontRef idx="minor">
                            <a:schemeClr val="tx1"/>
                          </a:fontRef>
                        </wps:style>
                        <wps:bodyPr/>
                      </wps:wsp>
                      <wps:wsp>
                        <wps:cNvPr id="199" name="Rectangle 199"/>
                        <wps:cNvSpPr/>
                        <wps:spPr>
                          <a:xfrm>
                            <a:off x="479620" y="2572726"/>
                            <a:ext cx="1016320" cy="288000"/>
                          </a:xfrm>
                          <a:prstGeom prst="rect">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07DF8D" w14:textId="77777777" w:rsidR="00947F90" w:rsidRDefault="00947F90" w:rsidP="00947F90">
                              <w:pPr>
                                <w:pStyle w:val="NormalWeb"/>
                                <w:spacing w:before="0" w:beforeAutospacing="0" w:after="0" w:afterAutospacing="0"/>
                                <w:jc w:val="center"/>
                              </w:pPr>
                              <w:r>
                                <w:rPr>
                                  <w:rFonts w:ascii="Arial" w:hAnsi="Arial" w:cs="Arial"/>
                                  <w:color w:val="000000" w:themeColor="text1"/>
                                  <w:kern w:val="24"/>
                                  <w:sz w:val="16"/>
                                  <w:szCs w:val="16"/>
                                </w:rPr>
                                <w:t>Project contract(s)</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200" name="Straight Connector 200"/>
                        <wps:cNvCnPr>
                          <a:stCxn id="213" idx="2"/>
                          <a:endCxn id="214" idx="0"/>
                        </wps:cNvCnPr>
                        <wps:spPr>
                          <a:xfrm>
                            <a:off x="3666617" y="2628240"/>
                            <a:ext cx="0" cy="180072"/>
                          </a:xfrm>
                          <a:prstGeom prst="line">
                            <a:avLst/>
                          </a:prstGeom>
                          <a:ln w="6350" cmpd="sng">
                            <a:solidFill>
                              <a:schemeClr val="accent4"/>
                            </a:solidFill>
                            <a:prstDash val="dash"/>
                            <a:headEnd type="none" w="med" len="med"/>
                            <a:tailEnd type="none" w="med" len="med"/>
                          </a:ln>
                          <a:effectLst/>
                        </wps:spPr>
                        <wps:style>
                          <a:lnRef idx="2">
                            <a:schemeClr val="accent1"/>
                          </a:lnRef>
                          <a:fillRef idx="0">
                            <a:schemeClr val="accent1"/>
                          </a:fillRef>
                          <a:effectRef idx="1">
                            <a:schemeClr val="accent1"/>
                          </a:effectRef>
                          <a:fontRef idx="minor">
                            <a:schemeClr val="tx1"/>
                          </a:fontRef>
                        </wps:style>
                        <wps:bodyPr/>
                      </wps:wsp>
                      <wps:wsp>
                        <wps:cNvPr id="201" name="Straight Connector 201"/>
                        <wps:cNvCnPr>
                          <a:stCxn id="214" idx="2"/>
                          <a:endCxn id="215" idx="0"/>
                        </wps:cNvCnPr>
                        <wps:spPr>
                          <a:xfrm>
                            <a:off x="3666617" y="3276312"/>
                            <a:ext cx="0" cy="180072"/>
                          </a:xfrm>
                          <a:prstGeom prst="line">
                            <a:avLst/>
                          </a:prstGeom>
                          <a:ln w="6350" cmpd="sng">
                            <a:solidFill>
                              <a:schemeClr val="accent4"/>
                            </a:solidFill>
                            <a:prstDash val="dash"/>
                            <a:headEnd type="none" w="med" len="med"/>
                            <a:tailEnd type="none" w="med" len="med"/>
                          </a:ln>
                          <a:effectLst/>
                        </wps:spPr>
                        <wps:style>
                          <a:lnRef idx="2">
                            <a:schemeClr val="accent1"/>
                          </a:lnRef>
                          <a:fillRef idx="0">
                            <a:schemeClr val="accent1"/>
                          </a:fillRef>
                          <a:effectRef idx="1">
                            <a:schemeClr val="accent1"/>
                          </a:effectRef>
                          <a:fontRef idx="minor">
                            <a:schemeClr val="tx1"/>
                          </a:fontRef>
                        </wps:style>
                        <wps:bodyPr/>
                      </wps:wsp>
                      <wps:wsp>
                        <wps:cNvPr id="202" name="Rectangle 202"/>
                        <wps:cNvSpPr/>
                        <wps:spPr>
                          <a:xfrm>
                            <a:off x="3126617" y="0"/>
                            <a:ext cx="1080000" cy="6072211"/>
                          </a:xfrm>
                          <a:prstGeom prst="rect">
                            <a:avLst/>
                          </a:prstGeom>
                          <a:solidFill>
                            <a:srgbClr val="DBD7D4"/>
                          </a:solidFill>
                          <a:ln w="12700">
                            <a:solidFill>
                              <a:srgbClr val="DBD7D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17DDFE" w14:textId="77777777" w:rsidR="00947F90" w:rsidRDefault="00947F90" w:rsidP="00947F90">
                              <w:pPr>
                                <w:rPr>
                                  <w:rFonts w:eastAsia="Times New Roman"/>
                                </w:rPr>
                              </w:pP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203" name="Rectangle 203"/>
                        <wps:cNvSpPr/>
                        <wps:spPr>
                          <a:xfrm>
                            <a:off x="3126617" y="0"/>
                            <a:ext cx="1080000" cy="360000"/>
                          </a:xfrm>
                          <a:prstGeom prst="rect">
                            <a:avLst/>
                          </a:prstGeom>
                          <a:solidFill>
                            <a:schemeClr val="bg1"/>
                          </a:solidFill>
                          <a:ln w="12700">
                            <a:solidFill>
                              <a:srgbClr val="DBD7D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AC34D6" w14:textId="77777777" w:rsidR="00947F90" w:rsidRDefault="00947F90" w:rsidP="00947F90">
                              <w:pPr>
                                <w:pStyle w:val="NormalWeb"/>
                                <w:spacing w:before="0" w:beforeAutospacing="0" w:after="0" w:afterAutospacing="0"/>
                                <w:jc w:val="center"/>
                              </w:pPr>
                              <w:r>
                                <w:rPr>
                                  <w:rFonts w:ascii="Arial" w:hAnsi="Arial" w:cs="Arial"/>
                                  <w:b/>
                                  <w:bCs/>
                                  <w:color w:val="796E65" w:themeColor="accent4"/>
                                  <w:kern w:val="24"/>
                                  <w:sz w:val="16"/>
                                  <w:szCs w:val="16"/>
                                </w:rPr>
                                <w:t>Continuous improvement</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204" name="Elbow Connector 204"/>
                        <wps:cNvCnPr>
                          <a:endCxn id="212" idx="2"/>
                        </wps:cNvCnPr>
                        <wps:spPr>
                          <a:xfrm flipV="1">
                            <a:off x="3053781" y="1118404"/>
                            <a:ext cx="612836" cy="423906"/>
                          </a:xfrm>
                          <a:prstGeom prst="bentConnector2">
                            <a:avLst/>
                          </a:prstGeom>
                          <a:ln w="6350" cmpd="sng">
                            <a:solidFill>
                              <a:schemeClr val="accent4"/>
                            </a:solidFill>
                            <a:prstDash val="dash"/>
                            <a:headEnd type="none" w="med" len="med"/>
                            <a:tailEnd type="none" w="med" len="med"/>
                          </a:ln>
                          <a:effectLst/>
                        </wps:spPr>
                        <wps:style>
                          <a:lnRef idx="2">
                            <a:schemeClr val="accent1"/>
                          </a:lnRef>
                          <a:fillRef idx="0">
                            <a:schemeClr val="accent1"/>
                          </a:fillRef>
                          <a:effectRef idx="1">
                            <a:schemeClr val="accent1"/>
                          </a:effectRef>
                          <a:fontRef idx="minor">
                            <a:schemeClr val="tx1"/>
                          </a:fontRef>
                        </wps:style>
                        <wps:bodyPr/>
                      </wps:wsp>
                      <wps:wsp>
                        <wps:cNvPr id="205" name="Elbow Connector 205"/>
                        <wps:cNvCnPr/>
                        <wps:spPr>
                          <a:xfrm rot="16200000" flipV="1">
                            <a:off x="3224235" y="313701"/>
                            <a:ext cx="271916" cy="612849"/>
                          </a:xfrm>
                          <a:prstGeom prst="bentConnector2">
                            <a:avLst/>
                          </a:prstGeom>
                          <a:ln w="6350" cmpd="sng">
                            <a:solidFill>
                              <a:schemeClr val="accent4"/>
                            </a:solidFill>
                            <a:prstDash val="dash"/>
                            <a:headEnd type="none" w="med" len="med"/>
                            <a:tailEnd type="triangle" w="med" len="med"/>
                          </a:ln>
                          <a:effectLst/>
                        </wps:spPr>
                        <wps:style>
                          <a:lnRef idx="2">
                            <a:schemeClr val="accent1"/>
                          </a:lnRef>
                          <a:fillRef idx="0">
                            <a:schemeClr val="accent1"/>
                          </a:fillRef>
                          <a:effectRef idx="1">
                            <a:schemeClr val="accent1"/>
                          </a:effectRef>
                          <a:fontRef idx="minor">
                            <a:schemeClr val="tx1"/>
                          </a:fontRef>
                        </wps:style>
                        <wps:bodyPr/>
                      </wps:wsp>
                      <wps:wsp>
                        <wps:cNvPr id="206" name="Elbow Connector 206"/>
                        <wps:cNvCnPr>
                          <a:stCxn id="213" idx="0"/>
                          <a:endCxn id="181" idx="3"/>
                        </wps:cNvCnPr>
                        <wps:spPr>
                          <a:xfrm rot="16200000" flipV="1">
                            <a:off x="3119563" y="1613186"/>
                            <a:ext cx="481272" cy="612836"/>
                          </a:xfrm>
                          <a:prstGeom prst="bentConnector2">
                            <a:avLst/>
                          </a:prstGeom>
                          <a:ln w="6350" cmpd="sng">
                            <a:solidFill>
                              <a:schemeClr val="accent4"/>
                            </a:solidFill>
                            <a:prstDash val="dash"/>
                            <a:headEnd type="none" w="med" len="med"/>
                            <a:tailEnd type="triangle" w="med" len="med"/>
                          </a:ln>
                          <a:effectLst/>
                        </wps:spPr>
                        <wps:style>
                          <a:lnRef idx="2">
                            <a:schemeClr val="accent1"/>
                          </a:lnRef>
                          <a:fillRef idx="0">
                            <a:schemeClr val="accent1"/>
                          </a:fillRef>
                          <a:effectRef idx="1">
                            <a:schemeClr val="accent1"/>
                          </a:effectRef>
                          <a:fontRef idx="minor">
                            <a:schemeClr val="tx1"/>
                          </a:fontRef>
                        </wps:style>
                        <wps:bodyPr/>
                      </wps:wsp>
                      <wps:wsp>
                        <wps:cNvPr id="207" name="Elbow Connector 207"/>
                        <wps:cNvCnPr>
                          <a:stCxn id="195" idx="3"/>
                        </wps:cNvCnPr>
                        <wps:spPr>
                          <a:xfrm flipV="1">
                            <a:off x="2999767" y="2205888"/>
                            <a:ext cx="666850" cy="1909048"/>
                          </a:xfrm>
                          <a:prstGeom prst="bentConnector2">
                            <a:avLst/>
                          </a:prstGeom>
                          <a:ln w="6350" cmpd="sng">
                            <a:solidFill>
                              <a:schemeClr val="accent4"/>
                            </a:solidFill>
                            <a:prstDash val="dash"/>
                            <a:headEnd type="none" w="med" len="med"/>
                            <a:tailEnd type="none" w="med" len="med"/>
                          </a:ln>
                          <a:effectLst/>
                        </wps:spPr>
                        <wps:style>
                          <a:lnRef idx="2">
                            <a:schemeClr val="accent1"/>
                          </a:lnRef>
                          <a:fillRef idx="0">
                            <a:schemeClr val="accent1"/>
                          </a:fillRef>
                          <a:effectRef idx="1">
                            <a:schemeClr val="accent1"/>
                          </a:effectRef>
                          <a:fontRef idx="minor">
                            <a:schemeClr val="tx1"/>
                          </a:fontRef>
                        </wps:style>
                        <wps:bodyPr/>
                      </wps:wsp>
                      <wps:wsp>
                        <wps:cNvPr id="208" name="Elbow Connector 208"/>
                        <wps:cNvCnPr/>
                        <wps:spPr>
                          <a:xfrm flipV="1">
                            <a:off x="1415592" y="4104456"/>
                            <a:ext cx="2251025" cy="1536166"/>
                          </a:xfrm>
                          <a:prstGeom prst="bentConnector2">
                            <a:avLst/>
                          </a:prstGeom>
                          <a:ln w="6350" cmpd="sng">
                            <a:solidFill>
                              <a:schemeClr val="accent4"/>
                            </a:solidFill>
                            <a:prstDash val="dash"/>
                            <a:headEnd type="none" w="med" len="med"/>
                            <a:tailEnd type="triangle" w="med" len="med"/>
                          </a:ln>
                          <a:effectLst/>
                        </wps:spPr>
                        <wps:style>
                          <a:lnRef idx="2">
                            <a:schemeClr val="accent1"/>
                          </a:lnRef>
                          <a:fillRef idx="0">
                            <a:schemeClr val="accent1"/>
                          </a:fillRef>
                          <a:effectRef idx="1">
                            <a:schemeClr val="accent1"/>
                          </a:effectRef>
                          <a:fontRef idx="minor">
                            <a:schemeClr val="tx1"/>
                          </a:fontRef>
                        </wps:style>
                        <wps:bodyPr/>
                      </wps:wsp>
                      <wps:wsp>
                        <wps:cNvPr id="209" name="Rectangle 209"/>
                        <wps:cNvSpPr/>
                        <wps:spPr>
                          <a:xfrm rot="16200000">
                            <a:off x="-246679" y="246681"/>
                            <a:ext cx="756977" cy="263616"/>
                          </a:xfrm>
                          <a:prstGeom prst="rect">
                            <a:avLst/>
                          </a:prstGeom>
                          <a:solidFill>
                            <a:schemeClr val="bg1"/>
                          </a:solidFill>
                          <a:ln w="6350">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73CE3C" w14:textId="77777777" w:rsidR="00947F90" w:rsidRDefault="00947F90" w:rsidP="00947F90">
                              <w:pPr>
                                <w:pStyle w:val="NormalWeb"/>
                                <w:spacing w:before="0" w:beforeAutospacing="0" w:after="0" w:afterAutospacing="0"/>
                                <w:jc w:val="center"/>
                              </w:pPr>
                              <w:r>
                                <w:rPr>
                                  <w:rFonts w:ascii="Arial" w:hAnsi="Arial" w:cs="Arial"/>
                                  <w:color w:val="008A9E" w:themeColor="text2" w:themeShade="BF"/>
                                  <w:kern w:val="24"/>
                                  <w:sz w:val="16"/>
                                  <w:szCs w:val="16"/>
                                </w:rPr>
                                <w:t>Regulator</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210" name="Straight Arrow Connector 210"/>
                        <wps:cNvCnPr/>
                        <wps:spPr>
                          <a:xfrm>
                            <a:off x="2433530" y="2376264"/>
                            <a:ext cx="0" cy="704562"/>
                          </a:xfrm>
                          <a:prstGeom prst="straightConnector1">
                            <a:avLst/>
                          </a:prstGeom>
                          <a:ln w="6350" cmpd="sng">
                            <a:solidFill>
                              <a:schemeClr val="accent4"/>
                            </a:solidFill>
                            <a:headEnd type="none" w="med" len="med"/>
                            <a:tailEnd type="triangle" w="med" len="med"/>
                          </a:ln>
                          <a:effectLst/>
                        </wps:spPr>
                        <wps:style>
                          <a:lnRef idx="2">
                            <a:schemeClr val="accent1"/>
                          </a:lnRef>
                          <a:fillRef idx="0">
                            <a:schemeClr val="accent1"/>
                          </a:fillRef>
                          <a:effectRef idx="1">
                            <a:schemeClr val="accent1"/>
                          </a:effectRef>
                          <a:fontRef idx="minor">
                            <a:schemeClr val="tx1"/>
                          </a:fontRef>
                        </wps:style>
                        <wps:bodyPr/>
                      </wps:wsp>
                      <wps:wsp>
                        <wps:cNvPr id="211" name="Rectangle 211"/>
                        <wps:cNvSpPr/>
                        <wps:spPr>
                          <a:xfrm>
                            <a:off x="1919780" y="2572726"/>
                            <a:ext cx="1016320" cy="288000"/>
                          </a:xfrm>
                          <a:prstGeom prst="rect">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BB9B21" w14:textId="77777777" w:rsidR="00947F90" w:rsidRDefault="00947F90" w:rsidP="00947F90">
                              <w:pPr>
                                <w:pStyle w:val="NormalWeb"/>
                                <w:spacing w:before="0" w:beforeAutospacing="0" w:after="0" w:afterAutospacing="0"/>
                                <w:jc w:val="center"/>
                              </w:pPr>
                              <w:r>
                                <w:rPr>
                                  <w:rFonts w:ascii="Arial" w:hAnsi="Arial" w:cs="Arial"/>
                                  <w:color w:val="000000" w:themeColor="text1"/>
                                  <w:kern w:val="24"/>
                                  <w:sz w:val="16"/>
                                  <w:szCs w:val="16"/>
                                </w:rPr>
                                <w:t>Project contract</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212" name="Rectangle 212"/>
                        <wps:cNvSpPr/>
                        <wps:spPr>
                          <a:xfrm>
                            <a:off x="3234617" y="650404"/>
                            <a:ext cx="864000" cy="468000"/>
                          </a:xfrm>
                          <a:prstGeom prst="rect">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3B17D4" w14:textId="77777777" w:rsidR="00947F90" w:rsidRDefault="00947F90" w:rsidP="00947F90">
                              <w:pPr>
                                <w:pStyle w:val="NormalWeb"/>
                                <w:spacing w:before="0" w:beforeAutospacing="0" w:after="0" w:afterAutospacing="0"/>
                                <w:jc w:val="center"/>
                              </w:pPr>
                              <w:r>
                                <w:rPr>
                                  <w:rFonts w:ascii="Arial" w:hAnsi="Arial" w:cs="Arial"/>
                                  <w:color w:val="796E65" w:themeColor="accent4"/>
                                  <w:kern w:val="24"/>
                                  <w:sz w:val="16"/>
                                  <w:szCs w:val="16"/>
                                </w:rPr>
                                <w:t>Reporting</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213" name="Rectangle 213"/>
                        <wps:cNvSpPr/>
                        <wps:spPr>
                          <a:xfrm>
                            <a:off x="3234617" y="2160240"/>
                            <a:ext cx="864000" cy="468000"/>
                          </a:xfrm>
                          <a:prstGeom prst="rect">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0E0DDC" w14:textId="77777777" w:rsidR="00947F90" w:rsidRDefault="00947F90" w:rsidP="00947F90">
                              <w:pPr>
                                <w:pStyle w:val="NormalWeb"/>
                                <w:spacing w:before="0" w:beforeAutospacing="0" w:after="0" w:afterAutospacing="0"/>
                                <w:jc w:val="center"/>
                              </w:pPr>
                              <w:r>
                                <w:rPr>
                                  <w:rFonts w:ascii="Arial" w:hAnsi="Arial" w:cs="Arial"/>
                                  <w:color w:val="796E65" w:themeColor="accent4"/>
                                  <w:kern w:val="24"/>
                                  <w:sz w:val="16"/>
                                  <w:szCs w:val="16"/>
                                </w:rPr>
                                <w:t>Reporting</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214" name="Rectangle 214"/>
                        <wps:cNvSpPr/>
                        <wps:spPr>
                          <a:xfrm>
                            <a:off x="3234617" y="2808312"/>
                            <a:ext cx="864000" cy="468000"/>
                          </a:xfrm>
                          <a:prstGeom prst="rect">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3695B4" w14:textId="77777777" w:rsidR="00947F90" w:rsidRDefault="00947F90" w:rsidP="00947F90">
                              <w:pPr>
                                <w:pStyle w:val="NormalWeb"/>
                                <w:spacing w:before="0" w:beforeAutospacing="0" w:after="0" w:afterAutospacing="0"/>
                                <w:jc w:val="center"/>
                              </w:pPr>
                              <w:r>
                                <w:rPr>
                                  <w:rFonts w:ascii="Arial" w:hAnsi="Arial" w:cs="Arial"/>
                                  <w:color w:val="796E65" w:themeColor="accent4"/>
                                  <w:kern w:val="24"/>
                                  <w:sz w:val="16"/>
                                  <w:szCs w:val="16"/>
                                </w:rPr>
                                <w:t>Independent Environmental Auditor</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215" name="Rectangle 215"/>
                        <wps:cNvSpPr/>
                        <wps:spPr>
                          <a:xfrm>
                            <a:off x="3234617" y="3456384"/>
                            <a:ext cx="864000" cy="468000"/>
                          </a:xfrm>
                          <a:prstGeom prst="rect">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19D9B4" w14:textId="77777777" w:rsidR="00947F90" w:rsidRDefault="00947F90" w:rsidP="00947F90">
                              <w:pPr>
                                <w:pStyle w:val="NormalWeb"/>
                                <w:spacing w:before="0" w:beforeAutospacing="0" w:after="0" w:afterAutospacing="0"/>
                                <w:jc w:val="center"/>
                              </w:pPr>
                              <w:r>
                                <w:rPr>
                                  <w:rFonts w:ascii="Arial" w:hAnsi="Arial" w:cs="Arial"/>
                                  <w:color w:val="796E65" w:themeColor="accent4"/>
                                  <w:kern w:val="24"/>
                                  <w:sz w:val="16"/>
                                  <w:szCs w:val="16"/>
                                </w:rPr>
                                <w:t>Independent Reviewer*</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216" name="Rectangle 216"/>
                        <wps:cNvSpPr/>
                        <wps:spPr>
                          <a:xfrm>
                            <a:off x="3108040" y="5760640"/>
                            <a:ext cx="1098577" cy="275910"/>
                          </a:xfrm>
                          <a:prstGeom prst="rect">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C1BAE4" w14:textId="77777777" w:rsidR="00947F90" w:rsidRDefault="00947F90" w:rsidP="00947F90">
                              <w:pPr>
                                <w:pStyle w:val="NormalWeb"/>
                                <w:spacing w:before="0" w:beforeAutospacing="0" w:after="0" w:afterAutospacing="0"/>
                                <w:jc w:val="center"/>
                              </w:pPr>
                              <w:r>
                                <w:rPr>
                                  <w:rFonts w:ascii="Arial" w:hAnsi="Arial" w:cs="Arial"/>
                                  <w:color w:val="796E65" w:themeColor="accent4"/>
                                  <w:kern w:val="24"/>
                                  <w:sz w:val="16"/>
                                  <w:szCs w:val="16"/>
                                </w:rPr>
                                <w:t>* Applies to PPP only</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217" name="Rectangle 217"/>
                        <wps:cNvSpPr/>
                        <wps:spPr>
                          <a:xfrm>
                            <a:off x="227592" y="3228211"/>
                            <a:ext cx="1188000" cy="2844000"/>
                          </a:xfrm>
                          <a:prstGeom prst="rect">
                            <a:avLst/>
                          </a:prstGeom>
                          <a:noFill/>
                          <a:ln w="63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2B70E8" w14:textId="77777777" w:rsidR="00947F90" w:rsidRDefault="00947F90" w:rsidP="00947F90">
                              <w:pPr>
                                <w:rPr>
                                  <w:rFonts w:eastAsia="Times New Roman"/>
                                </w:rPr>
                              </w:pP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218" name="Rectangle 218"/>
                        <wps:cNvSpPr/>
                        <wps:spPr>
                          <a:xfrm>
                            <a:off x="1" y="3228211"/>
                            <a:ext cx="252000" cy="2844000"/>
                          </a:xfrm>
                          <a:prstGeom prst="rect">
                            <a:avLst/>
                          </a:prstGeom>
                          <a:solidFill>
                            <a:schemeClr val="bg1"/>
                          </a:solidFill>
                          <a:ln w="63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9730F8" w14:textId="77777777" w:rsidR="00947F90" w:rsidRDefault="00947F90" w:rsidP="00947F90">
                              <w:pPr>
                                <w:pStyle w:val="NormalWeb"/>
                                <w:spacing w:before="0" w:beforeAutospacing="0" w:after="0" w:afterAutospacing="0"/>
                                <w:jc w:val="center"/>
                              </w:pPr>
                              <w:r>
                                <w:rPr>
                                  <w:rFonts w:ascii="Arial" w:hAnsi="Arial" w:cs="Arial"/>
                                  <w:b/>
                                  <w:bCs/>
                                  <w:color w:val="95A61E" w:themeColor="accent1" w:themeShade="BF"/>
                                  <w:kern w:val="24"/>
                                  <w:sz w:val="16"/>
                                  <w:szCs w:val="16"/>
                                </w:rPr>
                                <w:t>Contractor EMS</w:t>
                              </w:r>
                            </w:p>
                          </w:txbxContent>
                        </wps:txbx>
                        <wps:bodyPr rot="0" spcFirstLastPara="0" vert="vert270" wrap="square" lIns="36000" tIns="36000" rIns="36000" bIns="36000" numCol="1" spcCol="0" rtlCol="0" fromWordArt="0" anchor="ctr" anchorCtr="0" forceAA="0" compatLnSpc="1">
                          <a:prstTxWarp prst="textNoShape">
                            <a:avLst/>
                          </a:prstTxWarp>
                          <a:noAutofit/>
                        </wps:bodyPr>
                      </wps:wsp>
                      <wps:wsp>
                        <wps:cNvPr id="219" name="Rectangle 219"/>
                        <wps:cNvSpPr/>
                        <wps:spPr>
                          <a:xfrm>
                            <a:off x="1559740" y="3222359"/>
                            <a:ext cx="252000" cy="1785154"/>
                          </a:xfrm>
                          <a:prstGeom prst="rect">
                            <a:avLst/>
                          </a:prstGeom>
                          <a:solidFill>
                            <a:schemeClr val="bg1"/>
                          </a:solidFill>
                          <a:ln w="635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3E9F3D" w14:textId="77777777" w:rsidR="00947F90" w:rsidRDefault="00947F90" w:rsidP="00947F90">
                              <w:pPr>
                                <w:pStyle w:val="NormalWeb"/>
                                <w:spacing w:before="0" w:beforeAutospacing="0" w:after="0" w:afterAutospacing="0"/>
                                <w:jc w:val="center"/>
                              </w:pPr>
                              <w:r>
                                <w:rPr>
                                  <w:rFonts w:ascii="Arial" w:hAnsi="Arial" w:cs="Arial"/>
                                  <w:b/>
                                  <w:bCs/>
                                  <w:color w:val="00B398" w:themeColor="accent5"/>
                                  <w:kern w:val="24"/>
                                  <w:sz w:val="16"/>
                                  <w:szCs w:val="16"/>
                                </w:rPr>
                                <w:t>Operator EMS</w:t>
                              </w:r>
                            </w:p>
                          </w:txbxContent>
                        </wps:txbx>
                        <wps:bodyPr rot="0" spcFirstLastPara="0" vert="vert270" wrap="square" lIns="36000" tIns="36000" rIns="36000" bIns="36000" numCol="1" spcCol="0" rtlCol="0" fromWordArt="0" anchor="ctr" anchorCtr="0" forceAA="0" compatLnSpc="1">
                          <a:prstTxWarp prst="textNoShape">
                            <a:avLst/>
                          </a:prstTxWarp>
                          <a:noAutofit/>
                        </wps:bodyPr>
                      </wps:wsp>
                      <wps:wsp>
                        <wps:cNvPr id="220" name="Rectangle 220"/>
                        <wps:cNvSpPr/>
                        <wps:spPr>
                          <a:xfrm>
                            <a:off x="434506" y="3096344"/>
                            <a:ext cx="810421" cy="275913"/>
                          </a:xfrm>
                          <a:prstGeom prst="rect">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6FDED2" w14:textId="77777777" w:rsidR="00947F90" w:rsidRDefault="00947F90" w:rsidP="00947F90">
                              <w:pPr>
                                <w:pStyle w:val="NormalWeb"/>
                                <w:spacing w:before="0" w:beforeAutospacing="0" w:after="0" w:afterAutospacing="0"/>
                                <w:jc w:val="center"/>
                              </w:pPr>
                              <w:r>
                                <w:rPr>
                                  <w:rFonts w:ascii="Arial" w:hAnsi="Arial" w:cs="Arial"/>
                                  <w:b/>
                                  <w:bCs/>
                                  <w:color w:val="95A61E" w:themeColor="accent1" w:themeShade="BF"/>
                                  <w:kern w:val="24"/>
                                  <w:sz w:val="16"/>
                                  <w:szCs w:val="16"/>
                                </w:rPr>
                                <w:t>Contractor(s)</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221" name="Rectangle 221"/>
                        <wps:cNvSpPr/>
                        <wps:spPr>
                          <a:xfrm rot="16200000">
                            <a:off x="-340922" y="1565342"/>
                            <a:ext cx="1413839" cy="227245"/>
                          </a:xfrm>
                          <a:prstGeom prst="rect">
                            <a:avLst/>
                          </a:prstGeom>
                          <a:solidFill>
                            <a:schemeClr val="tx2">
                              <a:lumMod val="75000"/>
                            </a:schemeClr>
                          </a:solidFill>
                          <a:ln w="6350">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C3FB47" w14:textId="77777777" w:rsidR="00947F90" w:rsidRDefault="00947F90" w:rsidP="00947F90">
                              <w:pPr>
                                <w:pStyle w:val="NormalWeb"/>
                                <w:spacing w:before="0" w:beforeAutospacing="0" w:after="0" w:afterAutospacing="0"/>
                                <w:jc w:val="center"/>
                              </w:pPr>
                              <w:r>
                                <w:rPr>
                                  <w:rFonts w:ascii="Arial" w:hAnsi="Arial" w:cs="Arial"/>
                                  <w:color w:val="FFFFFF" w:themeColor="background1"/>
                                  <w:kern w:val="24"/>
                                  <w:sz w:val="16"/>
                                  <w:szCs w:val="16"/>
                                </w:rPr>
                                <w:t xml:space="preserve">Sustainability Policy </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222" name="Rectangle 222"/>
                        <wps:cNvSpPr/>
                        <wps:spPr>
                          <a:xfrm>
                            <a:off x="335716" y="4068516"/>
                            <a:ext cx="1008000" cy="576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8B963B" w14:textId="77777777" w:rsidR="00947F90" w:rsidRDefault="00947F90" w:rsidP="00947F90">
                              <w:pPr>
                                <w:pStyle w:val="NormalWeb"/>
                                <w:spacing w:before="0" w:beforeAutospacing="0" w:after="0" w:afterAutospacing="0"/>
                                <w:jc w:val="center"/>
                              </w:pPr>
                              <w:r>
                                <w:rPr>
                                  <w:rFonts w:asciiTheme="minorHAnsi" w:hAnsi="Arial" w:cstheme="minorBidi"/>
                                  <w:color w:val="FFFFFF" w:themeColor="light1"/>
                                  <w:kern w:val="24"/>
                                  <w:sz w:val="16"/>
                                  <w:szCs w:val="16"/>
                                </w:rPr>
                                <w:t>Construction Environmental Management Plan (CEMP)</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223" name="Rectangle 223"/>
                        <wps:cNvSpPr/>
                        <wps:spPr>
                          <a:xfrm>
                            <a:off x="335716" y="4752528"/>
                            <a:ext cx="1008000" cy="576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0F1B32" w14:textId="77777777" w:rsidR="00947F90" w:rsidRDefault="00947F90" w:rsidP="00947F90">
                              <w:pPr>
                                <w:pStyle w:val="NormalWeb"/>
                                <w:spacing w:before="0" w:beforeAutospacing="0" w:after="0" w:afterAutospacing="0"/>
                                <w:jc w:val="center"/>
                              </w:pPr>
                              <w:r>
                                <w:rPr>
                                  <w:rFonts w:asciiTheme="minorHAnsi" w:hAnsi="Arial" w:cstheme="minorBidi"/>
                                  <w:color w:val="FFFFFF" w:themeColor="light1"/>
                                  <w:kern w:val="24"/>
                                  <w:sz w:val="16"/>
                                  <w:szCs w:val="16"/>
                                </w:rPr>
                                <w:t>Site Environment Implementation Plan(s) (SEIP)</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g:wgp>
                  </a:graphicData>
                </a:graphic>
              </wp:inline>
            </w:drawing>
          </mc:Choice>
          <mc:Fallback xmlns:w15="http://schemas.microsoft.com/office/word/2012/wordml">
            <w:pict>
              <v:group w14:anchorId="5CDF135A" id="Group 17" o:spid="_x0000_s1026" style="width:331.25pt;height:478.15pt;mso-position-horizontal-relative:char;mso-position-vertical-relative:line" coordsize="42066,60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">
                <v:shapetype id="_x0000_t32" coordsize="21600,21600" o:spt="32" o:oned="t" path="m,l21600,21600e" filled="f">
                  <v:path arrowok="t" fillok="f" o:connecttype="none"/>
                  <o:lock v:ext="edit" shapetype="t"/>
                </v:shapetype>
                <v:shape id="Straight Arrow Connector 175" o:spid="_x0000_s1027" type="#_x0000_t32" style="position:absolute;left:17038;top:5447;width:0;height:42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Rcd8MAAADcAAAADwAAAGRycy9kb3ducmV2LnhtbERPS2sCMRC+F/wPYYTearZCVbZGKUKx&#10;LV589D4ks9ltN5PtJq5bf70RBG/z8T1nvuxdLTpqQ+VZwfMoA0GsvanYKjjs359mIEJENlh7JgX/&#10;FGC5GDzMMTf+xFvqdtGKFMIhRwVljE0uZdAlOQwj3xAnrvCtw5hga6Vp8ZTCXS3HWTaRDitODSU2&#10;tCpJ/+6OTsHsyxaT1fffMUwLqbv1efNjP7VSj8P+7RVEpD7exTf3h0nzpy9wfSZdIBc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8EXHfDAAAA3AAAAA8AAAAAAAAAAAAA&#10;AAAAoQIAAGRycy9kb3ducmV2LnhtbFBLBQYAAAAABAAEAPkAAACRAwAAAAA=&#10;" strokecolor="#796e65 [3207]" strokeweight=".5pt">
                  <v:stroke endarrow="block"/>
                </v:shape>
                <v:rect id="Rectangle 176" o:spid="_x0000_s1028" style="position:absolute;left:28231;top:19687;width:1278;height:12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JXmsIA&#10;AADcAAAADwAAAGRycy9kb3ducmV2LnhtbERP3WrCMBS+H/gO4Qi7m6ledLMzyiYbDIaj1j3AsTkm&#10;Zc1JaaJ2b28Ewbvz8f2exWpwrThRHxrPCqaTDARx7XXDRsHv7vPpBUSIyBpbz6TgnwKslqOHBRba&#10;n3lLpyoakUI4FKjAxtgVUobaksMw8R1x4g6+dxgT7I3UPZ5TuGvlLMty6bDh1GCxo7Wl+q86OgUf&#10;7+V6Xpamm+7piN/5bGPsj1bqcTy8vYKINMS7+Ob+0mn+cw7XZ9IFc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gleawgAAANwAAAAPAAAAAAAAAAAAAAAAAJgCAABkcnMvZG93&#10;bnJldi54bWxQSwUGAAAAAAQABAD1AAAAhwMAAAAA&#10;" fillcolor="#f2f2f2 [3052]" stroked="f" strokeweight="1pt">
                  <v:textbox inset="1mm,1mm,1mm,1mm">
                    <w:txbxContent>
                      <w:p w14:paraId="0FB6A099" w14:textId="77777777" w:rsidR="00947F90" w:rsidRDefault="00947F90" w:rsidP="00947F90">
                        <w:pPr>
                          <w:rPr>
                            <w:rFonts w:eastAsia="Times New Roman"/>
                          </w:rPr>
                        </w:pPr>
                      </w:p>
                    </w:txbxContent>
                  </v:textbox>
                </v:rect>
                <v:rect id="Rectangle 177" o:spid="_x0000_s1029" style="position:absolute;left:37223;top:39892;width:1278;height:12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e5KsIA&#10;AADcAAAADwAAAGRycy9kb3ducmV2LnhtbERPS4vCMBC+C/6HMAveNF0Vu3SNIqIgiAcfh93bbDPb&#10;FptJSaLWf28Ewdt8fM+ZzltTiys5X1lW8DlIQBDnVldcKDgd1/0vED4ga6wtk4I7eZjPup0pZtre&#10;eE/XQyhEDGGfoYIyhCaT0uclGfQD2xBH7t86gyFCV0jt8BbDTS2HSTKRBiuODSU2tCwpPx8uRkH7&#10;m6Snbb2Uu8XY+r/7z5lGbqVU76NdfIMI1Ia3+OXe6Dg/TeH5TLx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h7kqwgAAANwAAAAPAAAAAAAAAAAAAAAAAJgCAABkcnMvZG93&#10;bnJldi54bWxQSwUGAAAAAAQABAD1AAAAhwMAAAAA&#10;" filled="f" stroked="f" strokeweight="1pt">
                  <v:textbox inset="1mm,1mm,1mm,1mm">
                    <w:txbxContent>
                      <w:p w14:paraId="6C3BD669" w14:textId="77777777" w:rsidR="00947F90" w:rsidRDefault="00947F90" w:rsidP="00947F90">
                        <w:pPr>
                          <w:rPr>
                            <w:rFonts w:eastAsia="Times New Roman"/>
                          </w:rPr>
                        </w:pPr>
                      </w:p>
                    </w:txbxContent>
                  </v:textbox>
                </v:rect>
                <v:rect id="Rectangle 178" o:spid="_x0000_s1030" style="position:absolute;left:3;width:30534;height:75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LLs8IA&#10;AADcAAAADwAAAGRycy9kb3ducmV2LnhtbESPQW/CMAyF70j8h8iTuEG6SrDRERCaxsSVwg+wGtMU&#10;GqdqApR/jw+TdrP1nt/7vNoMvlV36mMT2MD7LANFXAXbcG3gdNxNP0HFhGyxDUwGnhRhsx6PVljY&#10;8OAD3ctUKwnhWKABl1JXaB0rRx7jLHTEop1D7zHJ2tfa9viQcN/qPMsW2mPD0uCwo29H1bW8eQP5&#10;blhm5bL5zW9ldThf8Ofi5ldjJm/D9gtUoiH9m/+u91bwP4RWnpEJ9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osuzwgAAANwAAAAPAAAAAAAAAAAAAAAAAJgCAABkcnMvZG93&#10;bnJldi54bWxQSwUGAAAAAAQABAD1AAAAhwMAAAAA&#10;" fillcolor="#008a9e [2415]" strokecolor="#008a9e [2415]" strokeweight=".5pt">
                  <v:textbox inset="1mm,1mm,1mm,1mm">
                    <w:txbxContent>
                      <w:p w14:paraId="4E9D6943" w14:textId="77777777" w:rsidR="00947F90" w:rsidRDefault="00947F90" w:rsidP="00947F90">
                        <w:pPr>
                          <w:rPr>
                            <w:rFonts w:eastAsia="Times New Roman"/>
                          </w:rPr>
                        </w:pPr>
                      </w:p>
                    </w:txbxContent>
                  </v:textbox>
                </v:rect>
                <v:rect id="Rectangle 179" o:spid="_x0000_s1031" style="position:absolute;left:6703;top:1546;width:9253;height:3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qHDcQA&#10;AADcAAAADwAAAGRycy9kb3ducmV2LnhtbERPS2vCQBC+F/oflin0pptaiDW6ShFaFb00Ps5DdkzS&#10;Zmdjdk3Sf98VhN7m43vObNGbSrTUuNKygpdhBII4s7rkXMFh/zF4A+E8ssbKMin4JQeL+ePDDBNt&#10;O/6iNvW5CCHsElRQeF8nUrqsIINuaGviwJ1tY9AH2ORSN9iFcFPJURTF0mDJoaHAmpYFZT/p1SiI&#10;VpcNnV67y+k73p3jvt1+HvdjpZ6f+vcpCE+9/xff3Wsd5o8ncHsmX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hw3EAAAA3AAAAA8AAAAAAAAAAAAAAAAAmAIAAGRycy9k&#10;b3ducmV2LnhtbFBLBQYAAAAABAAEAPUAAACJAwAAAAA=&#10;" fillcolor="white [3212]" stroked="f" strokeweight="2pt">
                  <v:textbox inset="1mm,1mm,1mm,1mm">
                    <w:txbxContent>
                      <w:p w14:paraId="07DC1792" w14:textId="77777777" w:rsidR="00947F90" w:rsidRDefault="00947F90" w:rsidP="00947F90">
                        <w:pPr>
                          <w:pStyle w:val="NormalWeb"/>
                          <w:spacing w:before="0" w:beforeAutospacing="0" w:after="0" w:afterAutospacing="0"/>
                          <w:jc w:val="center"/>
                        </w:pPr>
                        <w:r>
                          <w:rPr>
                            <w:rFonts w:asciiTheme="minorHAnsi" w:hAnsi="Arial" w:cstheme="minorBidi"/>
                            <w:color w:val="008A9E" w:themeColor="text2" w:themeShade="BF"/>
                            <w:kern w:val="24"/>
                            <w:sz w:val="16"/>
                            <w:szCs w:val="16"/>
                          </w:rPr>
                          <w:t>Legislation</w:t>
                        </w:r>
                      </w:p>
                    </w:txbxContent>
                  </v:textbox>
                </v:rect>
                <v:rect id="Rectangle 180" o:spid="_x0000_s1032" style="position:absolute;left:17759;top:1546;width:9719;height:3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Vet8YA&#10;AADcAAAADwAAAGRycy9kb3ducmV2LnhtbESPzU7DQAyE70i8w8pI3OimVApV2m1VIUFBcOnv2cq6&#10;SdqsN80uSXh7fEDqzdaMZz7Pl4OrVUdtqDwbGI8SUMS5txUXBva7t6cpqBCRLdaeycAvBVgu7u/m&#10;mFnf84a6bSyUhHDI0EAZY5NpHfKSHIaRb4hFO/nWYZS1LbRtsZdwV+vnJEm1w4qlocSGXkvKL9sf&#10;ZyBZXz/pOOmvx3P6fUqH7uv9sHsx5vFhWM1ARRrizfx//WEFfyr48oxMo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1Vet8YAAADcAAAADwAAAAAAAAAAAAAAAACYAgAAZHJz&#10;L2Rvd25yZXYueG1sUEsFBgAAAAAEAAQA9QAAAIsDAAAAAA==&#10;" fillcolor="white [3212]" stroked="f" strokeweight="2pt">
                  <v:textbox inset="1mm,1mm,1mm,1mm">
                    <w:txbxContent>
                      <w:p w14:paraId="2180E28E" w14:textId="77777777" w:rsidR="00947F90" w:rsidRDefault="00947F90" w:rsidP="00947F90">
                        <w:pPr>
                          <w:pStyle w:val="NormalWeb"/>
                          <w:spacing w:before="120" w:beforeAutospacing="0" w:after="120" w:afterAutospacing="0"/>
                          <w:jc w:val="center"/>
                        </w:pPr>
                        <w:r>
                          <w:rPr>
                            <w:rFonts w:asciiTheme="minorHAnsi" w:hAnsi="Arial" w:cstheme="minorBidi"/>
                            <w:color w:val="008A9E" w:themeColor="text2" w:themeShade="BF"/>
                            <w:kern w:val="24"/>
                            <w:sz w:val="16"/>
                            <w:szCs w:val="16"/>
                          </w:rPr>
                          <w:t xml:space="preserve">Project Approvals </w:t>
                        </w:r>
                      </w:p>
                    </w:txbxContent>
                  </v:textbox>
                </v:rect>
                <v:rect id="Rectangle 181" o:spid="_x0000_s1033" style="position:absolute;top:9720;width:30537;height:141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3ZnMMA&#10;AADcAAAADwAAAGRycy9kb3ducmV2LnhtbERPTWvCQBC9F/wPywi9NZuolZi6EREKFaSg7cXbkJ1m&#10;g9nZkF019de7QqG3ebzPWa4G24oL9b5xrCBLUhDEldMN1wq+v95fchA+IGtsHZOCX/KwKkdPSyy0&#10;u/KeLodQixjCvkAFJoSukNJXhiz6xHXEkftxvcUQYV9L3eM1httWTtJ0Li02HBsMdrQxVJ0OZ6tg&#10;Mk0/zem22OnZ2sltI492Gl6Veh4P6zcQgYbwL/5zf+g4P8/g8Uy8QJ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3ZnMMAAADcAAAADwAAAAAAAAAAAAAAAACYAgAAZHJzL2Rv&#10;d25yZXYueG1sUEsFBgAAAAAEAAQA9QAAAIgDAAAAAA==&#10;" fillcolor="#00bad4 [3215]" strokecolor="#00bad4 [3215]" strokeweight=".5pt">
                  <v:textbox inset="1mm,1mm,1mm,1mm">
                    <w:txbxContent>
                      <w:p w14:paraId="688022FF" w14:textId="77777777" w:rsidR="00947F90" w:rsidRDefault="00947F90" w:rsidP="00947F90">
                        <w:pPr>
                          <w:rPr>
                            <w:rFonts w:eastAsia="Times New Roman"/>
                          </w:rPr>
                        </w:pPr>
                      </w:p>
                    </w:txbxContent>
                  </v:textbox>
                </v:rect>
                <v:rect id="Rectangle 182" o:spid="_x0000_s1034" style="position:absolute;left:3;top:9720;width:2520;height:141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XyZsIA&#10;AADcAAAADwAAAGRycy9kb3ducmV2LnhtbERP32vCMBB+H/g/hBN8m+mKTq1GGYOBMF9WBV+P5mzK&#10;mktoslr96xdhsLf7+H7eZjfYVvTUhcaxgpdpBoK4crrhWsHp+PG8BBEissbWMSm4UYDddvS0wUK7&#10;K39RX8ZapBAOBSowMfpCylAZshimzhMn7uI6izHBrpa6w2sKt63Ms+xVWmw4NRj09G6o+i5/rILD&#10;/Kz7e72a565pP83Cl34mb0pNxsPbGkSkIf6L/9x7neYvc3g8ky6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dfJmwgAAANwAAAAPAAAAAAAAAAAAAAAAAJgCAABkcnMvZG93&#10;bnJldi54bWxQSwUGAAAAAAQABAD1AAAAhwMAAAAA&#10;" fillcolor="white [3212]" strokecolor="#00bad4" strokeweight=".5pt">
                  <v:textbox style="layout-flow:vertical;mso-layout-flow-alt:bottom-to-top" inset="1mm,1mm,1mm,1mm">
                    <w:txbxContent>
                      <w:p w14:paraId="16CB806F" w14:textId="77777777" w:rsidR="00947F90" w:rsidRDefault="00947F90" w:rsidP="00947F90">
                        <w:pPr>
                          <w:pStyle w:val="NormalWeb"/>
                          <w:spacing w:before="0" w:beforeAutospacing="0" w:after="0" w:afterAutospacing="0"/>
                          <w:jc w:val="center"/>
                        </w:pPr>
                        <w:r>
                          <w:rPr>
                            <w:rFonts w:ascii="Arial" w:hAnsi="Arial" w:cs="Arial"/>
                            <w:b/>
                            <w:bCs/>
                            <w:color w:val="008A9E" w:themeColor="text2" w:themeShade="BF"/>
                            <w:kern w:val="24"/>
                            <w:sz w:val="16"/>
                            <w:szCs w:val="16"/>
                          </w:rPr>
                          <w:t>MMRA EMS</w:t>
                        </w:r>
                      </w:p>
                    </w:txbxContent>
                  </v:textbox>
                </v:rect>
                <v:rect id="Rectangle 183" o:spid="_x0000_s1035" style="position:absolute;left:-1733;top:15889;width:14138;height:180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vDAMIA&#10;AADcAAAADwAAAGRycy9kb3ducmV2LnhtbERP3WrCMBS+H/gO4QjejJm4Mn+qUTpBGMwb3R7gkJy1&#10;xeakNNHWtzeDwe7Ox/d7NrvBNeJGXag9a5hNFQhi423NpYbvr8PLEkSIyBYbz6ThTgF229HTBnPr&#10;ez7R7RxLkUI45KihirHNpQymIodh6lvixP34zmFMsCul7bBP4a6Rr0rNpcOaU0OFLe0rMpfz1Wk4&#10;vhXZ6vNgTFiYTC3Uc7GK773Wk/FQrEFEGuK/+M/9YdP8ZQa/z6QL5P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28MAwgAAANwAAAAPAAAAAAAAAAAAAAAAAJgCAABkcnMvZG93&#10;bnJldi54bWxQSwUGAAAAAAQABAD1AAAAhwMAAAAA&#10;" fillcolor="#008a9e [2415]" strokecolor="#008a9e [2415]" strokeweight=".5pt">
                  <v:textbox inset="1mm,1mm,1mm,1mm">
                    <w:txbxContent>
                      <w:p w14:paraId="180AD61A" w14:textId="77777777" w:rsidR="00947F90" w:rsidRDefault="00947F90" w:rsidP="00947F90">
                        <w:pPr>
                          <w:pStyle w:val="NormalWeb"/>
                          <w:spacing w:before="0" w:beforeAutospacing="0" w:after="0" w:afterAutospacing="0"/>
                          <w:jc w:val="center"/>
                        </w:pPr>
                        <w:r>
                          <w:rPr>
                            <w:rFonts w:ascii="Arial" w:hAnsi="Arial" w:cs="Arial"/>
                            <w:color w:val="FFFFFF" w:themeColor="background1"/>
                            <w:kern w:val="24"/>
                            <w:sz w:val="16"/>
                            <w:szCs w:val="16"/>
                          </w:rPr>
                          <w:t>Environmental Policy</w:t>
                        </w:r>
                      </w:p>
                    </w:txbxContent>
                  </v:textbox>
                </v:rect>
                <v:rect id="Rectangle 184" o:spid="_x0000_s1036" style="position:absolute;left:11278;top:11103;width:11520;height: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5YtMMA&#10;AADcAAAADwAAAGRycy9kb3ducmV2LnhtbERPS2vCQBC+F/oflil4q5tqiRJdpQhqpV7q6zxkxyRt&#10;djZm1yT+e1co9DYf33Om886UoqHaFZYVvPUjEMSp1QVnCg775esYhPPIGkvLpOBGDuaz56cpJtq2&#10;/E3NzmcihLBLUEHufZVI6dKcDLq+rYgDd7a1QR9gnUldYxvCTSkHURRLgwWHhhwrWuSU/u6uRkG0&#10;vmzoNGwvp594e4675mt13I+U6r10HxMQnjr/L/5zf+owf/wOj2fCBX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G5YtMMAAADcAAAADwAAAAAAAAAAAAAAAACYAgAAZHJzL2Rv&#10;d25yZXYueG1sUEsFBgAAAAAEAAQA9QAAAIgDAAAAAA==&#10;" fillcolor="white [3212]" stroked="f" strokeweight="2pt">
                  <v:textbox inset="1mm,1mm,1mm,1mm">
                    <w:txbxContent>
                      <w:p w14:paraId="72C46AA0" w14:textId="77777777" w:rsidR="00947F90" w:rsidRDefault="00947F90" w:rsidP="00947F90">
                        <w:pPr>
                          <w:pStyle w:val="NormalWeb"/>
                          <w:spacing w:before="0" w:beforeAutospacing="0" w:after="0" w:afterAutospacing="0"/>
                          <w:jc w:val="center"/>
                        </w:pPr>
                        <w:r>
                          <w:rPr>
                            <w:rFonts w:ascii="Arial" w:hAnsi="Arial" w:cs="Arial"/>
                            <w:color w:val="008A9E" w:themeColor="text2" w:themeShade="BF"/>
                            <w:kern w:val="24"/>
                            <w:sz w:val="16"/>
                            <w:szCs w:val="16"/>
                          </w:rPr>
                          <w:t>EES Environmental Performance Requirements (EPRs)</w:t>
                        </w:r>
                        <w:r>
                          <w:rPr>
                            <w:rFonts w:asciiTheme="minorHAnsi" w:hAnsi="Arial" w:cstheme="minorBidi"/>
                            <w:color w:val="FFFFFF" w:themeColor="light1"/>
                            <w:kern w:val="24"/>
                            <w:sz w:val="16"/>
                            <w:szCs w:val="16"/>
                          </w:rPr>
                          <w:t>)</w:t>
                        </w:r>
                      </w:p>
                    </w:txbxContent>
                  </v:textbox>
                </v:rect>
                <v:rect id="Rectangle 185" o:spid="_x0000_s1037" style="position:absolute;left:7316;top:18156;width:8640;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L9L8MA&#10;AADcAAAADwAAAGRycy9kb3ducmV2LnhtbERPS2vCQBC+F/oflil4q5sqjRJdpQhqpV7q6zxkxyRt&#10;djZm1yT+e1co9DYf33Om886UoqHaFZYVvPUjEMSp1QVnCg775esYhPPIGkvLpOBGDuaz56cpJtq2&#10;/E3NzmcihLBLUEHufZVI6dKcDLq+rYgDd7a1QR9gnUldYxvCTSkHURRLgwWHhhwrWuSU/u6uRkG0&#10;vmzoNGwvp594e4675mt13I+U6r10HxMQnjr/L/5zf+owf/wOj2fCBX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L9L8MAAADcAAAADwAAAAAAAAAAAAAAAACYAgAAZHJzL2Rv&#10;d25yZXYueG1sUEsFBgAAAAAEAAQA9QAAAIgDAAAAAA==&#10;" fillcolor="white [3212]" stroked="f" strokeweight="2pt">
                  <v:textbox inset="1mm,1mm,1mm,1mm">
                    <w:txbxContent>
                      <w:p w14:paraId="743B6B64" w14:textId="77777777" w:rsidR="00947F90" w:rsidRDefault="00947F90" w:rsidP="00947F90">
                        <w:pPr>
                          <w:pStyle w:val="NormalWeb"/>
                          <w:spacing w:before="0" w:beforeAutospacing="0" w:after="0" w:afterAutospacing="0"/>
                          <w:jc w:val="center"/>
                        </w:pPr>
                        <w:r>
                          <w:rPr>
                            <w:rFonts w:ascii="Arial" w:hAnsi="Arial" w:cs="Arial"/>
                            <w:color w:val="008A9E" w:themeColor="text2" w:themeShade="BF"/>
                            <w:kern w:val="24"/>
                            <w:sz w:val="16"/>
                            <w:szCs w:val="16"/>
                          </w:rPr>
                          <w:t xml:space="preserve">Design and Construction </w:t>
                        </w:r>
                      </w:p>
                      <w:p w14:paraId="2693D17E" w14:textId="77777777" w:rsidR="00947F90" w:rsidRDefault="00947F90" w:rsidP="00947F90">
                        <w:pPr>
                          <w:pStyle w:val="NormalWeb"/>
                          <w:spacing w:before="0" w:beforeAutospacing="0" w:after="0" w:afterAutospacing="0"/>
                          <w:jc w:val="center"/>
                        </w:pPr>
                        <w:r>
                          <w:rPr>
                            <w:rFonts w:ascii="Arial" w:hAnsi="Arial" w:cs="Arial"/>
                            <w:color w:val="008A9E" w:themeColor="text2" w:themeShade="BF"/>
                            <w:kern w:val="24"/>
                            <w:sz w:val="16"/>
                            <w:szCs w:val="16"/>
                          </w:rPr>
                          <w:t>EPRs</w:t>
                        </w:r>
                      </w:p>
                    </w:txbxContent>
                  </v:textbox>
                </v:rect>
                <v:rect id="Rectangle 186" o:spid="_x0000_s1038" style="position:absolute;left:18117;top:18156;width:8640;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jWMIA&#10;AADcAAAADwAAAGRycy9kb3ducmV2LnhtbERPS2vCQBC+F/wPywje6sYKqURXEaHaYi8+z0N2TKLZ&#10;2ZjdJum/dwsFb/PxPWe26EwpGqpdYVnBaBiBIE6tLjhTcDx8vE5AOI+ssbRMCn7JwWLee5lhom3L&#10;O2r2PhMhhF2CCnLvq0RKl+Zk0A1tRRy4i60N+gDrTOoa2xBuSvkWRbE0WHBoyLGiVU7pbf9jFESb&#10;+xedx+39fI2/L3HXbNenw7tSg363nILw1Pmn+N/9qcP8SQx/z4QL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8GNYwgAAANwAAAAPAAAAAAAAAAAAAAAAAJgCAABkcnMvZG93&#10;bnJldi54bWxQSwUGAAAAAAQABAD1AAAAhwMAAAAA&#10;" fillcolor="white [3212]" stroked="f" strokeweight="2pt">
                  <v:textbox inset="1mm,1mm,1mm,1mm">
                    <w:txbxContent>
                      <w:p w14:paraId="0FD8937C" w14:textId="77777777" w:rsidR="00947F90" w:rsidRDefault="00947F90" w:rsidP="00947F90">
                        <w:pPr>
                          <w:pStyle w:val="NormalWeb"/>
                          <w:spacing w:before="0" w:beforeAutospacing="0" w:after="0" w:afterAutospacing="0"/>
                          <w:jc w:val="center"/>
                        </w:pPr>
                        <w:r>
                          <w:rPr>
                            <w:rFonts w:ascii="Arial" w:hAnsi="Arial" w:cs="Arial"/>
                            <w:color w:val="008A9E" w:themeColor="text2" w:themeShade="BF"/>
                            <w:kern w:val="24"/>
                            <w:sz w:val="16"/>
                            <w:szCs w:val="16"/>
                          </w:rPr>
                          <w:t>Operational Performance</w:t>
                        </w:r>
                      </w:p>
                      <w:p w14:paraId="029EC52E" w14:textId="77777777" w:rsidR="00947F90" w:rsidRDefault="00947F90" w:rsidP="00947F90">
                        <w:pPr>
                          <w:pStyle w:val="NormalWeb"/>
                          <w:spacing w:before="0" w:beforeAutospacing="0" w:after="0" w:afterAutospacing="0"/>
                          <w:jc w:val="center"/>
                        </w:pPr>
                        <w:r>
                          <w:rPr>
                            <w:rFonts w:ascii="Arial" w:hAnsi="Arial" w:cs="Arial"/>
                            <w:color w:val="008A9E" w:themeColor="text2" w:themeShade="BF"/>
                            <w:kern w:val="24"/>
                            <w:sz w:val="16"/>
                            <w:szCs w:val="16"/>
                          </w:rPr>
                          <w:t>EPRs</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87" o:spid="_x0000_s1039" type="#_x0000_t34" style="position:absolute;left:12970;top:14089;width:2733;height:5402;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MIcEAAADcAAAADwAAAGRycy9kb3ducmV2LnhtbERPS2rDMBDdF3IHMYFsSiMnhSZxI5sQ&#10;MHRRKPkcYJCmlqk1MpISu7evCoXu5vG+s68n14s7hdh5VrBaFiCItTcdtwqul+ZpCyImZIO9Z1Lw&#10;TRHqavawx9L4kU90P6dW5BCOJSqwKQ2llFFbchiXfiDO3KcPDlOGoZUm4JjDXS/XRfEiHXacGywO&#10;dLSkv843p+CQTloW7/ysm49+t5Ph0Vp/U2oxnw6vIBJN6V/8534zef52A7/P5Atk9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4EwhwQAAANwAAAAPAAAAAAAAAAAAAAAA&#10;AKECAABkcnMvZG93bnJldi54bWxQSwUGAAAAAAQABAD5AAAAjwMAAAAA&#10;" strokecolor="#796e65 [3207]" strokeweight=".5pt">
                  <v:stroke endarrow="block"/>
                </v:shape>
                <v:shape id="Elbow Connector 188" o:spid="_x0000_s1040" type="#_x0000_t34" style="position:absolute;left:18371;top:14090;width:2733;height:5399;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tK28UAAADcAAAADwAAAGRycy9kb3ducmV2LnhtbESPQWsCMRCF70L/Q5iCF6nZeiiyNYot&#10;FDwJrkLb27CZ7i7dTLZJXOO/dw4FbzO8N+99s9pk16uRQuw8G3ieF6CIa287bgycjh9PS1AxIVvs&#10;PZOBK0XYrB8mKyytv/CBxio1SkI4lmigTWkotY51Sw7j3A/Eov344DDJGhptA14k3PV6URQv2mHH&#10;0tDiQO8t1b/V2Rmo8CuHkz/g7vtzdv7bb/NwHd+MmT7m7SuoRDndzf/XOyv4S6GVZ2QCvb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atK28UAAADcAAAADwAAAAAAAAAA&#10;AAAAAAChAgAAZHJzL2Rvd25yZXYueG1sUEsFBgAAAAAEAAQA+QAAAJMDAAAAAA==&#10;" strokecolor="#796e65 [3207]" strokeweight=".5pt">
                  <v:stroke endarrow="block"/>
                </v:shape>
                <v:rect id="Rectangle 189" o:spid="_x0000_s1041" style="position:absolute;left:7758;top:55489;width:1278;height:12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H45MIA&#10;AADcAAAADwAAAGRycy9kb3ducmV2LnhtbERPS4vCMBC+L/gfwgjeNPXB6lajiCgIsgcfh93bbDO2&#10;xWZSkqj13xtB2Nt8fM+ZLRpTiRs5X1pW0O8lIIgzq0vOFZyOm+4EhA/IGivLpOBBHhbz1scMU23v&#10;vKfbIeQihrBPUUERQp1K6bOCDPqerYkjd7bOYIjQ5VI7vMdwU8lBknxKgyXHhgJrWhWUXQ5Xo6D5&#10;TcanXbWS38uR9X+PnwsN3VqpTrtZTkEEasK/+O3e6jh/8gWvZ+IF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gfjkwgAAANwAAAAPAAAAAAAAAAAAAAAAAJgCAABkcnMvZG93&#10;bnJldi54bWxQSwUGAAAAAAQABAD1AAAAhwMAAAAA&#10;" filled="f" stroked="f" strokeweight="1pt">
                  <v:textbox inset="1mm,1mm,1mm,1mm">
                    <w:txbxContent>
                      <w:p w14:paraId="1FFF33FB" w14:textId="77777777" w:rsidR="00947F90" w:rsidRDefault="00947F90" w:rsidP="00947F90">
                        <w:pPr>
                          <w:rPr>
                            <w:rFonts w:eastAsia="Times New Roman"/>
                          </w:rPr>
                        </w:pPr>
                      </w:p>
                    </w:txbxContent>
                  </v:textbox>
                </v:rect>
                <v:rect id="Rectangle 190" o:spid="_x0000_s1042" style="position:absolute;left:3357;top:33843;width:10080;height:57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P6HcQA&#10;AADcAAAADwAAAGRycy9kb3ducmV2LnhtbESPT0/DMAzF70h8h8hI3Fg6Jv6sLJvYJKQd2eDCzWpM&#10;E61xSpKt7bfHByRutt7zez+vNmPo1IVS9pENzGcVKOImWs+tgc+Pt7tnULkgW+wik4GJMmzW11cr&#10;rG0c+ECXY2mVhHCu0YArpa+1zo2jgHkWe2LRvmMKWGRNrbYJBwkPnb6vqkcd0LM0OOxp56g5Hc/B&#10;gH9aTMPXz5Qf0rhf2vlhe/Lvzpjbm/H1BVShsfyb/673VvCXgi/PyAR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z+h3EAAAA3AAAAA8AAAAAAAAAAAAAAAAAmAIAAGRycy9k&#10;b3ducmV2LnhtbFBLBQYAAAAABAAEAPUAAACJAwAAAAA=&#10;" fillcolor="#c4d92e [3204]" stroked="f" strokeweight="2pt">
                  <v:textbox inset="1mm,1mm,1mm,1mm">
                    <w:txbxContent>
                      <w:p w14:paraId="1C79D57E" w14:textId="77777777" w:rsidR="00947F90" w:rsidRDefault="00947F90" w:rsidP="00947F90">
                        <w:pPr>
                          <w:pStyle w:val="NormalWeb"/>
                          <w:spacing w:before="0" w:beforeAutospacing="0" w:after="0" w:afterAutospacing="0"/>
                          <w:jc w:val="center"/>
                        </w:pPr>
                        <w:r>
                          <w:rPr>
                            <w:rFonts w:asciiTheme="minorHAnsi" w:hAnsi="Arial" w:cstheme="minorBidi"/>
                            <w:color w:val="FFFFFF" w:themeColor="light1"/>
                            <w:kern w:val="24"/>
                            <w:sz w:val="16"/>
                            <w:szCs w:val="16"/>
                          </w:rPr>
                          <w:t>Plans to comply with PSA conditions</w:t>
                        </w:r>
                      </w:p>
                    </w:txbxContent>
                  </v:textbox>
                </v:rect>
                <v:rect id="Rectangle 191" o:spid="_x0000_s1043" style="position:absolute;left:3357;top:54605;width:10080;height:57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9fhsIA&#10;AADcAAAADwAAAGRycy9kb3ducmV2LnhtbERPS0sDMRC+C/6HMII3m11FbbdNiwqFHvvw0tuwmW5C&#10;N5M1id3df98IBW/z8T1nsRpcKy4UovWsoJwUIIhrry03Cr4P66cpiJiQNbaeScFIEVbL+7sFVtr3&#10;vKPLPjUih3CsUIFJqaukjLUhh3HiO+LMnXxwmDIMjdQB+xzuWvlcFG/SoeXcYLCjL0P1ef/rFNj3&#10;l7E//ozxNQybmS53n2e7NUo9PgwfcxCJhvQvvrk3Os+flfD3TL5AL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v1+GwgAAANwAAAAPAAAAAAAAAAAAAAAAAJgCAABkcnMvZG93&#10;bnJldi54bWxQSwUGAAAAAAQABAD1AAAAhwMAAAAA&#10;" fillcolor="#c4d92e [3204]" stroked="f" strokeweight="2pt">
                  <v:textbox inset="1mm,1mm,1mm,1mm">
                    <w:txbxContent>
                      <w:p w14:paraId="08FFFAD3" w14:textId="77777777" w:rsidR="00947F90" w:rsidRDefault="00947F90" w:rsidP="00947F90">
                        <w:pPr>
                          <w:pStyle w:val="NormalWeb"/>
                          <w:spacing w:before="0" w:beforeAutospacing="0" w:after="0" w:afterAutospacing="0"/>
                          <w:jc w:val="center"/>
                        </w:pPr>
                        <w:r>
                          <w:rPr>
                            <w:rFonts w:asciiTheme="minorHAnsi" w:hAnsi="Arial" w:cstheme="minorBidi"/>
                            <w:color w:val="FFFFFF" w:themeColor="light1"/>
                            <w:kern w:val="24"/>
                            <w:sz w:val="16"/>
                            <w:szCs w:val="16"/>
                          </w:rPr>
                          <w:t>Work Method Statement(s) (WMS)</w:t>
                        </w:r>
                      </w:p>
                    </w:txbxContent>
                  </v:textbox>
                </v:rect>
                <v:shape id="Straight Arrow Connector 192" o:spid="_x0000_s1044" type="#_x0000_t32" style="position:absolute;left:8397;top:46085;width:0;height:14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lUdsEAAADcAAAADwAAAGRycy9kb3ducmV2LnhtbERPTWsCMRC9F/wPYQQvpWb1UOrWKEUQ&#10;PHjRFsTbsBk3W5PJkmR1998bodDbPN7nLNe9s+JGITaeFcymBQjiyuuGawU/39u3DxAxIWu0nknB&#10;QBHWq9HLEkvt73yg2zHVIodwLFGBSaktpYyVIYdx6lvizF18cJgyDLXUAe853Fk5L4p36bDh3GCw&#10;pY2h6nrsnAJrhu6V979F2NjLucPrqYsDKzUZ91+fIBL16V/8597pPH8xh+cz+QK5e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OVR2wQAAANwAAAAPAAAAAAAAAAAAAAAA&#10;AKECAABkcnMvZG93bnJldi54bWxQSwUGAAAAAAQABAD5AAAAjwMAAAAA&#10;" strokecolor="#796e65 [3207]" strokeweight=".5pt">
                  <v:stroke endarrow="block" endarrowwidth="narrow" endarrowlength="short"/>
                </v:shape>
                <v:shape id="Straight Arrow Connector 193" o:spid="_x0000_s1045" type="#_x0000_t32" style="position:absolute;left:8397;top:53164;width:0;height:14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Xx7cEAAADcAAAADwAAAGRycy9kb3ducmV2LnhtbERPTWsCMRC9F/wPYQpeSs3WQtGtUUQo&#10;ePCiFcTbsBk3W5PJkmR199+bQqG3ebzPWax6Z8WNQmw8K3ibFCCIK68brhUcv79eZyBiQtZoPZOC&#10;gSKslqOnBZba33lPt0OqRQ7hWKICk1JbShkrQw7jxLfEmbv44DBlGGqpA95zuLNyWhQf0mHDucFg&#10;SxtD1fXQOQXWDN0L736KsLGXc4fXUxcHVmr83K8/QSTq07/4z73Vef78HX6fyRfI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dfHtwQAAANwAAAAPAAAAAAAAAAAAAAAA&#10;AKECAABkcnMvZG93bnJldi54bWxQSwUGAAAAAAQABAD5AAAAjwMAAAAA&#10;" strokecolor="#796e65 [3207]" strokeweight=".5pt">
                  <v:stroke endarrow="block" endarrowwidth="narrow" endarrowlength="short"/>
                </v:shape>
                <v:rect id="Rectangle 194" o:spid="_x0000_s1046" style="position:absolute;left:19197;top:34564;width:10080;height:6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OJYcEA&#10;AADcAAAADwAAAGRycy9kb3ducmV2LnhtbERPTWsCMRC9C/6HMII3zSpqdWsUKRY89KLtpbdhM+5u&#10;3UzCJt2s/74pCN7m8T5nu+9NIzpqfW1ZwWyagSAurK65VPD1+T5Zg/ABWWNjmRTcycN+NxxsMdc2&#10;8pm6SyhFCmGfo4IqBJdL6YuKDPqpdcSJu9rWYEiwLaVuMaZw08h5lq2kwZpTQ4WO3ioqbpdfo8At&#10;9Y++H6N7Md968YFFFylelRqP+sMriEB9eIof7pNO8zcL+H8mXSB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ziWHBAAAA3AAAAA8AAAAAAAAAAAAAAAAAmAIAAGRycy9kb3du&#10;cmV2LnhtbFBLBQYAAAAABAAEAPUAAACGAwAAAAA=&#10;" fillcolor="#00b398 [3208]" stroked="f" strokeweight="2pt">
                  <v:textbox inset="1mm,1mm,1mm,1mm">
                    <w:txbxContent>
                      <w:p w14:paraId="5F461F08" w14:textId="77777777" w:rsidR="00947F90" w:rsidRDefault="00947F90" w:rsidP="00947F90">
                        <w:pPr>
                          <w:pStyle w:val="NormalWeb"/>
                          <w:spacing w:before="0" w:beforeAutospacing="0" w:after="0" w:afterAutospacing="0"/>
                          <w:jc w:val="center"/>
                        </w:pPr>
                        <w:r>
                          <w:rPr>
                            <w:rFonts w:asciiTheme="minorHAnsi" w:hAnsi="Arial" w:cstheme="minorBidi"/>
                            <w:color w:val="FFFFFF" w:themeColor="light1"/>
                            <w:kern w:val="24"/>
                            <w:sz w:val="16"/>
                            <w:szCs w:val="16"/>
                          </w:rPr>
                          <w:t>Operations Environmental Management Plan (OEMP)*</w:t>
                        </w:r>
                      </w:p>
                    </w:txbxContent>
                  </v:textbox>
                </v:rect>
                <v:rect id="Rectangle 195" o:spid="_x0000_s1047" style="position:absolute;left:18117;top:32223;width:11880;height:178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QngcMA&#10;AADcAAAADwAAAGRycy9kb3ducmV2LnhtbERPTWsCMRC9F/wPYYTeamKpoqtRpFCq1Eu1hfY2bsbd&#10;1c1kSaKu/74RhN7m8T5nOm9tLc7kQ+VYQ7+nQBDnzlRcaPjavj2NQISIbLB2TBquFGA+6zxMMTPu&#10;wp903sRCpBAOGWooY2wyKUNeksXQcw1x4vbOW4wJ+kIaj5cUbmv5rNRQWqw4NZTY0GtJ+XFzshpe&#10;ftYVvl9/veqPP+qlioPD926l9WO3XUxARGrjv/juXpo0fzyA2zPpAj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QngcMAAADcAAAADwAAAAAAAAAAAAAAAACYAgAAZHJzL2Rv&#10;d25yZXYueG1sUEsFBgAAAAAEAAQA9QAAAIgDAAAAAA==&#10;" filled="f" strokecolor="#00b398 [3208]" strokeweight=".5pt">
                  <v:textbox inset="1mm,1mm,1mm,1mm">
                    <w:txbxContent>
                      <w:p w14:paraId="20216075" w14:textId="77777777" w:rsidR="00947F90" w:rsidRDefault="00947F90" w:rsidP="00947F90">
                        <w:pPr>
                          <w:rPr>
                            <w:rFonts w:eastAsia="Times New Roman"/>
                          </w:rPr>
                        </w:pPr>
                      </w:p>
                    </w:txbxContent>
                  </v:textbox>
                </v:rect>
                <v:rect id="Rectangle 196" o:spid="_x0000_s1048" style="position:absolute;left:19197;top:42125;width:10080;height:6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2yjcEA&#10;AADcAAAADwAAAGRycy9kb3ducmV2LnhtbERPS2sCMRC+F/ofwhS81WxLa3XdKEUqePBS68XbsJl9&#10;2M0kbOJm/femIPQ2H99zivVoOjFQ71vLCl6mGQji0uqWawXHn+3zHIQPyBo7y6TgSh7Wq8eHAnNt&#10;I3/TcAi1SCHsc1TQhOByKX3ZkEE/tY44cZXtDYYE+1rqHmMKN518zbKZNNhyamjQ0aah8vdwMQrc&#10;uz7r61d0H+ak3/ZYDpFipdTkafxcggg0hn/x3b3Taf5iBn/PpAvk6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tso3BAAAA3AAAAA8AAAAAAAAAAAAAAAAAmAIAAGRycy9kb3du&#10;cmV2LnhtbFBLBQYAAAAABAAEAPUAAACGAwAAAAA=&#10;" fillcolor="#00b398 [3208]" stroked="f" strokeweight="2pt">
                  <v:textbox inset="1mm,1mm,1mm,1mm">
                    <w:txbxContent>
                      <w:p w14:paraId="3B7E2738" w14:textId="77777777" w:rsidR="00947F90" w:rsidRDefault="00947F90" w:rsidP="00947F90">
                        <w:pPr>
                          <w:pStyle w:val="NormalWeb"/>
                          <w:spacing w:before="0" w:beforeAutospacing="0" w:after="0" w:afterAutospacing="0"/>
                          <w:jc w:val="center"/>
                        </w:pPr>
                        <w:r>
                          <w:rPr>
                            <w:rFonts w:asciiTheme="minorHAnsi" w:hAnsi="Arial" w:cstheme="minorBidi"/>
                            <w:color w:val="FFFFFF" w:themeColor="light1"/>
                            <w:kern w:val="24"/>
                            <w:sz w:val="16"/>
                            <w:szCs w:val="16"/>
                          </w:rPr>
                          <w:t>Compliance monitoring*</w:t>
                        </w:r>
                      </w:p>
                    </w:txbxContent>
                  </v:textbox>
                </v:rect>
                <v:rect id="Rectangle 197" o:spid="_x0000_s1049" style="position:absolute;left:19850;top:30963;width:8493;height:2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QzlsIA&#10;AADcAAAADwAAAGRycy9kb3ducmV2LnhtbERPS4vCMBC+C/6HMMLeNFVwdatRVJCV3nxc9jY2Y1Ns&#10;JqWJtv77zcKCt/n4nrNcd7YST2p86VjBeJSAIM6dLrlQcDnvh3MQPiBrrByTghd5WK/6vSWm2rV8&#10;pOcpFCKGsE9RgQmhTqX0uSGLfuRq4sjdXGMxRNgUUjfYxnBbyUmSfEqLJccGgzXtDOX308MquN67&#10;2Xd53baPQ2bMz/SV7SabTKmPQbdZgAjUhbf4333Qcf7XDP6eiRf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VDOWwgAAANwAAAAPAAAAAAAAAAAAAAAAAJgCAABkcnMvZG93&#10;bnJldi54bWxQSwUGAAAAAAQABAD1AAAAhwMAAAAA&#10;" fillcolor="white [3212]" stroked="f" strokeweight="1pt">
                  <v:textbox inset="1mm,1mm,1mm,1mm">
                    <w:txbxContent>
                      <w:p w14:paraId="71B36A74" w14:textId="77777777" w:rsidR="00947F90" w:rsidRDefault="00947F90" w:rsidP="00947F90">
                        <w:pPr>
                          <w:pStyle w:val="NormalWeb"/>
                          <w:spacing w:before="0" w:beforeAutospacing="0" w:after="0" w:afterAutospacing="0"/>
                          <w:jc w:val="center"/>
                        </w:pPr>
                        <w:r>
                          <w:rPr>
                            <w:rFonts w:ascii="Arial" w:hAnsi="Arial" w:cs="Arial"/>
                            <w:b/>
                            <w:bCs/>
                            <w:color w:val="00B398" w:themeColor="accent5"/>
                            <w:kern w:val="24"/>
                            <w:sz w:val="16"/>
                            <w:szCs w:val="16"/>
                          </w:rPr>
                          <w:t>Operator</w:t>
                        </w:r>
                      </w:p>
                    </w:txbxContent>
                  </v:textbox>
                </v:rect>
                <v:shape id="Straight Arrow Connector 198" o:spid="_x0000_s1050" type="#_x0000_t32" style="position:absolute;left:9950;top:23762;width:0;height:70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kVE8UAAADcAAAADwAAAGRycy9kb3ducmV2LnhtbESPT0/DMAzF70j7DpGRuLEUDmPrlk1o&#10;EuKPuLDB3UrctKNxuibrCp8eH5B2s/We3/t5tRlDqwbqUxPZwN20AEVso2vYG/jcP93OQaWM7LCN&#10;TAZ+KMFmPblaYenimT9o2GWvJIRTiQbqnLtS62RrCpimsSMWrYp9wCxr77Xr8SzhodX3RTHTARuW&#10;hho72tZkv3enYGD+5qvZ9ut4Sg+VtsPz7/vBv1pjbq7HxyWoTGO+mP+vX5zgL4RWnpEJ9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QkVE8UAAADcAAAADwAAAAAAAAAA&#10;AAAAAAChAgAAZHJzL2Rvd25yZXYueG1sUEsFBgAAAAAEAAQA+QAAAJMDAAAAAA==&#10;" strokecolor="#796e65 [3207]" strokeweight=".5pt">
                  <v:stroke endarrow="block"/>
                </v:shape>
                <v:rect id="Rectangle 199" o:spid="_x0000_s1051" style="position:absolute;left:4796;top:25727;width:10163;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cCf8EA&#10;AADcAAAADwAAAGRycy9kb3ducmV2LnhtbERPTYvCMBC9L/gfwgje1lTBXa1GUUGU3la9eBubsSk2&#10;k9JEW/+9WVjY2zze5yxWna3EkxpfOlYwGiYgiHOnSy4UnE+7zykIH5A1Vo5JwYs8rJa9jwWm2rX8&#10;Q89jKEQMYZ+iAhNCnUrpc0MW/dDVxJG7ucZiiLAppG6wjeG2kuMk+ZIWS44NBmvaGsrvx4dVcL13&#10;3/vyumkfh8yYy+SVbcfrTKlBv1vPQQTqwr/4z33Qcf5sBr/PxAvk8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HAn/BAAAA3AAAAA8AAAAAAAAAAAAAAAAAmAIAAGRycy9kb3du&#10;cmV2LnhtbFBLBQYAAAAABAAEAPUAAACGAwAAAAA=&#10;" fillcolor="white [3212]" stroked="f" strokeweight="1pt">
                  <v:textbox inset="1mm,1mm,1mm,1mm">
                    <w:txbxContent>
                      <w:p w14:paraId="0B07DF8D" w14:textId="77777777" w:rsidR="00947F90" w:rsidRDefault="00947F90" w:rsidP="00947F90">
                        <w:pPr>
                          <w:pStyle w:val="NormalWeb"/>
                          <w:spacing w:before="0" w:beforeAutospacing="0" w:after="0" w:afterAutospacing="0"/>
                          <w:jc w:val="center"/>
                        </w:pPr>
                        <w:r>
                          <w:rPr>
                            <w:rFonts w:ascii="Arial" w:hAnsi="Arial" w:cs="Arial"/>
                            <w:color w:val="000000" w:themeColor="text1"/>
                            <w:kern w:val="24"/>
                            <w:sz w:val="16"/>
                            <w:szCs w:val="16"/>
                          </w:rPr>
                          <w:t>Project contract(s)</w:t>
                        </w:r>
                      </w:p>
                    </w:txbxContent>
                  </v:textbox>
                </v:rect>
                <v:line id="Straight Connector 200" o:spid="_x0000_s1052" style="position:absolute;visibility:visible;mso-wrap-style:square" from="36666,26282" to="36666,28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lL0MAAAADcAAAADwAAAGRycy9kb3ducmV2LnhtbESPT4vCMBTE7wt+h/AEb2vqClKqqYjg&#10;6m2x6v3RPPvH5qU0sdZvbxYEj8PM/IZZrQfTiJ46V1lWMJtGIIhzqysuFJxPu+8YhPPIGhvLpOBJ&#10;Dtbp6GuFibYPPlKf+UIECLsEFZTet4mULi/JoJvaljh4V9sZ9EF2hdQdPgLcNPInihbSYMVhocSW&#10;tiXlt+xuFFz2x7o/t7983/7FWRUz+7yeKzUZD5slCE+D/4Tf7YNWEIjwfyYcAZm+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QZS9DAAAAA3AAAAA8AAAAAAAAAAAAAAAAA&#10;oQIAAGRycy9kb3ducmV2LnhtbFBLBQYAAAAABAAEAPkAAACOAwAAAAA=&#10;" strokecolor="#796e65 [3207]" strokeweight=".5pt">
                  <v:stroke dashstyle="dash"/>
                </v:line>
                <v:line id="Straight Connector 201" o:spid="_x0000_s1053" style="position:absolute;visibility:visible;mso-wrap-style:square" from="36666,32763" to="36666,34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XuS8IAAADcAAAADwAAAGRycy9kb3ducmV2LnhtbESPS2vDMBCE74X8B7GB3mo5KRTjWg4l&#10;kMetxEnui7X1o9bKWPKj/74qFHIcZuYbJtstphMTDa6xrGATxSCIS6sbrhTcroeXBITzyBo7y6Tg&#10;hxzs8tVThqm2M19oKnwlAoRdigpq7/tUSlfWZNBFticO3pcdDPogh0rqAecAN53cxvGbNNhwWKix&#10;p31N5XcxGgX306Wdbv2Rx/1nUjQJsy/bV6We18vHOwhPi3+E/9tnrWAbb+DvTDgCMv8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1XuS8IAAADcAAAADwAAAAAAAAAAAAAA&#10;AAChAgAAZHJzL2Rvd25yZXYueG1sUEsFBgAAAAAEAAQA+QAAAJADAAAAAA==&#10;" strokecolor="#796e65 [3207]" strokeweight=".5pt">
                  <v:stroke dashstyle="dash"/>
                </v:line>
                <v:rect id="Rectangle 202" o:spid="_x0000_s1054" style="position:absolute;left:31266;width:10800;height:607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wylcQA&#10;AADcAAAADwAAAGRycy9kb3ducmV2LnhtbESPzW7CMBCE75X6DtZW4lacRvwpxKCKqhLlFuABlnhJ&#10;0trrNHZJ+vYYCYnjaGa+0eTrwRpxoc43jhW8jRMQxKXTDVcKjofP1wUIH5A1Gsek4J88rFfPTzlm&#10;2vVc0GUfKhEh7DNUUIfQZlL6siaLfuxa4uidXWcxRNlVUnfYR7g1Mk2SmbTYcFyosaVNTeXP/s8q&#10;MJtZYXb4PdkWyKfF1+90Pv+YKjV6Gd6XIAIN4RG+t7daQZqkcDsTj4B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MMpXEAAAA3AAAAA8AAAAAAAAAAAAAAAAAmAIAAGRycy9k&#10;b3ducmV2LnhtbFBLBQYAAAAABAAEAPUAAACJAwAAAAA=&#10;" fillcolor="#dbd7d4" strokecolor="#dbd7d4" strokeweight="1pt">
                  <v:textbox inset="1mm,1mm,1mm,1mm">
                    <w:txbxContent>
                      <w:p w14:paraId="4817DDFE" w14:textId="77777777" w:rsidR="00947F90" w:rsidRDefault="00947F90" w:rsidP="00947F90">
                        <w:pPr>
                          <w:rPr>
                            <w:rFonts w:eastAsia="Times New Roman"/>
                          </w:rPr>
                        </w:pPr>
                      </w:p>
                    </w:txbxContent>
                  </v:textbox>
                </v:rect>
                <v:rect id="Rectangle 203" o:spid="_x0000_s1055" style="position:absolute;left:31266;width:1080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bMIA&#10;AADcAAAADwAAAGRycy9kb3ducmV2LnhtbESPS6vCMBSE94L/IRzBnaZWEKlGEUF0Jz42d3duc/rA&#10;5qQ2sa3/3ggX7nKYmW+Y9bY3lWipcaVlBbNpBII4tbrkXMH9dpgsQTiPrLGyTAre5GC7GQ7WmGjb&#10;8YXaq89FgLBLUEHhfZ1I6dKCDLqprYmDl9nGoA+yyaVusAtwU8k4ihbSYMlhocCa9gWlj+vLKODu&#10;/Kvv7Tl7ZK/D8ye/HMsunis1HvW7FQhPvf8P/7VPWkEczeF7JhwBuf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4nNswgAAANwAAAAPAAAAAAAAAAAAAAAAAJgCAABkcnMvZG93&#10;bnJldi54bWxQSwUGAAAAAAQABAD1AAAAhwMAAAAA&#10;" fillcolor="white [3212]" strokecolor="#dbd7d4" strokeweight="1pt">
                  <v:textbox inset="1mm,1mm,1mm,1mm">
                    <w:txbxContent>
                      <w:p w14:paraId="56AC34D6" w14:textId="77777777" w:rsidR="00947F90" w:rsidRDefault="00947F90" w:rsidP="00947F90">
                        <w:pPr>
                          <w:pStyle w:val="NormalWeb"/>
                          <w:spacing w:before="0" w:beforeAutospacing="0" w:after="0" w:afterAutospacing="0"/>
                          <w:jc w:val="center"/>
                        </w:pPr>
                        <w:r>
                          <w:rPr>
                            <w:rFonts w:ascii="Arial" w:hAnsi="Arial" w:cs="Arial"/>
                            <w:b/>
                            <w:bCs/>
                            <w:color w:val="796E65" w:themeColor="accent4"/>
                            <w:kern w:val="24"/>
                            <w:sz w:val="16"/>
                            <w:szCs w:val="16"/>
                          </w:rPr>
                          <w:t>Continuous improvement</w:t>
                        </w:r>
                      </w:p>
                    </w:txbxContent>
                  </v:textbox>
                </v:rect>
                <v:shapetype id="_x0000_t33" coordsize="21600,21600" o:spt="33" o:oned="t" path="m,l21600,r,21600e" filled="f">
                  <v:stroke joinstyle="miter"/>
                  <v:path arrowok="t" fillok="f" o:connecttype="none"/>
                  <o:lock v:ext="edit" shapetype="t"/>
                </v:shapetype>
                <v:shape id="Elbow Connector 204" o:spid="_x0000_s1056" type="#_x0000_t33" style="position:absolute;left:30537;top:11184;width:6129;height:4239;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ZvVcYAAADcAAAADwAAAGRycy9kb3ducmV2LnhtbESPQWvCQBSE74X+h+UJvTUbRUTSrBKE&#10;0mLNobZQvT2yzyQk+zbsrhr/fbdQ8DjMzDdMvh5NLy7kfGtZwTRJQRBXVrdcK/j+en1egvABWWNv&#10;mRTcyMN69fiQY6btlT/psg+1iBD2GSpoQhgyKX3VkEGf2IE4eifrDIYoXS21w2uEm17O0nQhDbYc&#10;FxocaNNQ1e3PRkFZ+MP4sXRHN9/+dGV58ru3406pp8lYvIAINIZ7+L/9rhXM0jn8nYlH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Wb1XGAAAA3AAAAA8AAAAAAAAA&#10;AAAAAAAAoQIAAGRycy9kb3ducmV2LnhtbFBLBQYAAAAABAAEAPkAAACUAwAAAAA=&#10;" strokecolor="#796e65 [3207]" strokeweight=".5pt">
                  <v:stroke dashstyle="dash"/>
                </v:shape>
                <v:shape id="Elbow Connector 205" o:spid="_x0000_s1057" type="#_x0000_t33" style="position:absolute;left:32242;top:3136;width:2719;height:6129;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DVcMAAADcAAAADwAAAGRycy9kb3ducmV2LnhtbESPQYvCMBSE74L/ITzBm6YWlVKNIoLg&#10;RdC6B/f2aJ5tsXmpTbTdf78RFvY4zMw3zHrbm1q8qXWVZQWzaQSCOLe64kLB1/UwSUA4j6yxtkwK&#10;fsjBdjMcrDHVtuMLvTNfiABhl6KC0vsmldLlJRl0U9sQB+9uW4M+yLaQusUuwE0t4yhaSoMVh4US&#10;G9qXlD+yl1Fwk9+nm+ySajHnZ+xOWXI+60Sp8ajfrUB46v1/+K991AriaAGfM+EI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Pw1XDAAAA3AAAAA8AAAAAAAAAAAAA&#10;AAAAoQIAAGRycy9kb3ducmV2LnhtbFBLBQYAAAAABAAEAPkAAACRAwAAAAA=&#10;" strokecolor="#796e65 [3207]" strokeweight=".5pt">
                  <v:stroke dashstyle="dash" endarrow="block"/>
                </v:shape>
                <v:shape id="Elbow Connector 206" o:spid="_x0000_s1058" type="#_x0000_t33" style="position:absolute;left:31195;top:16131;width:4813;height:6129;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1dIsMAAADcAAAADwAAAGRycy9kb3ducmV2LnhtbESPQYvCMBSE7wv+h/AEb2tqcaVUo4gg&#10;eBHc6qHeHs2zLTYvtYm2++83Cwseh5n5hlltBtOIF3WutqxgNo1AEBdW11wquJz3nwkI55E1NpZJ&#10;wQ852KxHHytMte35m16ZL0WAsEtRQeV9m0rpiooMuqltiYN3s51BH2RXSt1hH+CmkXEULaTBmsNC&#10;hS3tKiru2dMoyOX1mMs+qb/m/IjdMUtOJ50oNRkP2yUIT4N/h//bB60gjhbwdyYcAb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dXSLDAAAA3AAAAA8AAAAAAAAAAAAA&#10;AAAAoQIAAGRycy9kb3ducmV2LnhtbFBLBQYAAAAABAAEAPkAAACRAwAAAAA=&#10;" strokecolor="#796e65 [3207]" strokeweight=".5pt">
                  <v:stroke dashstyle="dash" endarrow="block"/>
                </v:shape>
                <v:shape id="Elbow Connector 207" o:spid="_x0000_s1059" type="#_x0000_t33" style="position:absolute;left:29997;top:22058;width:6669;height:19091;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TxIsYAAADcAAAADwAAAGRycy9kb3ducmV2LnhtbESPT2sCMRTE7wW/Q3hCbzWrlFa2G0UE&#10;sbTuwbXQents3v7BzcuSpLr99kYoeBxm5jdMthxMJ87kfGtZwXSSgCAurW65VvB12DzNQfiArLGz&#10;TAr+yMNyMXrIMNX2wns6F6EWEcI+RQVNCH0qpS8bMugntieOXmWdwRClq6V2eIlw08lZkrxIgy3H&#10;hQZ7WjdUnopfoyBf+Z/hc+6O7vnj+5Tnld9tjzulHsfD6g1EoCHcw//td61glrzC7Uw8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E8SLGAAAA3AAAAA8AAAAAAAAA&#10;AAAAAAAAoQIAAGRycy9kb3ducmV2LnhtbFBLBQYAAAAABAAEAPkAAACUAwAAAAA=&#10;" strokecolor="#796e65 [3207]" strokeweight=".5pt">
                  <v:stroke dashstyle="dash"/>
                </v:shape>
                <v:shape id="Elbow Connector 208" o:spid="_x0000_s1060" type="#_x0000_t33" style="position:absolute;left:14155;top:41044;width:22511;height:1536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krtcEAAADcAAAADwAAAGRycy9kb3ducmV2LnhtbERPTYvCMBC9C/sfwizsTdMti7jVWGRF&#10;FD2IXQ8eh2ZsS5tJbaLWf28OgsfH+56lvWnEjTpXWVbwPYpAEOdWV1woOP6vhhMQziNrbCyTggc5&#10;SOcfgxkm2t75QLfMFyKEsEtQQel9m0jp8pIMupFtiQN3tp1BH2BXSN3hPYSbRsZRNJYGKw4NJbb0&#10;V1JeZ1ejYPdTX7e0t+vcLicnffH171Yelfr67BdTEJ56/xa/3ButII7C2nAmHAE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ySu1wQAAANwAAAAPAAAAAAAAAAAAAAAA&#10;AKECAABkcnMvZG93bnJldi54bWxQSwUGAAAAAAQABAD5AAAAjwMAAAAA&#10;" strokecolor="#796e65 [3207]" strokeweight=".5pt">
                  <v:stroke dashstyle="dash" endarrow="block"/>
                </v:shape>
                <v:rect id="Rectangle 209" o:spid="_x0000_s1061" style="position:absolute;left:-2467;top:2467;width:7569;height:263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vyvMYA&#10;AADcAAAADwAAAGRycy9kb3ducmV2LnhtbESPQWvCQBCF70L/wzKF3nSjh9KkbkKwlRYKglYo3sbs&#10;mA1mZ2N21fTfdwWhx8eb971582KwrbhQ7xvHCqaTBARx5XTDtYLt93L8AsIHZI2tY1LwSx6K/GE0&#10;x0y7K6/psgm1iBD2GSowIXSZlL4yZNFPXEccvYPrLYYo+1rqHq8Rbls5S5JnabHh2GCwo4Wh6rg5&#10;2/jGz96uPrbp9Ot8SstduTft+5tR6ulxKF9BBBrC//E9/akVzJIUbmMiAWT+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vyvMYAAADcAAAADwAAAAAAAAAAAAAAAACYAgAAZHJz&#10;L2Rvd25yZXYueG1sUEsFBgAAAAAEAAQA9QAAAIsDAAAAAA==&#10;" fillcolor="white [3212]" strokecolor="#008a9e [2415]" strokeweight=".5pt">
                  <v:textbox inset="1mm,1mm,1mm,1mm">
                    <w:txbxContent>
                      <w:p w14:paraId="2773CE3C" w14:textId="77777777" w:rsidR="00947F90" w:rsidRDefault="00947F90" w:rsidP="00947F90">
                        <w:pPr>
                          <w:pStyle w:val="NormalWeb"/>
                          <w:spacing w:before="0" w:beforeAutospacing="0" w:after="0" w:afterAutospacing="0"/>
                          <w:jc w:val="center"/>
                        </w:pPr>
                        <w:r>
                          <w:rPr>
                            <w:rFonts w:ascii="Arial" w:hAnsi="Arial" w:cs="Arial"/>
                            <w:color w:val="008A9E" w:themeColor="text2" w:themeShade="BF"/>
                            <w:kern w:val="24"/>
                            <w:sz w:val="16"/>
                            <w:szCs w:val="16"/>
                          </w:rPr>
                          <w:t>Regulator</w:t>
                        </w:r>
                      </w:p>
                    </w:txbxContent>
                  </v:textbox>
                </v:rect>
                <v:shape id="Straight Arrow Connector 210" o:spid="_x0000_s1062" type="#_x0000_t32" style="position:absolute;left:24335;top:23762;width:0;height:70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l7M8IAAADcAAAADwAAAGRycy9kb3ducmV2LnhtbERPyW7CMBC9V+IfrKnErThwoCjFoAoJ&#10;sagXlt5H9sQJxOMQm5D26/GhUo9Pb58ve1eLjtpQeVYwHmUgiLU3FVsF59P6bQYiRGSDtWdS8EMB&#10;lovByxxz4x98oO4YrUghHHJUUMbY5FIGXZLDMPINceIK3zqMCbZWmhYfKdzVcpJlU+mw4tRQYkOr&#10;kvT1eHcKZntbTFfft3t4L6TuNr9fF7vTSg1f+88PEJH6+C/+c2+Ngsk4zU9n0hGQi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Yl7M8IAAADcAAAADwAAAAAAAAAAAAAA&#10;AAChAgAAZHJzL2Rvd25yZXYueG1sUEsFBgAAAAAEAAQA+QAAAJADAAAAAA==&#10;" strokecolor="#796e65 [3207]" strokeweight=".5pt">
                  <v:stroke endarrow="block"/>
                </v:shape>
                <v:rect id="Rectangle 211" o:spid="_x0000_s1063" style="position:absolute;left:19197;top:25727;width:10164;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dsX8QA&#10;AADcAAAADwAAAGRycy9kb3ducmV2LnhtbESPT4vCMBTE78J+h/AW9qZpC7sr1SgqyEpv/rl4ezbP&#10;pti8lCba+u03C8Ieh5n5DTNfDrYRD+p87VhBOklAEJdO11wpOB234ykIH5A1No5JwZM8LBdvoznm&#10;2vW8p8chVCJC2OeowITQ5lL60pBFP3EtcfSurrMYouwqqTvsI9w2MkuSL2mx5rhgsKWNofJ2uFsF&#10;l9vw/VNf1v19Vxhz/nwWm2xVKPXxPqxmIAIN4T/8au+0gixN4e9MP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HbF/EAAAA3AAAAA8AAAAAAAAAAAAAAAAAmAIAAGRycy9k&#10;b3ducmV2LnhtbFBLBQYAAAAABAAEAPUAAACJAwAAAAA=&#10;" fillcolor="white [3212]" stroked="f" strokeweight="1pt">
                  <v:textbox inset="1mm,1mm,1mm,1mm">
                    <w:txbxContent>
                      <w:p w14:paraId="20BB9B21" w14:textId="77777777" w:rsidR="00947F90" w:rsidRDefault="00947F90" w:rsidP="00947F90">
                        <w:pPr>
                          <w:pStyle w:val="NormalWeb"/>
                          <w:spacing w:before="0" w:beforeAutospacing="0" w:after="0" w:afterAutospacing="0"/>
                          <w:jc w:val="center"/>
                        </w:pPr>
                        <w:r>
                          <w:rPr>
                            <w:rFonts w:ascii="Arial" w:hAnsi="Arial" w:cs="Arial"/>
                            <w:color w:val="000000" w:themeColor="text1"/>
                            <w:kern w:val="24"/>
                            <w:sz w:val="16"/>
                            <w:szCs w:val="16"/>
                          </w:rPr>
                          <w:t>Project contract</w:t>
                        </w:r>
                      </w:p>
                    </w:txbxContent>
                  </v:textbox>
                </v:rect>
                <v:rect id="Rectangle 212" o:spid="_x0000_s1064" style="position:absolute;left:32346;top:6504;width:8640;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XyKMMA&#10;AADcAAAADwAAAGRycy9kb3ducmV2LnhtbESPQYvCMBSE7wv+h/CEva2pBV2pRlFBlN509+Lt2Tyb&#10;YvNSmmjrv98Iwh6HmfmGWax6W4sHtb5yrGA8SkAQF05XXCr4/dl9zUD4gKyxdkwKnuRhtRx8LDDT&#10;ruMjPU6hFBHCPkMFJoQmk9IXhiz6kWuIo3d1rcUQZVtK3WIX4baWaZJMpcWK44LBhraGitvpbhVc&#10;bv33vrpsuvshN+Y8eebbdJ0r9Tns13MQgfrwH363D1pBOk7hdSYe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XyKMMAAADcAAAADwAAAAAAAAAAAAAAAACYAgAAZHJzL2Rv&#10;d25yZXYueG1sUEsFBgAAAAAEAAQA9QAAAIgDAAAAAA==&#10;" fillcolor="white [3212]" stroked="f" strokeweight="1pt">
                  <v:textbox inset="1mm,1mm,1mm,1mm">
                    <w:txbxContent>
                      <w:p w14:paraId="583B17D4" w14:textId="77777777" w:rsidR="00947F90" w:rsidRDefault="00947F90" w:rsidP="00947F90">
                        <w:pPr>
                          <w:pStyle w:val="NormalWeb"/>
                          <w:spacing w:before="0" w:beforeAutospacing="0" w:after="0" w:afterAutospacing="0"/>
                          <w:jc w:val="center"/>
                        </w:pPr>
                        <w:r>
                          <w:rPr>
                            <w:rFonts w:ascii="Arial" w:hAnsi="Arial" w:cs="Arial"/>
                            <w:color w:val="796E65" w:themeColor="accent4"/>
                            <w:kern w:val="24"/>
                            <w:sz w:val="16"/>
                            <w:szCs w:val="16"/>
                          </w:rPr>
                          <w:t>Reporting</w:t>
                        </w:r>
                      </w:p>
                    </w:txbxContent>
                  </v:textbox>
                </v:rect>
                <v:rect id="Rectangle 213" o:spid="_x0000_s1065" style="position:absolute;left:32346;top:21602;width:8640;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lXs8QA&#10;AADcAAAADwAAAGRycy9kb3ducmV2LnhtbESPQWvCQBSE7wX/w/IEb3VjpFVSV1FBKrlVvXh7Zl+z&#10;wezbkF1N/PfdguBxmJlvmMWqt7W4U+srxwom4wQEceF0xaWC03H3PgfhA7LG2jEpeJCH1XLwtsBM&#10;u45/6H4IpYgQ9hkqMCE0mZS+MGTRj11DHL1f11oMUbal1C12EW5rmSbJp7RYcVww2NDWUHE93KyC&#10;y7WffVeXTXfb58acPx75Nl3nSo2G/foLRKA+vMLP9l4rSCdT+D8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ZV7PEAAAA3AAAAA8AAAAAAAAAAAAAAAAAmAIAAGRycy9k&#10;b3ducmV2LnhtbFBLBQYAAAAABAAEAPUAAACJAwAAAAA=&#10;" fillcolor="white [3212]" stroked="f" strokeweight="1pt">
                  <v:textbox inset="1mm,1mm,1mm,1mm">
                    <w:txbxContent>
                      <w:p w14:paraId="6E0E0DDC" w14:textId="77777777" w:rsidR="00947F90" w:rsidRDefault="00947F90" w:rsidP="00947F90">
                        <w:pPr>
                          <w:pStyle w:val="NormalWeb"/>
                          <w:spacing w:before="0" w:beforeAutospacing="0" w:after="0" w:afterAutospacing="0"/>
                          <w:jc w:val="center"/>
                        </w:pPr>
                        <w:r>
                          <w:rPr>
                            <w:rFonts w:ascii="Arial" w:hAnsi="Arial" w:cs="Arial"/>
                            <w:color w:val="796E65" w:themeColor="accent4"/>
                            <w:kern w:val="24"/>
                            <w:sz w:val="16"/>
                            <w:szCs w:val="16"/>
                          </w:rPr>
                          <w:t>Reporting</w:t>
                        </w:r>
                      </w:p>
                    </w:txbxContent>
                  </v:textbox>
                </v:rect>
                <v:rect id="Rectangle 214" o:spid="_x0000_s1066" style="position:absolute;left:32346;top:28083;width:8640;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DPx8QA&#10;AADcAAAADwAAAGRycy9kb3ducmV2LnhtbESPQWvCQBSE7wX/w/IEb3VjsFVSV1FBKrlVvXh7Zl+z&#10;wezbkF1N/PfdguBxmJlvmMWqt7W4U+srxwom4wQEceF0xaWC03H3PgfhA7LG2jEpeJCH1XLwtsBM&#10;u45/6H4IpYgQ9hkqMCE0mZS+MGTRj11DHL1f11oMUbal1C12EW5rmSbJp7RYcVww2NDWUHE93KyC&#10;y7WffVeXTXfb58acPx75Nl3nSo2G/foLRKA+vMLP9l4rSCdT+D8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wz8fEAAAA3AAAAA8AAAAAAAAAAAAAAAAAmAIAAGRycy9k&#10;b3ducmV2LnhtbFBLBQYAAAAABAAEAPUAAACJAwAAAAA=&#10;" fillcolor="white [3212]" stroked="f" strokeweight="1pt">
                  <v:textbox inset="1mm,1mm,1mm,1mm">
                    <w:txbxContent>
                      <w:p w14:paraId="2C3695B4" w14:textId="77777777" w:rsidR="00947F90" w:rsidRDefault="00947F90" w:rsidP="00947F90">
                        <w:pPr>
                          <w:pStyle w:val="NormalWeb"/>
                          <w:spacing w:before="0" w:beforeAutospacing="0" w:after="0" w:afterAutospacing="0"/>
                          <w:jc w:val="center"/>
                        </w:pPr>
                        <w:r>
                          <w:rPr>
                            <w:rFonts w:ascii="Arial" w:hAnsi="Arial" w:cs="Arial"/>
                            <w:color w:val="796E65" w:themeColor="accent4"/>
                            <w:kern w:val="24"/>
                            <w:sz w:val="16"/>
                            <w:szCs w:val="16"/>
                          </w:rPr>
                          <w:t>Independent Environmental Auditor</w:t>
                        </w:r>
                      </w:p>
                    </w:txbxContent>
                  </v:textbox>
                </v:rect>
                <v:rect id="Rectangle 215" o:spid="_x0000_s1067" style="position:absolute;left:32346;top:34563;width:8640;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xqXMQA&#10;AADcAAAADwAAAGRycy9kb3ducmV2LnhtbESPT4vCMBTE74LfIbwFb5pa8A9do6iwrPS26mVvz+Zt&#10;U2xeShNt/fZGWPA4zMxvmNWmt7W4U+srxwqmkwQEceF0xaWC8+lrvAThA7LG2jEpeJCHzXo4WGGm&#10;Xcc/dD+GUkQI+wwVmBCaTEpfGLLoJ64hjt6fay2GKNtS6ha7CLe1TJNkLi1WHBcMNrQ3VFyPN6vg&#10;cu0X39Vl190OuTG/s0e+T7e5UqOPfvsJIlAf3uH/9kErSKczeJ2JR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8alzEAAAA3AAAAA8AAAAAAAAAAAAAAAAAmAIAAGRycy9k&#10;b3ducmV2LnhtbFBLBQYAAAAABAAEAPUAAACJAwAAAAA=&#10;" fillcolor="white [3212]" stroked="f" strokeweight="1pt">
                  <v:textbox inset="1mm,1mm,1mm,1mm">
                    <w:txbxContent>
                      <w:p w14:paraId="4519D9B4" w14:textId="77777777" w:rsidR="00947F90" w:rsidRDefault="00947F90" w:rsidP="00947F90">
                        <w:pPr>
                          <w:pStyle w:val="NormalWeb"/>
                          <w:spacing w:before="0" w:beforeAutospacing="0" w:after="0" w:afterAutospacing="0"/>
                          <w:jc w:val="center"/>
                        </w:pPr>
                        <w:r>
                          <w:rPr>
                            <w:rFonts w:ascii="Arial" w:hAnsi="Arial" w:cs="Arial"/>
                            <w:color w:val="796E65" w:themeColor="accent4"/>
                            <w:kern w:val="24"/>
                            <w:sz w:val="16"/>
                            <w:szCs w:val="16"/>
                          </w:rPr>
                          <w:t>Independent Reviewer*</w:t>
                        </w:r>
                      </w:p>
                    </w:txbxContent>
                  </v:textbox>
                </v:rect>
                <v:rect id="Rectangle 216" o:spid="_x0000_s1068" style="position:absolute;left:31080;top:57606;width:10986;height:27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GYbcQA&#10;AADcAAAADwAAAGRycy9kb3ducmV2LnhtbESPS4sCMRCE74L/IbTgTTM+0GXWKCIuCOLBx8G99U7a&#10;mcFJZ0iyOv57Iwgei6r6ipotGlOJGzlfWlYw6CcgiDOrS84VnI4/vS8QPiBrrCyTggd5WMzbrRmm&#10;2t55T7dDyEWEsE9RQRFCnUrps4IM+r6tiaN3sc5giNLlUju8R7ip5DBJJtJgyXGhwJpWBWXXw79R&#10;0Pwm09O2Wsndcmz93+N8pZFbK9XtNMtvEIGa8Am/2xutYDiYwOtMP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xmG3EAAAA3AAAAA8AAAAAAAAAAAAAAAAAmAIAAGRycy9k&#10;b3ducmV2LnhtbFBLBQYAAAAABAAEAPUAAACJAwAAAAA=&#10;" filled="f" stroked="f" strokeweight="1pt">
                  <v:textbox inset="1mm,1mm,1mm,1mm">
                    <w:txbxContent>
                      <w:p w14:paraId="0BC1BAE4" w14:textId="77777777" w:rsidR="00947F90" w:rsidRDefault="00947F90" w:rsidP="00947F90">
                        <w:pPr>
                          <w:pStyle w:val="NormalWeb"/>
                          <w:spacing w:before="0" w:beforeAutospacing="0" w:after="0" w:afterAutospacing="0"/>
                          <w:jc w:val="center"/>
                        </w:pPr>
                        <w:r>
                          <w:rPr>
                            <w:rFonts w:ascii="Arial" w:hAnsi="Arial" w:cs="Arial"/>
                            <w:color w:val="796E65" w:themeColor="accent4"/>
                            <w:kern w:val="24"/>
                            <w:sz w:val="16"/>
                            <w:szCs w:val="16"/>
                          </w:rPr>
                          <w:t>* Applies to PPP only</w:t>
                        </w:r>
                      </w:p>
                    </w:txbxContent>
                  </v:textbox>
                </v:rect>
                <v:rect id="Rectangle 217" o:spid="_x0000_s1069" style="position:absolute;left:2275;top:32282;width:11880;height:28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G3w8QA&#10;AADcAAAADwAAAGRycy9kb3ducmV2LnhtbESPzW7CMBCE70h9B2srcQMnHApKMVFbFZUjBC69bePN&#10;jxKv09gk6dvXSEgcRzPzjWabTqYVA/WutqwgXkYgiHOray4VXM77xQaE88gaW8uk4I8cpLun2RYT&#10;bUc+0ZD5UgQIuwQVVN53iZQur8igW9qOOHiF7Q36IPtS6h7HADetXEXRizRYc1iosKOPivImuxoF&#10;758T/TbrMcvir+9xOJ6Ly48tlJo/T2+vIDxN/hG+tw9awSpew+1MOAJy9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ht8PEAAAA3AAAAA8AAAAAAAAAAAAAAAAAmAIAAGRycy9k&#10;b3ducmV2LnhtbFBLBQYAAAAABAAEAPUAAACJAwAAAAA=&#10;" filled="f" strokecolor="#c4d92e [3204]" strokeweight=".5pt">
                  <v:textbox inset="1mm,1mm,1mm,1mm">
                    <w:txbxContent>
                      <w:p w14:paraId="222B70E8" w14:textId="77777777" w:rsidR="00947F90" w:rsidRDefault="00947F90" w:rsidP="00947F90">
                        <w:pPr>
                          <w:rPr>
                            <w:rFonts w:eastAsia="Times New Roman"/>
                          </w:rPr>
                        </w:pPr>
                      </w:p>
                    </w:txbxContent>
                  </v:textbox>
                </v:rect>
                <v:rect id="Rectangle 218" o:spid="_x0000_s1070" style="position:absolute;top:32282;width:2520;height:28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aSHMEA&#10;AADcAAAADwAAAGRycy9kb3ducmV2LnhtbERPzYrCMBC+L+w7hFnwtqYVFalNZVcQFw9Cqw8wNGNb&#10;bCalibb69JuD4PHj+083o2nFnXrXWFYQTyMQxKXVDVcKzqfd9wqE88gaW8uk4EEONtnnR4qJtgPn&#10;dC98JUIIuwQV1N53iZSurMmgm9qOOHAX2xv0AfaV1D0OIdy0chZFS2mw4dBQY0fbmsprcTMKhlbq&#10;wzE//R7z/Tke4vllsXxKpSZf488ahKfRv8Uv959WMIvD2nAmHAG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GkhzBAAAA3AAAAA8AAAAAAAAAAAAAAAAAmAIAAGRycy9kb3du&#10;cmV2LnhtbFBLBQYAAAAABAAEAPUAAACGAwAAAAA=&#10;" fillcolor="white [3212]" strokecolor="#c4d92e [3204]" strokeweight=".5pt">
                  <v:textbox style="layout-flow:vertical;mso-layout-flow-alt:bottom-to-top" inset="1mm,1mm,1mm,1mm">
                    <w:txbxContent>
                      <w:p w14:paraId="779730F8" w14:textId="77777777" w:rsidR="00947F90" w:rsidRDefault="00947F90" w:rsidP="00947F90">
                        <w:pPr>
                          <w:pStyle w:val="NormalWeb"/>
                          <w:spacing w:before="0" w:beforeAutospacing="0" w:after="0" w:afterAutospacing="0"/>
                          <w:jc w:val="center"/>
                        </w:pPr>
                        <w:r>
                          <w:rPr>
                            <w:rFonts w:ascii="Arial" w:hAnsi="Arial" w:cs="Arial"/>
                            <w:b/>
                            <w:bCs/>
                            <w:color w:val="95A61E" w:themeColor="accent1" w:themeShade="BF"/>
                            <w:kern w:val="24"/>
                            <w:sz w:val="16"/>
                            <w:szCs w:val="16"/>
                          </w:rPr>
                          <w:t>Contractor EMS</w:t>
                        </w:r>
                      </w:p>
                    </w:txbxContent>
                  </v:textbox>
                </v:rect>
                <v:rect id="Rectangle 219" o:spid="_x0000_s1071" style="position:absolute;left:15597;top:32223;width:2520;height:178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VIu8QA&#10;AADcAAAADwAAAGRycy9kb3ducmV2LnhtbESPQYvCMBSE74L/ITxhb5rqyqK1UWRB9ODFVhBvj+bZ&#10;ljYv3SZq/fdmYWGPw8x8wySb3jTiQZ2rLCuYTiIQxLnVFRcKztluvADhPLLGxjIpeJGDzXo4SDDW&#10;9skneqS+EAHCLkYFpfdtLKXLSzLoJrYlDt7NdgZ9kF0hdYfPADeNnEXRlzRYcVgosaXvkvI6vRsF&#10;xzyjet5cs9NnpPeXn5SPl2Kv1Meo365AeOr9f/ivfdAKZtMl/J4JR0Cu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VSLvEAAAA3AAAAA8AAAAAAAAAAAAAAAAAmAIAAGRycy9k&#10;b3ducmV2LnhtbFBLBQYAAAAABAAEAPUAAACJAwAAAAA=&#10;" fillcolor="white [3212]" strokecolor="#00b398 [3208]" strokeweight=".5pt">
                  <v:textbox style="layout-flow:vertical;mso-layout-flow-alt:bottom-to-top" inset="1mm,1mm,1mm,1mm">
                    <w:txbxContent>
                      <w:p w14:paraId="7E3E9F3D" w14:textId="77777777" w:rsidR="00947F90" w:rsidRDefault="00947F90" w:rsidP="00947F90">
                        <w:pPr>
                          <w:pStyle w:val="NormalWeb"/>
                          <w:spacing w:before="0" w:beforeAutospacing="0" w:after="0" w:afterAutospacing="0"/>
                          <w:jc w:val="center"/>
                        </w:pPr>
                        <w:r>
                          <w:rPr>
                            <w:rFonts w:ascii="Arial" w:hAnsi="Arial" w:cs="Arial"/>
                            <w:b/>
                            <w:bCs/>
                            <w:color w:val="00B398" w:themeColor="accent5"/>
                            <w:kern w:val="24"/>
                            <w:sz w:val="16"/>
                            <w:szCs w:val="16"/>
                          </w:rPr>
                          <w:t>Operator EMS</w:t>
                        </w:r>
                      </w:p>
                    </w:txbxContent>
                  </v:textbox>
                </v:rect>
                <v:rect id="Rectangle 220" o:spid="_x0000_s1072" style="position:absolute;left:4345;top:30963;width:8104;height:27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cDecIA&#10;AADcAAAADwAAAGRycy9kb3ducmV2LnhtbERPu2rDMBTdA/0HcQvdYrmGPnCjGDdQarzVydLtxrq1&#10;TKwrYymx8/fVEMh4OO9NsdhBXGjyvWMFz0kKgrh1uudOwWH/tX4H4QOyxsExKbiSh2L7sNpgrt3M&#10;P3RpQidiCPscFZgQxlxK3xqy6BM3Ekfuz00WQ4RTJ/WEcwy3g8zS9FVa7Dk2GBxpZ6g9NWer4Hha&#10;3r774+d8rmpjfl+u9S4ra6WeHpfyA0SgJdzFN3elFWRZnB/PxCM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JwN5wgAAANwAAAAPAAAAAAAAAAAAAAAAAJgCAABkcnMvZG93&#10;bnJldi54bWxQSwUGAAAAAAQABAD1AAAAhwMAAAAA&#10;" fillcolor="white [3212]" stroked="f" strokeweight="1pt">
                  <v:textbox inset="1mm,1mm,1mm,1mm">
                    <w:txbxContent>
                      <w:p w14:paraId="436FDED2" w14:textId="77777777" w:rsidR="00947F90" w:rsidRDefault="00947F90" w:rsidP="00947F90">
                        <w:pPr>
                          <w:pStyle w:val="NormalWeb"/>
                          <w:spacing w:before="0" w:beforeAutospacing="0" w:after="0" w:afterAutospacing="0"/>
                          <w:jc w:val="center"/>
                        </w:pPr>
                        <w:r>
                          <w:rPr>
                            <w:rFonts w:ascii="Arial" w:hAnsi="Arial" w:cs="Arial"/>
                            <w:b/>
                            <w:bCs/>
                            <w:color w:val="95A61E" w:themeColor="accent1" w:themeShade="BF"/>
                            <w:kern w:val="24"/>
                            <w:sz w:val="16"/>
                            <w:szCs w:val="16"/>
                          </w:rPr>
                          <w:t>Contractor(s)</w:t>
                        </w:r>
                      </w:p>
                    </w:txbxContent>
                  </v:textbox>
                </v:rect>
                <v:rect id="Rectangle 221" o:spid="_x0000_s1073" style="position:absolute;left:-3409;top:15652;width:14138;height:227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bGqsQA&#10;AADcAAAADwAAAGRycy9kb3ducmV2LnhtbESPUWvCMBSF3wX/Q7jCXkQTK07tjFIHwsC9zPkDLsm1&#10;LWtuShNt9++XwWCPh3POdzi7w+Aa8aAu1J41LOYKBLHxtuZSw/XzNNuACBHZYuOZNHxTgMN+PNph&#10;bn3PH/S4xFIkCIccNVQxtrmUwVTkMMx9S5y8m+8cxiS7UtoO+wR3jcyUepYOa04LFbb0WpH5utyd&#10;hvdVsdyeT8aEtVmqtZoW23jstX6aDMULiEhD/A//td+shixbwO+Zd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GxqrEAAAA3AAAAA8AAAAAAAAAAAAAAAAAmAIAAGRycy9k&#10;b3ducmV2LnhtbFBLBQYAAAAABAAEAPUAAACJAwAAAAA=&#10;" fillcolor="#008a9e [2415]" strokecolor="#008a9e [2415]" strokeweight=".5pt">
                  <v:textbox inset="1mm,1mm,1mm,1mm">
                    <w:txbxContent>
                      <w:p w14:paraId="35C3FB47" w14:textId="77777777" w:rsidR="00947F90" w:rsidRDefault="00947F90" w:rsidP="00947F90">
                        <w:pPr>
                          <w:pStyle w:val="NormalWeb"/>
                          <w:spacing w:before="0" w:beforeAutospacing="0" w:after="0" w:afterAutospacing="0"/>
                          <w:jc w:val="center"/>
                        </w:pPr>
                        <w:r>
                          <w:rPr>
                            <w:rFonts w:ascii="Arial" w:hAnsi="Arial" w:cs="Arial"/>
                            <w:color w:val="FFFFFF" w:themeColor="background1"/>
                            <w:kern w:val="24"/>
                            <w:sz w:val="16"/>
                            <w:szCs w:val="16"/>
                          </w:rPr>
                          <w:t xml:space="preserve">Sustainability Policy </w:t>
                        </w:r>
                      </w:p>
                    </w:txbxContent>
                  </v:textbox>
                </v:rect>
                <v:rect id="Rectangle 222" o:spid="_x0000_s1074" style="position:absolute;left:3357;top:40685;width:10080;height:57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dpasQA&#10;AADcAAAADwAAAGRycy9kb3ducmV2LnhtbESPS2vDMBCE74X+B7GB3ho5Ln3EiRKSQiHHPHrpbbE2&#10;loi1ciU1tv99VQj0OMzMN8xyPbhWXClE61nBbFqAIK69ttwo+Dx9PL6BiAlZY+uZFIwUYb26v1ti&#10;pX3PB7oeUyMyhGOFCkxKXSVlrA05jFPfEWfv7IPDlGVopA7YZ7hrZVkUL9Kh5bxgsKN3Q/Xl+OMU&#10;2Nensf/6HuNzGHZzPTtsL3ZvlHqYDJsFiERD+g/f2jutoCxL+Du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3aWrEAAAA3AAAAA8AAAAAAAAAAAAAAAAAmAIAAGRycy9k&#10;b3ducmV2LnhtbFBLBQYAAAAABAAEAPUAAACJAwAAAAA=&#10;" fillcolor="#c4d92e [3204]" stroked="f" strokeweight="2pt">
                  <v:textbox inset="1mm,1mm,1mm,1mm">
                    <w:txbxContent>
                      <w:p w14:paraId="3A8B963B" w14:textId="77777777" w:rsidR="00947F90" w:rsidRDefault="00947F90" w:rsidP="00947F90">
                        <w:pPr>
                          <w:pStyle w:val="NormalWeb"/>
                          <w:spacing w:before="0" w:beforeAutospacing="0" w:after="0" w:afterAutospacing="0"/>
                          <w:jc w:val="center"/>
                        </w:pPr>
                        <w:r>
                          <w:rPr>
                            <w:rFonts w:asciiTheme="minorHAnsi" w:hAnsi="Arial" w:cstheme="minorBidi"/>
                            <w:color w:val="FFFFFF" w:themeColor="light1"/>
                            <w:kern w:val="24"/>
                            <w:sz w:val="16"/>
                            <w:szCs w:val="16"/>
                          </w:rPr>
                          <w:t>Construction Environmental Management Plan (CEMP)</w:t>
                        </w:r>
                      </w:p>
                    </w:txbxContent>
                  </v:textbox>
                </v:rect>
                <v:rect id="Rectangle 223" o:spid="_x0000_s1075" style="position:absolute;left:3357;top:47525;width:10080;height:57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vM8cQA&#10;AADcAAAADwAAAGRycy9kb3ducmV2LnhtbESPQWsCMRSE70L/Q3iF3jTrirbdGqUtFDyq7aW3x+Z1&#10;E9y8bJPU3f33jSB4HGbmG2a9HVwrzhSi9axgPitAENdeW24UfH1+TJ9AxISssfVMCkaKsN3cTdZY&#10;ad/zgc7H1IgM4VihApNSV0kZa0MO48x3xNn78cFhyjI0UgfsM9y1siyKlXRoOS8Y7OjdUH06/jkF&#10;9nEx9t+/Y1yGYfes54e3k90bpR7uh9cXEImGdAtf2zutoCwXcDmTj4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7zPHEAAAA3AAAAA8AAAAAAAAAAAAAAAAAmAIAAGRycy9k&#10;b3ducmV2LnhtbFBLBQYAAAAABAAEAPUAAACJAwAAAAA=&#10;" fillcolor="#c4d92e [3204]" stroked="f" strokeweight="2pt">
                  <v:textbox inset="1mm,1mm,1mm,1mm">
                    <w:txbxContent>
                      <w:p w14:paraId="180F1B32" w14:textId="77777777" w:rsidR="00947F90" w:rsidRDefault="00947F90" w:rsidP="00947F90">
                        <w:pPr>
                          <w:pStyle w:val="NormalWeb"/>
                          <w:spacing w:before="0" w:beforeAutospacing="0" w:after="0" w:afterAutospacing="0"/>
                          <w:jc w:val="center"/>
                        </w:pPr>
                        <w:r>
                          <w:rPr>
                            <w:rFonts w:asciiTheme="minorHAnsi" w:hAnsi="Arial" w:cstheme="minorBidi"/>
                            <w:color w:val="FFFFFF" w:themeColor="light1"/>
                            <w:kern w:val="24"/>
                            <w:sz w:val="16"/>
                            <w:szCs w:val="16"/>
                          </w:rPr>
                          <w:t>Site Environment Implementation Plan(s) (SEIP)</w:t>
                        </w:r>
                      </w:p>
                    </w:txbxContent>
                  </v:textbox>
                </v:rect>
                <w10:anchorlock/>
              </v:group>
            </w:pict>
          </mc:Fallback>
        </mc:AlternateContent>
      </w:r>
    </w:p>
    <w:p w14:paraId="45201D25" w14:textId="4644305F" w:rsidR="005D15E1" w:rsidRPr="005D15E1" w:rsidRDefault="005D15E1" w:rsidP="005D15E1">
      <w:pPr>
        <w:pStyle w:val="Object"/>
      </w:pPr>
    </w:p>
    <w:p w14:paraId="478B4698" w14:textId="77777777" w:rsidR="005D15E1" w:rsidRPr="005D15E1" w:rsidRDefault="005D15E1" w:rsidP="005D15E1">
      <w:pPr>
        <w:pStyle w:val="BodyText"/>
      </w:pPr>
    </w:p>
    <w:p w14:paraId="04BDC255" w14:textId="77777777" w:rsidR="00D377B9" w:rsidRPr="00F71523" w:rsidRDefault="002F1C5F" w:rsidP="00387119">
      <w:pPr>
        <w:pStyle w:val="Caption"/>
      </w:pPr>
      <w:bookmarkStart w:id="21" w:name="_Ref446097439"/>
      <w:r w:rsidRPr="00F71523">
        <w:lastRenderedPageBreak/>
        <w:t xml:space="preserve">Table </w:t>
      </w:r>
      <w:fldSimple w:instr=" STYLEREF 1 \s ">
        <w:r w:rsidR="002F5366">
          <w:rPr>
            <w:noProof/>
            <w:cs/>
          </w:rPr>
          <w:t>‎</w:t>
        </w:r>
        <w:r w:rsidR="002F5366">
          <w:rPr>
            <w:noProof/>
          </w:rPr>
          <w:t>23</w:t>
        </w:r>
      </w:fldSimple>
      <w:r w:rsidR="009E42D8" w:rsidRPr="00F71523">
        <w:t>–</w:t>
      </w:r>
      <w:fldSimple w:instr=" SEQ Table \* ARABIC \s 1 ">
        <w:r w:rsidR="002F5366">
          <w:rPr>
            <w:noProof/>
          </w:rPr>
          <w:t>3</w:t>
        </w:r>
      </w:fldSimple>
      <w:bookmarkEnd w:id="21"/>
      <w:r w:rsidRPr="00F71523">
        <w:tab/>
        <w:t>Environmental Management Documentation</w:t>
      </w:r>
    </w:p>
    <w:tbl>
      <w:tblPr>
        <w:tblStyle w:val="MainTableStyle"/>
        <w:tblW w:w="0" w:type="auto"/>
        <w:tblLayout w:type="fixed"/>
        <w:tblLook w:val="0420" w:firstRow="1" w:lastRow="0" w:firstColumn="0" w:lastColumn="0" w:noHBand="0" w:noVBand="1"/>
      </w:tblPr>
      <w:tblGrid>
        <w:gridCol w:w="1527"/>
        <w:gridCol w:w="5888"/>
      </w:tblGrid>
      <w:tr w:rsidR="002F1C5F" w:rsidRPr="00F71523" w14:paraId="5826C7D3" w14:textId="77777777" w:rsidTr="00387119">
        <w:trPr>
          <w:cnfStyle w:val="100000000000" w:firstRow="1" w:lastRow="0" w:firstColumn="0" w:lastColumn="0" w:oddVBand="0" w:evenVBand="0" w:oddHBand="0" w:evenHBand="0" w:firstRowFirstColumn="0" w:firstRowLastColumn="0" w:lastRowFirstColumn="0" w:lastRowLastColumn="0"/>
        </w:trPr>
        <w:tc>
          <w:tcPr>
            <w:tcW w:w="1527" w:type="dxa"/>
          </w:tcPr>
          <w:p w14:paraId="7ED4F7C3" w14:textId="77777777" w:rsidR="002F1C5F" w:rsidRPr="00F71523" w:rsidRDefault="002F1C5F" w:rsidP="00387119">
            <w:pPr>
              <w:pStyle w:val="TableText"/>
            </w:pPr>
            <w:r w:rsidRPr="00F71523">
              <w:t>Documentation</w:t>
            </w:r>
          </w:p>
        </w:tc>
        <w:tc>
          <w:tcPr>
            <w:tcW w:w="5888" w:type="dxa"/>
          </w:tcPr>
          <w:p w14:paraId="4B31FF95" w14:textId="77777777" w:rsidR="002F1C5F" w:rsidRPr="00F71523" w:rsidRDefault="002F1C5F" w:rsidP="00387119">
            <w:pPr>
              <w:pStyle w:val="TableText"/>
            </w:pPr>
            <w:r w:rsidRPr="00F71523">
              <w:t>Description</w:t>
            </w:r>
          </w:p>
        </w:tc>
      </w:tr>
      <w:tr w:rsidR="002F1C5F" w:rsidRPr="00F71523" w14:paraId="680F40EE" w14:textId="77777777" w:rsidTr="00387119">
        <w:trPr>
          <w:cantSplit/>
        </w:trPr>
        <w:tc>
          <w:tcPr>
            <w:tcW w:w="7415" w:type="dxa"/>
            <w:gridSpan w:val="2"/>
            <w:shd w:val="clear" w:color="auto" w:fill="F2F2F2" w:themeFill="background1" w:themeFillShade="F2"/>
          </w:tcPr>
          <w:p w14:paraId="62CCDB8B" w14:textId="77777777" w:rsidR="002F1C5F" w:rsidRPr="00F71523" w:rsidRDefault="002F1C5F" w:rsidP="00387119">
            <w:pPr>
              <w:pStyle w:val="TableText"/>
              <w:keepNext/>
              <w:keepLines/>
              <w:rPr>
                <w:rStyle w:val="CharacterStyle-Bold"/>
              </w:rPr>
            </w:pPr>
            <w:r w:rsidRPr="00F71523">
              <w:rPr>
                <w:rStyle w:val="CharacterStyle-Bold"/>
              </w:rPr>
              <w:t>State (MMRA)</w:t>
            </w:r>
          </w:p>
        </w:tc>
      </w:tr>
      <w:tr w:rsidR="002F1C5F" w:rsidRPr="00F71523" w14:paraId="7A95A802" w14:textId="77777777" w:rsidTr="00387119">
        <w:trPr>
          <w:cantSplit/>
        </w:trPr>
        <w:tc>
          <w:tcPr>
            <w:tcW w:w="1527" w:type="dxa"/>
          </w:tcPr>
          <w:p w14:paraId="2C3AD7B5" w14:textId="77777777" w:rsidR="002F1C5F" w:rsidRPr="00F71523" w:rsidRDefault="002F1C5F" w:rsidP="00387119">
            <w:pPr>
              <w:pStyle w:val="TableText"/>
              <w:keepNext/>
              <w:keepLines/>
            </w:pPr>
            <w:r w:rsidRPr="00F71523">
              <w:t>Environmental Performance Requirements</w:t>
            </w:r>
          </w:p>
        </w:tc>
        <w:tc>
          <w:tcPr>
            <w:tcW w:w="5888" w:type="dxa"/>
          </w:tcPr>
          <w:p w14:paraId="68720E26" w14:textId="73C76B56" w:rsidR="002F1C5F" w:rsidRPr="00F71523" w:rsidRDefault="002F1C5F" w:rsidP="00387119">
            <w:pPr>
              <w:pStyle w:val="TableText"/>
              <w:keepNext/>
              <w:keepLines/>
            </w:pPr>
            <w:r w:rsidRPr="00F71523">
              <w:t>Environmental Performance Requirements (</w:t>
            </w:r>
            <w:r w:rsidR="00FF561B" w:rsidRPr="00F71523">
              <w:fldChar w:fldCharType="begin"/>
            </w:r>
            <w:r w:rsidR="00FF561B" w:rsidRPr="00F71523">
              <w:instrText xml:space="preserve"> REF _Ref446419212 \h </w:instrText>
            </w:r>
            <w:r w:rsidR="00FF561B" w:rsidRPr="00F71523">
              <w:fldChar w:fldCharType="separate"/>
            </w:r>
            <w:r w:rsidR="002F5366" w:rsidRPr="00F71523">
              <w:t>Table </w:t>
            </w:r>
            <w:r w:rsidR="002F5366">
              <w:rPr>
                <w:noProof/>
                <w:cs/>
              </w:rPr>
              <w:t>‎</w:t>
            </w:r>
            <w:r w:rsidR="002F5366">
              <w:rPr>
                <w:noProof/>
              </w:rPr>
              <w:t>23</w:t>
            </w:r>
            <w:r w:rsidR="002F5366" w:rsidRPr="00F71523">
              <w:t>–</w:t>
            </w:r>
            <w:r w:rsidR="002F5366">
              <w:rPr>
                <w:noProof/>
              </w:rPr>
              <w:t>2</w:t>
            </w:r>
            <w:r w:rsidR="00FF561B" w:rsidRPr="00F71523">
              <w:fldChar w:fldCharType="end"/>
            </w:r>
            <w:r w:rsidRPr="00F71523">
              <w:t>) developed through the EES</w:t>
            </w:r>
            <w:r w:rsidR="00055AB3" w:rsidRPr="00F71523">
              <w:t>.</w:t>
            </w:r>
          </w:p>
        </w:tc>
      </w:tr>
      <w:tr w:rsidR="002F1C5F" w:rsidRPr="00F71523" w14:paraId="131460E8" w14:textId="77777777" w:rsidTr="00387119">
        <w:trPr>
          <w:cantSplit/>
        </w:trPr>
        <w:tc>
          <w:tcPr>
            <w:tcW w:w="1527" w:type="dxa"/>
          </w:tcPr>
          <w:p w14:paraId="5A5B5D9F" w14:textId="77777777" w:rsidR="002F1C5F" w:rsidRPr="00F71523" w:rsidRDefault="002F1C5F" w:rsidP="002F1C5F">
            <w:pPr>
              <w:pStyle w:val="TableText"/>
            </w:pPr>
            <w:r w:rsidRPr="00F71523">
              <w:t>Decisions and Approvals</w:t>
            </w:r>
          </w:p>
        </w:tc>
        <w:tc>
          <w:tcPr>
            <w:tcW w:w="5888" w:type="dxa"/>
          </w:tcPr>
          <w:p w14:paraId="7E237134" w14:textId="77777777" w:rsidR="002F1C5F" w:rsidRPr="00F71523" w:rsidRDefault="002F1C5F" w:rsidP="002F1C5F">
            <w:pPr>
              <w:pStyle w:val="TableBullet1"/>
            </w:pPr>
            <w:r w:rsidRPr="00F71523">
              <w:t xml:space="preserve">Minister’s Assessment of the EES </w:t>
            </w:r>
          </w:p>
          <w:p w14:paraId="30BACCEE" w14:textId="7B63FAD4" w:rsidR="002F1C5F" w:rsidRPr="00F71523" w:rsidRDefault="00250B7A" w:rsidP="002F1C5F">
            <w:pPr>
              <w:pStyle w:val="TableBullet1"/>
            </w:pPr>
            <w:r>
              <w:t>Approval of a planning scheme amendment to implement specific planning controls for the project</w:t>
            </w:r>
          </w:p>
          <w:p w14:paraId="095495D0" w14:textId="77777777" w:rsidR="002F1C5F" w:rsidRPr="00F71523" w:rsidRDefault="002F1C5F" w:rsidP="002F1C5F">
            <w:pPr>
              <w:pStyle w:val="TableBullet1"/>
            </w:pPr>
            <w:r w:rsidRPr="00F71523">
              <w:t xml:space="preserve">EPBC Act </w:t>
            </w:r>
            <w:r w:rsidR="00E10443" w:rsidRPr="00F71523">
              <w:t>r</w:t>
            </w:r>
            <w:r w:rsidRPr="00F71523">
              <w:t>eferral decision (not a controlled action, if undertaken in a particular manner)</w:t>
            </w:r>
          </w:p>
          <w:p w14:paraId="0D040DC1" w14:textId="77777777" w:rsidR="002F1C5F" w:rsidRPr="00F71523" w:rsidRDefault="002F1C5F" w:rsidP="002F1C5F">
            <w:pPr>
              <w:pStyle w:val="TableBullet1"/>
            </w:pPr>
            <w:r w:rsidRPr="00F71523">
              <w:t>Cultural Heritage Management Plan</w:t>
            </w:r>
          </w:p>
          <w:p w14:paraId="6F9059A3" w14:textId="77777777" w:rsidR="002F1C5F" w:rsidRPr="00F71523" w:rsidRDefault="002F1C5F" w:rsidP="002F1C5F">
            <w:pPr>
              <w:pStyle w:val="TableBullet1"/>
            </w:pPr>
            <w:r w:rsidRPr="00F71523">
              <w:t>Heritage approvals</w:t>
            </w:r>
          </w:p>
          <w:p w14:paraId="0FCBA8B8" w14:textId="77777777" w:rsidR="002F1C5F" w:rsidRPr="00F71523" w:rsidRDefault="002F1C5F" w:rsidP="002F1C5F">
            <w:pPr>
              <w:pStyle w:val="TableBullet1"/>
            </w:pPr>
            <w:r w:rsidRPr="00F71523">
              <w:t>Other secondary consents obtained with detailed plans from the contractors</w:t>
            </w:r>
            <w:r w:rsidR="00055AB3" w:rsidRPr="00F71523">
              <w:t>.</w:t>
            </w:r>
          </w:p>
        </w:tc>
      </w:tr>
      <w:tr w:rsidR="002F1C5F" w:rsidRPr="00F71523" w14:paraId="2E15F906" w14:textId="77777777" w:rsidTr="00387119">
        <w:trPr>
          <w:cantSplit/>
        </w:trPr>
        <w:tc>
          <w:tcPr>
            <w:tcW w:w="1527" w:type="dxa"/>
          </w:tcPr>
          <w:p w14:paraId="0FD65164" w14:textId="459A9BDD" w:rsidR="002F1C5F" w:rsidRPr="00F71523" w:rsidRDefault="00616BFE" w:rsidP="002F1C5F">
            <w:pPr>
              <w:pStyle w:val="TableText"/>
            </w:pPr>
            <w:r>
              <w:t>MMRA</w:t>
            </w:r>
            <w:r w:rsidRPr="00F71523">
              <w:t xml:space="preserve"> </w:t>
            </w:r>
            <w:r w:rsidR="002F1C5F" w:rsidRPr="00F71523">
              <w:t>EMS</w:t>
            </w:r>
          </w:p>
        </w:tc>
        <w:tc>
          <w:tcPr>
            <w:tcW w:w="5888" w:type="dxa"/>
          </w:tcPr>
          <w:p w14:paraId="2BFD2A25" w14:textId="41660368" w:rsidR="002F1C5F" w:rsidRPr="00F71523" w:rsidRDefault="002F1C5F" w:rsidP="002F1C5F">
            <w:pPr>
              <w:pStyle w:val="TableText"/>
            </w:pPr>
            <w:r w:rsidRPr="00F71523">
              <w:t xml:space="preserve">EMS aligned to </w:t>
            </w:r>
            <w:r w:rsidRPr="00F71523">
              <w:rPr>
                <w:rStyle w:val="CharacterStyle-Italic"/>
              </w:rPr>
              <w:t>AS/NZS ISO 14001: 2015 Environmental management systems – requirements with guidance for use</w:t>
            </w:r>
            <w:r w:rsidRPr="00F71523">
              <w:t xml:space="preserve"> setting out policies, plans, procedures and activities, forming a systematic method of managing the environmental aspects of the </w:t>
            </w:r>
            <w:r w:rsidR="00A0220B">
              <w:t>p</w:t>
            </w:r>
            <w:r w:rsidRPr="00F71523">
              <w:t>roject. The</w:t>
            </w:r>
            <w:r w:rsidR="00616BFE">
              <w:t xml:space="preserve"> MMRA</w:t>
            </w:r>
            <w:r w:rsidRPr="00F71523">
              <w:t xml:space="preserve"> EMS Manual shall comprise:</w:t>
            </w:r>
          </w:p>
          <w:p w14:paraId="2A46857D" w14:textId="77777777" w:rsidR="002F1C5F" w:rsidRPr="00F71523" w:rsidRDefault="002F1C5F" w:rsidP="002F1C5F">
            <w:pPr>
              <w:pStyle w:val="TableBullet1"/>
            </w:pPr>
            <w:r w:rsidRPr="00F71523">
              <w:t>MMRA Environmental Policy</w:t>
            </w:r>
          </w:p>
          <w:p w14:paraId="6E7BE127" w14:textId="532726DF" w:rsidR="002F1C5F" w:rsidRPr="00F71523" w:rsidRDefault="002F1C5F" w:rsidP="002F1C5F">
            <w:pPr>
              <w:pStyle w:val="TableBullet1"/>
            </w:pPr>
            <w:r w:rsidRPr="00F71523">
              <w:t xml:space="preserve">Environmental management responsibilities for all parties, particularly the responsibilities of the yet to be engaged delivery contractor (the </w:t>
            </w:r>
            <w:r w:rsidR="00D40BED">
              <w:t>c</w:t>
            </w:r>
            <w:r w:rsidRPr="00F71523">
              <w:t>ontractor)</w:t>
            </w:r>
          </w:p>
          <w:p w14:paraId="21797FB8" w14:textId="77777777" w:rsidR="002F1C5F" w:rsidRPr="00F71523" w:rsidRDefault="002F1C5F" w:rsidP="002F1C5F">
            <w:pPr>
              <w:pStyle w:val="TableBullet1"/>
            </w:pPr>
            <w:r w:rsidRPr="00F71523">
              <w:t>Processes and responsibilities for environmental risk assessment</w:t>
            </w:r>
          </w:p>
          <w:p w14:paraId="4D2574B5" w14:textId="77777777" w:rsidR="002F1C5F" w:rsidRPr="00F71523" w:rsidRDefault="002F1C5F" w:rsidP="002F1C5F">
            <w:pPr>
              <w:pStyle w:val="TableBullet1"/>
            </w:pPr>
            <w:r w:rsidRPr="00F71523">
              <w:t>A schedule containing the Environmental Performance Requirements</w:t>
            </w:r>
          </w:p>
          <w:p w14:paraId="30FB2CCE" w14:textId="77777777" w:rsidR="002F1C5F" w:rsidRPr="00F71523" w:rsidRDefault="002F1C5F" w:rsidP="002F1C5F">
            <w:pPr>
              <w:pStyle w:val="TableBullet1"/>
            </w:pPr>
            <w:r w:rsidRPr="00F71523">
              <w:t>Compliance register</w:t>
            </w:r>
          </w:p>
          <w:p w14:paraId="2EF2A7A4" w14:textId="763FC627" w:rsidR="002F1C5F" w:rsidRPr="00F71523" w:rsidRDefault="002F1C5F">
            <w:pPr>
              <w:pStyle w:val="TableBullet1"/>
            </w:pPr>
            <w:r w:rsidRPr="00F71523">
              <w:t xml:space="preserve">Internal and </w:t>
            </w:r>
            <w:r w:rsidR="00616BFE">
              <w:t>e</w:t>
            </w:r>
            <w:r w:rsidRPr="00F71523">
              <w:t xml:space="preserve">xternal </w:t>
            </w:r>
            <w:r w:rsidR="00616BFE">
              <w:t>a</w:t>
            </w:r>
            <w:r w:rsidRPr="00F71523">
              <w:t xml:space="preserve">udit </w:t>
            </w:r>
            <w:r w:rsidR="00616BFE">
              <w:t>p</w:t>
            </w:r>
            <w:r w:rsidRPr="00F71523">
              <w:t>rogram</w:t>
            </w:r>
            <w:r w:rsidR="00055AB3" w:rsidRPr="00F71523">
              <w:t>.</w:t>
            </w:r>
          </w:p>
        </w:tc>
      </w:tr>
      <w:tr w:rsidR="004C0087" w:rsidRPr="00F71523" w14:paraId="2072D9FB" w14:textId="77777777" w:rsidTr="00387119">
        <w:trPr>
          <w:cantSplit/>
        </w:trPr>
        <w:tc>
          <w:tcPr>
            <w:tcW w:w="1527" w:type="dxa"/>
          </w:tcPr>
          <w:p w14:paraId="1BFF28BC" w14:textId="77777777" w:rsidR="004C0087" w:rsidRPr="00F71523" w:rsidRDefault="00147A19">
            <w:pPr>
              <w:pStyle w:val="TableText"/>
            </w:pPr>
            <w:r w:rsidRPr="00F71523">
              <w:t>Urban Design Strategy</w:t>
            </w:r>
          </w:p>
        </w:tc>
        <w:tc>
          <w:tcPr>
            <w:tcW w:w="5888" w:type="dxa"/>
          </w:tcPr>
          <w:p w14:paraId="26CA67B3" w14:textId="272A2898" w:rsidR="004C0087" w:rsidRPr="00F71523" w:rsidRDefault="004C0087" w:rsidP="00E10443">
            <w:pPr>
              <w:pStyle w:val="TableText"/>
            </w:pPr>
            <w:r w:rsidRPr="00F71523">
              <w:t xml:space="preserve">The </w:t>
            </w:r>
            <w:r w:rsidR="00CF058D">
              <w:t xml:space="preserve">Melbourne Metro </w:t>
            </w:r>
            <w:r w:rsidRPr="00F71523">
              <w:t>Urban Design Strategy provides urban design guidance relating to the design, procurement and implementation of the Melbourne Metro. It is intended to:</w:t>
            </w:r>
          </w:p>
          <w:p w14:paraId="3DF908BB" w14:textId="77777777" w:rsidR="004C0087" w:rsidRPr="00F71523" w:rsidRDefault="004C0087" w:rsidP="00081396">
            <w:pPr>
              <w:pStyle w:val="TableBullet1"/>
            </w:pPr>
            <w:r w:rsidRPr="00F71523">
              <w:t>State the broad urban design e</w:t>
            </w:r>
            <w:r w:rsidR="00055AB3" w:rsidRPr="00F71523">
              <w:t>xpectations for Melbourne Metro</w:t>
            </w:r>
          </w:p>
          <w:p w14:paraId="15D0CB72" w14:textId="77777777" w:rsidR="004C0087" w:rsidRPr="00F71523" w:rsidRDefault="004C0087" w:rsidP="00081396">
            <w:pPr>
              <w:pStyle w:val="TableBullet1"/>
            </w:pPr>
            <w:r w:rsidRPr="00F71523">
              <w:t>Ensure the landscape and visual impacts identified in the EES are addressed in a way that maximises the project’s pos</w:t>
            </w:r>
            <w:r w:rsidR="00055AB3" w:rsidRPr="00F71523">
              <w:t>itive contribution to Melbourne</w:t>
            </w:r>
          </w:p>
          <w:p w14:paraId="0619A245" w14:textId="200B0DC2" w:rsidR="004C0087" w:rsidRPr="00F71523" w:rsidRDefault="004C0087" w:rsidP="00D40BED">
            <w:pPr>
              <w:pStyle w:val="TableBullet1"/>
            </w:pPr>
            <w:r w:rsidRPr="00F71523">
              <w:t xml:space="preserve">Set out design criteria that, along with further detailed content, will inform the technical specifications for </w:t>
            </w:r>
            <w:r w:rsidR="00D40BED">
              <w:t>p</w:t>
            </w:r>
            <w:r w:rsidRPr="00F71523">
              <w:t>roject’s procurement phase.</w:t>
            </w:r>
          </w:p>
        </w:tc>
      </w:tr>
      <w:tr w:rsidR="004C0087" w:rsidRPr="00F71523" w14:paraId="20B14A6E" w14:textId="77777777" w:rsidTr="00387119">
        <w:trPr>
          <w:cantSplit/>
        </w:trPr>
        <w:tc>
          <w:tcPr>
            <w:tcW w:w="7415" w:type="dxa"/>
            <w:gridSpan w:val="2"/>
            <w:shd w:val="clear" w:color="auto" w:fill="F2F2F2" w:themeFill="background1" w:themeFillShade="F2"/>
          </w:tcPr>
          <w:p w14:paraId="71212C66" w14:textId="631B8FA9" w:rsidR="004C0087" w:rsidRPr="00F71523" w:rsidRDefault="004C0087" w:rsidP="00D40BED">
            <w:pPr>
              <w:pStyle w:val="TableText"/>
              <w:keepNext/>
              <w:keepLines/>
              <w:rPr>
                <w:rStyle w:val="CharacterStyle-Bold"/>
              </w:rPr>
            </w:pPr>
            <w:r w:rsidRPr="00F71523">
              <w:rPr>
                <w:rStyle w:val="CharacterStyle-Bold"/>
              </w:rPr>
              <w:lastRenderedPageBreak/>
              <w:t xml:space="preserve">State (MMRA) and </w:t>
            </w:r>
            <w:r w:rsidR="00D40BED">
              <w:rPr>
                <w:rStyle w:val="CharacterStyle-Bold"/>
              </w:rPr>
              <w:t>c</w:t>
            </w:r>
            <w:r w:rsidRPr="00F71523">
              <w:rPr>
                <w:rStyle w:val="CharacterStyle-Bold"/>
              </w:rPr>
              <w:t>ontractor</w:t>
            </w:r>
          </w:p>
        </w:tc>
      </w:tr>
      <w:tr w:rsidR="004C0087" w:rsidRPr="00F71523" w14:paraId="254A365A" w14:textId="77777777" w:rsidTr="00387119">
        <w:trPr>
          <w:cantSplit/>
        </w:trPr>
        <w:tc>
          <w:tcPr>
            <w:tcW w:w="1527" w:type="dxa"/>
          </w:tcPr>
          <w:p w14:paraId="4C811DB9" w14:textId="07A1C480" w:rsidR="004C0087" w:rsidRPr="00F71523" w:rsidRDefault="004C0087" w:rsidP="00250B7A">
            <w:pPr>
              <w:pStyle w:val="TableText"/>
            </w:pPr>
            <w:r w:rsidRPr="00F71523">
              <w:t xml:space="preserve">Plans to comply with </w:t>
            </w:r>
            <w:r w:rsidR="00E10443" w:rsidRPr="00F71523">
              <w:t xml:space="preserve">the </w:t>
            </w:r>
            <w:r w:rsidR="00250B7A">
              <w:t>Incorporate Document</w:t>
            </w:r>
          </w:p>
        </w:tc>
        <w:tc>
          <w:tcPr>
            <w:tcW w:w="5888" w:type="dxa"/>
          </w:tcPr>
          <w:p w14:paraId="105E3227" w14:textId="7A1E1D44" w:rsidR="004C0087" w:rsidRPr="00F71523" w:rsidRDefault="004C0087" w:rsidP="002F1C5F">
            <w:pPr>
              <w:pStyle w:val="TableText"/>
            </w:pPr>
            <w:r w:rsidRPr="00F71523">
              <w:t xml:space="preserve">MMRA and the </w:t>
            </w:r>
            <w:r w:rsidR="00D40BED">
              <w:t>c</w:t>
            </w:r>
            <w:r w:rsidRPr="00F71523">
              <w:t xml:space="preserve">ontractors would prepare the detailed plans required to comply with </w:t>
            </w:r>
            <w:r w:rsidR="00250B7A">
              <w:t>p</w:t>
            </w:r>
            <w:r w:rsidR="00E10443" w:rsidRPr="00F71523">
              <w:t xml:space="preserve">lanning </w:t>
            </w:r>
            <w:r w:rsidR="00250B7A">
              <w:t>s</w:t>
            </w:r>
            <w:r w:rsidR="00E10443" w:rsidRPr="00F71523">
              <w:t xml:space="preserve">cheme </w:t>
            </w:r>
            <w:r w:rsidR="00250B7A">
              <w:t>a</w:t>
            </w:r>
            <w:r w:rsidR="00E10443" w:rsidRPr="00F71523">
              <w:t xml:space="preserve">mendment </w:t>
            </w:r>
            <w:r w:rsidRPr="00F71523">
              <w:t xml:space="preserve">conditions including a </w:t>
            </w:r>
            <w:r w:rsidR="00250B7A">
              <w:t>CEMP</w:t>
            </w:r>
            <w:r w:rsidRPr="00F71523">
              <w:t xml:space="preserve">, </w:t>
            </w:r>
            <w:r w:rsidR="00250B7A">
              <w:t>SEIP</w:t>
            </w:r>
            <w:r w:rsidRPr="00F71523">
              <w:t xml:space="preserve"> and </w:t>
            </w:r>
            <w:r w:rsidR="00250B7A">
              <w:t>TMP</w:t>
            </w:r>
            <w:r w:rsidRPr="00F71523">
              <w:t xml:space="preserve"> as relevant to any stage of the </w:t>
            </w:r>
            <w:r w:rsidR="00E10443" w:rsidRPr="00F71523">
              <w:t>p</w:t>
            </w:r>
            <w:r w:rsidRPr="00F71523">
              <w:t>roject.</w:t>
            </w:r>
          </w:p>
          <w:p w14:paraId="08B6C3E2" w14:textId="6420B6CC" w:rsidR="004C0087" w:rsidRPr="00F71523" w:rsidRDefault="004C0087" w:rsidP="00081396">
            <w:pPr>
              <w:pStyle w:val="TableText"/>
            </w:pPr>
            <w:r w:rsidRPr="00F71523">
              <w:t xml:space="preserve">Development plans would be prepared for surface works as </w:t>
            </w:r>
            <w:r w:rsidR="00691B15">
              <w:t>required by conditions of</w:t>
            </w:r>
            <w:r w:rsidRPr="00F71523">
              <w:t xml:space="preserve"> the Incorporated </w:t>
            </w:r>
            <w:r w:rsidR="00250B7A">
              <w:t>D</w:t>
            </w:r>
            <w:r w:rsidRPr="00F71523">
              <w:t>ocument</w:t>
            </w:r>
            <w:r w:rsidR="00250B7A">
              <w:t>.</w:t>
            </w:r>
          </w:p>
          <w:p w14:paraId="6685740A" w14:textId="56119E1A" w:rsidR="004C0087" w:rsidRPr="00F71523" w:rsidRDefault="004C0087" w:rsidP="002F1C5F">
            <w:pPr>
              <w:pStyle w:val="TableText"/>
            </w:pPr>
            <w:r w:rsidRPr="00F71523">
              <w:t xml:space="preserve">The plans would be prepared in consultation with agencies relevant to each plan including Councils, Heritage Victoria, </w:t>
            </w:r>
            <w:r w:rsidR="00250B7A">
              <w:t>EPA</w:t>
            </w:r>
            <w:r w:rsidRPr="00F71523">
              <w:t>,</w:t>
            </w:r>
            <w:r w:rsidRPr="00F71523" w:rsidDel="004C0087">
              <w:t xml:space="preserve"> </w:t>
            </w:r>
            <w:r w:rsidRPr="00F71523">
              <w:t xml:space="preserve">Melbourne Water, Public Transport Victoria, Office of Victorian Government Architect (OVGA) and VicRoads. </w:t>
            </w:r>
          </w:p>
          <w:p w14:paraId="28C193A7" w14:textId="7E879C11" w:rsidR="00147A19" w:rsidRPr="00F71523" w:rsidRDefault="004C0087" w:rsidP="00D40BED">
            <w:pPr>
              <w:pStyle w:val="TableText"/>
            </w:pPr>
            <w:r w:rsidRPr="00F71523">
              <w:t xml:space="preserve">Plans would be developed once the detailed design and refined construction methodology is prepared by each </w:t>
            </w:r>
            <w:r w:rsidR="00D40BED">
              <w:t>c</w:t>
            </w:r>
            <w:r w:rsidRPr="00F71523">
              <w:t>ontractor. Relevant agencies would be consulted on the details and complying with their requirements.</w:t>
            </w:r>
          </w:p>
        </w:tc>
      </w:tr>
      <w:tr w:rsidR="004C0087" w:rsidRPr="00F71523" w14:paraId="32F2F2FC" w14:textId="77777777" w:rsidTr="00387119">
        <w:trPr>
          <w:cantSplit/>
        </w:trPr>
        <w:tc>
          <w:tcPr>
            <w:tcW w:w="7415" w:type="dxa"/>
            <w:gridSpan w:val="2"/>
            <w:shd w:val="clear" w:color="auto" w:fill="F2F2F2" w:themeFill="background1" w:themeFillShade="F2"/>
          </w:tcPr>
          <w:p w14:paraId="2B13D584" w14:textId="536E6B0F" w:rsidR="004C0087" w:rsidRPr="00F71523" w:rsidRDefault="004C0087" w:rsidP="00387119">
            <w:pPr>
              <w:pStyle w:val="TableText"/>
              <w:keepNext/>
              <w:keepLines/>
              <w:rPr>
                <w:rStyle w:val="CharacterStyle-Bold"/>
              </w:rPr>
            </w:pPr>
            <w:r w:rsidRPr="00F71523">
              <w:rPr>
                <w:rStyle w:val="CharacterStyle-Bold"/>
              </w:rPr>
              <w:t>Contractor</w:t>
            </w:r>
            <w:r w:rsidR="0090365A" w:rsidRPr="00F71523">
              <w:rPr>
                <w:rStyle w:val="CharacterStyle-Bold"/>
              </w:rPr>
              <w:t>s</w:t>
            </w:r>
          </w:p>
        </w:tc>
      </w:tr>
      <w:tr w:rsidR="004C0087" w:rsidRPr="00F71523" w14:paraId="4885C6C8" w14:textId="77777777" w:rsidTr="00387119">
        <w:trPr>
          <w:cantSplit/>
        </w:trPr>
        <w:tc>
          <w:tcPr>
            <w:tcW w:w="1527" w:type="dxa"/>
          </w:tcPr>
          <w:p w14:paraId="2D6072B5" w14:textId="77777777" w:rsidR="004C0087" w:rsidRPr="00F71523" w:rsidRDefault="004C0087" w:rsidP="002F1C5F">
            <w:pPr>
              <w:pStyle w:val="TableText"/>
            </w:pPr>
            <w:r w:rsidRPr="00F71523">
              <w:t>EMS</w:t>
            </w:r>
          </w:p>
        </w:tc>
        <w:tc>
          <w:tcPr>
            <w:tcW w:w="5888" w:type="dxa"/>
          </w:tcPr>
          <w:p w14:paraId="681D5654" w14:textId="7CEB3E28" w:rsidR="004C0087" w:rsidRPr="00F71523" w:rsidRDefault="004C0087">
            <w:pPr>
              <w:pStyle w:val="TableText"/>
            </w:pPr>
            <w:r w:rsidRPr="00F71523">
              <w:t xml:space="preserve">The </w:t>
            </w:r>
            <w:r w:rsidR="00D40BED">
              <w:t>c</w:t>
            </w:r>
            <w:r w:rsidRPr="00F71523">
              <w:t xml:space="preserve">ontractor’s EMS would be required to be certified to </w:t>
            </w:r>
            <w:r w:rsidRPr="00F71523">
              <w:rPr>
                <w:rStyle w:val="CharacterStyle-Italic"/>
              </w:rPr>
              <w:t xml:space="preserve">AS/NZS ISO 14001: 2015 Environmental management systems – requirements with guidance for use. </w:t>
            </w:r>
            <w:r w:rsidRPr="00F71523">
              <w:t xml:space="preserve">The EMS would be aligned to the requirements of the </w:t>
            </w:r>
            <w:r w:rsidR="00616BFE">
              <w:t xml:space="preserve">MMRA </w:t>
            </w:r>
            <w:r w:rsidRPr="00F71523">
              <w:t>EMS.</w:t>
            </w:r>
          </w:p>
        </w:tc>
      </w:tr>
      <w:tr w:rsidR="004C0087" w:rsidRPr="00F71523" w14:paraId="01AFD772" w14:textId="77777777" w:rsidTr="00387119">
        <w:trPr>
          <w:cantSplit/>
        </w:trPr>
        <w:tc>
          <w:tcPr>
            <w:tcW w:w="1527" w:type="dxa"/>
          </w:tcPr>
          <w:p w14:paraId="4F27C092" w14:textId="77777777" w:rsidR="004C0087" w:rsidRPr="00F71523" w:rsidRDefault="004C0087" w:rsidP="002F1C5F">
            <w:pPr>
              <w:pStyle w:val="TableText"/>
            </w:pPr>
            <w:r w:rsidRPr="00F71523">
              <w:t>Construction Environmental Management Plan (CEMP)</w:t>
            </w:r>
          </w:p>
        </w:tc>
        <w:tc>
          <w:tcPr>
            <w:tcW w:w="5888" w:type="dxa"/>
          </w:tcPr>
          <w:p w14:paraId="431379AE" w14:textId="46C40BE4" w:rsidR="004C0087" w:rsidRPr="00F71523" w:rsidRDefault="004C0087" w:rsidP="002F1C5F">
            <w:pPr>
              <w:pStyle w:val="TableText"/>
            </w:pPr>
            <w:r w:rsidRPr="00F71523">
              <w:t>The CEMP would reflect the requirements of the EM</w:t>
            </w:r>
            <w:r w:rsidR="00440A29">
              <w:t>F</w:t>
            </w:r>
            <w:r w:rsidRPr="00F71523">
              <w:t xml:space="preserve"> and EPA Publication No. 480, </w:t>
            </w:r>
            <w:r w:rsidRPr="009D5805">
              <w:rPr>
                <w:i/>
              </w:rPr>
              <w:t>Environmental Guidelines for Major Construction Sites</w:t>
            </w:r>
            <w:r w:rsidRPr="00F71523">
              <w:t>. The CEMP would be developed to take into account:</w:t>
            </w:r>
          </w:p>
          <w:p w14:paraId="5D2FDD7A" w14:textId="77777777" w:rsidR="004C0087" w:rsidRPr="00F71523" w:rsidRDefault="004C0087" w:rsidP="002F1C5F">
            <w:pPr>
              <w:pStyle w:val="TableBullet1"/>
            </w:pPr>
            <w:r w:rsidRPr="00F71523">
              <w:t>Each construction site’s environmental features</w:t>
            </w:r>
          </w:p>
          <w:p w14:paraId="10508649" w14:textId="77777777" w:rsidR="004C0087" w:rsidRPr="00F71523" w:rsidRDefault="004C0087" w:rsidP="002F1C5F">
            <w:pPr>
              <w:pStyle w:val="TableBullet1"/>
            </w:pPr>
            <w:r w:rsidRPr="00F71523">
              <w:t>The nature of the works to be undertaken</w:t>
            </w:r>
          </w:p>
          <w:p w14:paraId="7C3C66BF" w14:textId="77777777" w:rsidR="004C0087" w:rsidRPr="00F71523" w:rsidRDefault="004C0087" w:rsidP="002F1C5F">
            <w:pPr>
              <w:pStyle w:val="TableBullet1"/>
            </w:pPr>
            <w:r w:rsidRPr="00F71523">
              <w:t>Potential environmental impacts as identified in the EES and activity specific environmental risks</w:t>
            </w:r>
          </w:p>
          <w:p w14:paraId="343EB17D" w14:textId="77777777" w:rsidR="004C0087" w:rsidRPr="00F71523" w:rsidRDefault="004C0087" w:rsidP="002F1C5F">
            <w:pPr>
              <w:pStyle w:val="TableBullet1"/>
            </w:pPr>
            <w:r w:rsidRPr="00F71523">
              <w:t>Permits and/or approvals and related conditions</w:t>
            </w:r>
          </w:p>
          <w:p w14:paraId="642BC4E0" w14:textId="77777777" w:rsidR="004C0087" w:rsidRPr="00F71523" w:rsidRDefault="004C0087" w:rsidP="002F1C5F">
            <w:pPr>
              <w:pStyle w:val="TableBullet1"/>
            </w:pPr>
            <w:r w:rsidRPr="00F71523">
              <w:t>The findings of environmental investigations undertaken by or on behalf of MMRA</w:t>
            </w:r>
          </w:p>
          <w:p w14:paraId="7E2CB59D" w14:textId="1DFAD4E8" w:rsidR="004C0087" w:rsidRPr="00F71523" w:rsidRDefault="004C0087" w:rsidP="002F1C5F">
            <w:pPr>
              <w:pStyle w:val="TableBullet1"/>
            </w:pPr>
            <w:r w:rsidRPr="00F71523">
              <w:t xml:space="preserve">The findings of any environmental investigations undertaken by the </w:t>
            </w:r>
            <w:r w:rsidR="00D40BED">
              <w:t>c</w:t>
            </w:r>
            <w:r w:rsidRPr="00F71523">
              <w:t>ontractor</w:t>
            </w:r>
            <w:r w:rsidR="00055AB3" w:rsidRPr="00F71523">
              <w:t>.</w:t>
            </w:r>
          </w:p>
          <w:p w14:paraId="14404BFD" w14:textId="63D48029" w:rsidR="004C0087" w:rsidRPr="00F71523" w:rsidRDefault="004C0087" w:rsidP="00D40BED">
            <w:pPr>
              <w:pStyle w:val="TableText"/>
            </w:pPr>
            <w:r w:rsidRPr="00F71523">
              <w:t xml:space="preserve">The </w:t>
            </w:r>
            <w:r w:rsidR="00D40BED">
              <w:t>c</w:t>
            </w:r>
            <w:r w:rsidRPr="00F71523">
              <w:t xml:space="preserve">ontractor may choose to develop one CEMP for the entire project or individual CEMPs for each </w:t>
            </w:r>
            <w:r w:rsidR="00D40BED">
              <w:t>p</w:t>
            </w:r>
            <w:r w:rsidRPr="00F71523">
              <w:t xml:space="preserve">recinct or component of the works. Similarly, the </w:t>
            </w:r>
            <w:r w:rsidR="00D40BED">
              <w:t>c</w:t>
            </w:r>
            <w:r w:rsidRPr="00F71523">
              <w:t xml:space="preserve">ontractor may choose to address all of the above environmental impacts within one CEMP or a series of sub-plans for each environmental value. The exception to this is where an Environmental Performance Requirement requires the development of a specific management plan. </w:t>
            </w:r>
          </w:p>
        </w:tc>
      </w:tr>
      <w:tr w:rsidR="0090365A" w:rsidRPr="00F71523" w14:paraId="5FEEFF30" w14:textId="77777777" w:rsidTr="00387119">
        <w:trPr>
          <w:cantSplit/>
        </w:trPr>
        <w:tc>
          <w:tcPr>
            <w:tcW w:w="1527" w:type="dxa"/>
          </w:tcPr>
          <w:p w14:paraId="78557DFC" w14:textId="76856CCD" w:rsidR="0090365A" w:rsidRPr="00F71523" w:rsidRDefault="0090365A" w:rsidP="001A56F8">
            <w:pPr>
              <w:pStyle w:val="TableText"/>
            </w:pPr>
            <w:r w:rsidRPr="00F71523">
              <w:lastRenderedPageBreak/>
              <w:t>Operations Environmental Management Plan (OEMP) (</w:t>
            </w:r>
            <w:r w:rsidR="001A56F8">
              <w:t>f</w:t>
            </w:r>
            <w:r w:rsidRPr="00F71523">
              <w:t xml:space="preserve">or PPP </w:t>
            </w:r>
            <w:r w:rsidR="00947F90">
              <w:t>c</w:t>
            </w:r>
            <w:r w:rsidRPr="00F71523">
              <w:t>ontract)</w:t>
            </w:r>
          </w:p>
        </w:tc>
        <w:tc>
          <w:tcPr>
            <w:tcW w:w="5888" w:type="dxa"/>
          </w:tcPr>
          <w:p w14:paraId="3C59A8D7" w14:textId="0B00C894" w:rsidR="00440A29" w:rsidRDefault="00440A29" w:rsidP="00440A29">
            <w:pPr>
              <w:pStyle w:val="TableText"/>
              <w:numPr>
                <w:ilvl w:val="0"/>
                <w:numId w:val="13"/>
              </w:numPr>
            </w:pPr>
            <w:r>
              <w:t xml:space="preserve">The PPP contractor </w:t>
            </w:r>
            <w:r w:rsidR="00947F90">
              <w:t xml:space="preserve">or </w:t>
            </w:r>
            <w:r w:rsidR="00947F90" w:rsidRPr="00544AF8">
              <w:t>franchisee</w:t>
            </w:r>
            <w:r w:rsidR="00947F90">
              <w:t xml:space="preserve"> as relevant </w:t>
            </w:r>
            <w:r>
              <w:t>would develop an OEMP to reflect the requirements of the EMF and would consider:</w:t>
            </w:r>
          </w:p>
          <w:p w14:paraId="56AF21BC" w14:textId="76735090" w:rsidR="00440A29" w:rsidRDefault="00440A29" w:rsidP="00440A29">
            <w:pPr>
              <w:pStyle w:val="TableBullet1"/>
              <w:numPr>
                <w:ilvl w:val="0"/>
                <w:numId w:val="12"/>
              </w:numPr>
            </w:pPr>
            <w:r>
              <w:t xml:space="preserve">The </w:t>
            </w:r>
            <w:r w:rsidR="001527F0">
              <w:t xml:space="preserve">nature of operational activities and </w:t>
            </w:r>
            <w:r>
              <w:t>environmental features of each station and components of the tunnels being operated</w:t>
            </w:r>
          </w:p>
          <w:p w14:paraId="3EE00BCC" w14:textId="77ABDA86" w:rsidR="001527F0" w:rsidRDefault="001527F0" w:rsidP="001527F0">
            <w:pPr>
              <w:pStyle w:val="TableBullet1"/>
              <w:numPr>
                <w:ilvl w:val="0"/>
                <w:numId w:val="12"/>
              </w:numPr>
            </w:pPr>
            <w:r>
              <w:t xml:space="preserve">Identification of the environmental issues to be managed and the measures to be taken to meet the </w:t>
            </w:r>
            <w:r w:rsidR="00691B15">
              <w:t>E</w:t>
            </w:r>
            <w:r>
              <w:t>nvironmental Performance Requirements</w:t>
            </w:r>
          </w:p>
          <w:p w14:paraId="0DA09A84" w14:textId="77777777" w:rsidR="00440A29" w:rsidRDefault="00440A29" w:rsidP="00440A29">
            <w:pPr>
              <w:pStyle w:val="TableBullet1"/>
              <w:numPr>
                <w:ilvl w:val="0"/>
                <w:numId w:val="12"/>
              </w:numPr>
            </w:pPr>
            <w:r>
              <w:t>Compliance with approval conditions and legislation</w:t>
            </w:r>
          </w:p>
          <w:p w14:paraId="6554626A" w14:textId="77777777" w:rsidR="00440A29" w:rsidRDefault="00440A29" w:rsidP="00440A29">
            <w:pPr>
              <w:pStyle w:val="TableBullet1"/>
              <w:numPr>
                <w:ilvl w:val="0"/>
                <w:numId w:val="12"/>
              </w:numPr>
            </w:pPr>
            <w:r>
              <w:t>Interface with existing stations at Flinders Street and Melbourne Central</w:t>
            </w:r>
          </w:p>
          <w:p w14:paraId="636269BA" w14:textId="042D2157" w:rsidR="001527F0" w:rsidRDefault="001527F0" w:rsidP="001527F0">
            <w:pPr>
              <w:pStyle w:val="TableBullet1"/>
              <w:numPr>
                <w:ilvl w:val="0"/>
                <w:numId w:val="12"/>
              </w:numPr>
            </w:pPr>
            <w:r>
              <w:t>E</w:t>
            </w:r>
            <w:r w:rsidRPr="001527F0">
              <w:t>mergency</w:t>
            </w:r>
            <w:r>
              <w:t xml:space="preserve"> and</w:t>
            </w:r>
            <w:r w:rsidRPr="001527F0">
              <w:t xml:space="preserve"> incident management</w:t>
            </w:r>
          </w:p>
          <w:p w14:paraId="02CF25EF" w14:textId="16EB2FA8" w:rsidR="0090365A" w:rsidRPr="00F71523" w:rsidRDefault="00440A29" w:rsidP="00947F90">
            <w:pPr>
              <w:pStyle w:val="TableText"/>
              <w:numPr>
                <w:ilvl w:val="0"/>
                <w:numId w:val="13"/>
              </w:numPr>
            </w:pPr>
            <w:r>
              <w:t>The contractor may choose to have separate or a consolidate</w:t>
            </w:r>
            <w:r w:rsidR="001527F0">
              <w:t>d OEMP</w:t>
            </w:r>
            <w:r>
              <w:t xml:space="preserve"> for </w:t>
            </w:r>
            <w:r w:rsidR="00947F90">
              <w:t>the different elements of the infrastructure</w:t>
            </w:r>
            <w:r>
              <w:t>, depending on the impacts to be managed.</w:t>
            </w:r>
          </w:p>
        </w:tc>
      </w:tr>
      <w:tr w:rsidR="004C0087" w:rsidRPr="00F71523" w14:paraId="32B64B28" w14:textId="77777777" w:rsidTr="00387119">
        <w:trPr>
          <w:cantSplit/>
        </w:trPr>
        <w:tc>
          <w:tcPr>
            <w:tcW w:w="1527" w:type="dxa"/>
          </w:tcPr>
          <w:p w14:paraId="51E8DC2C" w14:textId="77777777" w:rsidR="004C0087" w:rsidRPr="00F71523" w:rsidRDefault="004C0087" w:rsidP="002F1C5F">
            <w:pPr>
              <w:pStyle w:val="TableText"/>
            </w:pPr>
            <w:r w:rsidRPr="00F71523">
              <w:t>Traffic Management Plan (TMP)</w:t>
            </w:r>
          </w:p>
        </w:tc>
        <w:tc>
          <w:tcPr>
            <w:tcW w:w="5888" w:type="dxa"/>
          </w:tcPr>
          <w:p w14:paraId="6D5360D2" w14:textId="6D638B9C" w:rsidR="004C0087" w:rsidRPr="00F71523" w:rsidRDefault="004C0087" w:rsidP="0086608F">
            <w:pPr>
              <w:pStyle w:val="TableText"/>
            </w:pPr>
            <w:r w:rsidRPr="00F71523">
              <w:t xml:space="preserve">The TMP would provide the means by which the </w:t>
            </w:r>
            <w:r w:rsidR="0086608F">
              <w:t>c</w:t>
            </w:r>
            <w:r w:rsidRPr="00F71523">
              <w:t>ontractor would minimise disruption to traffic, car parking, pedestrian and bicycle movements during construction.</w:t>
            </w:r>
          </w:p>
        </w:tc>
      </w:tr>
      <w:tr w:rsidR="004C0087" w:rsidRPr="00F71523" w14:paraId="43F00BDC" w14:textId="77777777" w:rsidTr="00387119">
        <w:trPr>
          <w:cantSplit/>
        </w:trPr>
        <w:tc>
          <w:tcPr>
            <w:tcW w:w="1527" w:type="dxa"/>
          </w:tcPr>
          <w:p w14:paraId="166E028B" w14:textId="77777777" w:rsidR="004C0087" w:rsidRPr="00F71523" w:rsidRDefault="004C0087" w:rsidP="002F1C5F">
            <w:pPr>
              <w:pStyle w:val="TableText"/>
            </w:pPr>
            <w:r w:rsidRPr="00F71523">
              <w:t>Site Environment Implementation Plans (SEIPs)</w:t>
            </w:r>
          </w:p>
        </w:tc>
        <w:tc>
          <w:tcPr>
            <w:tcW w:w="5888" w:type="dxa"/>
          </w:tcPr>
          <w:p w14:paraId="15644D24" w14:textId="448B176A" w:rsidR="004C0087" w:rsidRPr="00F71523" w:rsidRDefault="004C0087" w:rsidP="00D40BED">
            <w:pPr>
              <w:pStyle w:val="TableText"/>
            </w:pPr>
            <w:r w:rsidRPr="00F71523">
              <w:t xml:space="preserve">Site specific plans identifying </w:t>
            </w:r>
            <w:r w:rsidR="00440A29">
              <w:t>site</w:t>
            </w:r>
            <w:r w:rsidR="00D40BED">
              <w:t>-</w:t>
            </w:r>
            <w:r w:rsidR="00440A29">
              <w:t xml:space="preserve">specific </w:t>
            </w:r>
            <w:r w:rsidRPr="00F71523">
              <w:t>environmental control measures to be implemented</w:t>
            </w:r>
            <w:r w:rsidR="00127D39" w:rsidRPr="00F71523">
              <w:t>.</w:t>
            </w:r>
          </w:p>
        </w:tc>
      </w:tr>
      <w:tr w:rsidR="004C0087" w:rsidRPr="00F71523" w14:paraId="5CF6B409" w14:textId="77777777" w:rsidTr="00387119">
        <w:trPr>
          <w:cantSplit/>
        </w:trPr>
        <w:tc>
          <w:tcPr>
            <w:tcW w:w="1527" w:type="dxa"/>
          </w:tcPr>
          <w:p w14:paraId="6B03D016" w14:textId="77777777" w:rsidR="004C0087" w:rsidRPr="00F71523" w:rsidRDefault="004C0087" w:rsidP="002F1C5F">
            <w:pPr>
              <w:pStyle w:val="TableText"/>
            </w:pPr>
            <w:r w:rsidRPr="00F71523">
              <w:t>Work Method Statements</w:t>
            </w:r>
          </w:p>
        </w:tc>
        <w:tc>
          <w:tcPr>
            <w:tcW w:w="5888" w:type="dxa"/>
          </w:tcPr>
          <w:p w14:paraId="0C52BBAE" w14:textId="77777777" w:rsidR="004C0087" w:rsidRPr="00F71523" w:rsidRDefault="004C0087" w:rsidP="00127D39">
            <w:pPr>
              <w:pStyle w:val="TableText"/>
            </w:pPr>
            <w:r w:rsidRPr="00F71523">
              <w:t>Description of work activities, approvals required and risk assessment and control measures</w:t>
            </w:r>
            <w:r w:rsidR="00127D39" w:rsidRPr="00F71523">
              <w:t>.</w:t>
            </w:r>
          </w:p>
        </w:tc>
      </w:tr>
      <w:tr w:rsidR="004C0087" w:rsidRPr="00F71523" w14:paraId="7E4EF2C2" w14:textId="77777777" w:rsidTr="00387119">
        <w:trPr>
          <w:cantSplit/>
        </w:trPr>
        <w:tc>
          <w:tcPr>
            <w:tcW w:w="1527" w:type="dxa"/>
          </w:tcPr>
          <w:p w14:paraId="7F65B573" w14:textId="77777777" w:rsidR="004C0087" w:rsidRPr="00F71523" w:rsidRDefault="004C0087" w:rsidP="002F1C5F">
            <w:pPr>
              <w:pStyle w:val="TableText"/>
            </w:pPr>
            <w:r w:rsidRPr="00F71523">
              <w:t>Records and Checklists</w:t>
            </w:r>
          </w:p>
        </w:tc>
        <w:tc>
          <w:tcPr>
            <w:tcW w:w="5888" w:type="dxa"/>
          </w:tcPr>
          <w:p w14:paraId="7BEF0A77" w14:textId="77777777" w:rsidR="004C0087" w:rsidRPr="00F71523" w:rsidRDefault="004C0087" w:rsidP="009E42D8">
            <w:pPr>
              <w:pStyle w:val="TableBullet1"/>
            </w:pPr>
            <w:r w:rsidRPr="00F71523">
              <w:t>Monitoring and inspection records</w:t>
            </w:r>
          </w:p>
          <w:p w14:paraId="1C7163A7" w14:textId="1EEFE113" w:rsidR="004C0087" w:rsidRPr="00F71523" w:rsidRDefault="004C0087" w:rsidP="009E42D8">
            <w:pPr>
              <w:pStyle w:val="TableBullet1"/>
            </w:pPr>
            <w:r w:rsidRPr="00F71523">
              <w:t>Checklists (</w:t>
            </w:r>
            <w:r w:rsidR="00612922">
              <w:t>e.g.</w:t>
            </w:r>
            <w:r w:rsidRPr="00F71523">
              <w:t xml:space="preserve"> environmental site inspection checklist)</w:t>
            </w:r>
          </w:p>
          <w:p w14:paraId="4508D137" w14:textId="739A640D" w:rsidR="004C0087" w:rsidRPr="00F71523" w:rsidRDefault="004C0087" w:rsidP="009E42D8">
            <w:pPr>
              <w:pStyle w:val="TableBullet1"/>
            </w:pPr>
            <w:r w:rsidRPr="00F71523">
              <w:t>Records (</w:t>
            </w:r>
            <w:r w:rsidR="00612922">
              <w:t>e.g.</w:t>
            </w:r>
            <w:r w:rsidRPr="00F71523">
              <w:t xml:space="preserve"> training/competency records, waste transport and disposal certificates)</w:t>
            </w:r>
            <w:r w:rsidR="00127D39" w:rsidRPr="00F71523">
              <w:t>.</w:t>
            </w:r>
          </w:p>
        </w:tc>
      </w:tr>
    </w:tbl>
    <w:p w14:paraId="72B7236E" w14:textId="77777777" w:rsidR="00CD3351" w:rsidRDefault="00CD3351" w:rsidP="00CD3351">
      <w:pPr>
        <w:pStyle w:val="Source"/>
      </w:pPr>
    </w:p>
    <w:p w14:paraId="35C3FD21" w14:textId="77777777" w:rsidR="009E42D8" w:rsidRPr="00F71523" w:rsidRDefault="009E42D8" w:rsidP="009E42D8">
      <w:pPr>
        <w:pStyle w:val="Heading3"/>
      </w:pPr>
      <w:r w:rsidRPr="00F71523">
        <w:t>Change Management</w:t>
      </w:r>
    </w:p>
    <w:p w14:paraId="3AD2B02F" w14:textId="79B59F04" w:rsidR="009E42D8" w:rsidRPr="00F71523" w:rsidRDefault="009E42D8" w:rsidP="00C257CE">
      <w:pPr>
        <w:pStyle w:val="BodyText"/>
        <w:ind w:right="-113"/>
      </w:pPr>
      <w:r w:rsidRPr="00F71523">
        <w:t xml:space="preserve">Revisions to MMRA and contractor documentation may be required as a result of changes in activities and work practices, changes to legislation, risks, or as a result of findings from internal or external audits, incidents or complaints. The </w:t>
      </w:r>
      <w:r w:rsidR="0086608F">
        <w:t>c</w:t>
      </w:r>
      <w:r w:rsidRPr="00F71523">
        <w:t>ontractors' EMS</w:t>
      </w:r>
      <w:r w:rsidR="00440A29">
        <w:t>,</w:t>
      </w:r>
      <w:r w:rsidRPr="00F71523">
        <w:t xml:space="preserve"> CEMP </w:t>
      </w:r>
      <w:r w:rsidR="00440A29">
        <w:t xml:space="preserve">and OEMP </w:t>
      </w:r>
      <w:r w:rsidRPr="00F71523">
        <w:t xml:space="preserve">would be controlled documents and would be developed, approved, implemented and revised in accordance with </w:t>
      </w:r>
      <w:r w:rsidRPr="00F71523">
        <w:fldChar w:fldCharType="begin"/>
      </w:r>
      <w:r w:rsidRPr="00F71523">
        <w:instrText xml:space="preserve"> REF _Ref444491026 \h </w:instrText>
      </w:r>
      <w:r w:rsidRPr="00F71523">
        <w:fldChar w:fldCharType="separate"/>
      </w:r>
      <w:r w:rsidR="002F5366" w:rsidRPr="00F71523">
        <w:t>Table </w:t>
      </w:r>
      <w:r w:rsidR="002F5366">
        <w:rPr>
          <w:noProof/>
          <w:cs/>
        </w:rPr>
        <w:t>‎</w:t>
      </w:r>
      <w:r w:rsidR="002F5366">
        <w:rPr>
          <w:noProof/>
        </w:rPr>
        <w:t>23</w:t>
      </w:r>
      <w:r w:rsidR="002F5366" w:rsidRPr="00F71523">
        <w:t>–</w:t>
      </w:r>
      <w:r w:rsidR="002F5366">
        <w:rPr>
          <w:noProof/>
        </w:rPr>
        <w:t>4</w:t>
      </w:r>
      <w:r w:rsidRPr="00F71523">
        <w:fldChar w:fldCharType="end"/>
      </w:r>
      <w:r w:rsidRPr="00F71523">
        <w:t>.</w:t>
      </w:r>
    </w:p>
    <w:p w14:paraId="3FBDC2B5" w14:textId="6B81417A" w:rsidR="009E42D8" w:rsidRPr="00F71523" w:rsidRDefault="009E42D8" w:rsidP="009E42D8">
      <w:pPr>
        <w:pStyle w:val="BodyText"/>
      </w:pPr>
      <w:r w:rsidRPr="00F71523">
        <w:t xml:space="preserve">The </w:t>
      </w:r>
      <w:r w:rsidR="0086608F">
        <w:t>c</w:t>
      </w:r>
      <w:r w:rsidRPr="00F71523">
        <w:t>ontractor would be required to submit all major revisions to environmental documentation to MMRA for approval. Major revisions are defined as changes that affect work practices, roles and responsibilities, environmental risks and overall project delivery. Minor revisions are defined as addressing typographical errors, formatting and other administrative detail.</w:t>
      </w:r>
    </w:p>
    <w:p w14:paraId="6DE3661A" w14:textId="173ADA0C" w:rsidR="009E42D8" w:rsidRPr="00F71523" w:rsidRDefault="009E42D8" w:rsidP="009E42D8">
      <w:pPr>
        <w:pStyle w:val="BodyText"/>
      </w:pPr>
      <w:r w:rsidRPr="00F71523">
        <w:t xml:space="preserve">An outline of the review and approval requirements for the key environmental management documents of the EMF is provided in </w:t>
      </w:r>
      <w:r w:rsidRPr="00F71523">
        <w:fldChar w:fldCharType="begin"/>
      </w:r>
      <w:r w:rsidRPr="00F71523">
        <w:instrText xml:space="preserve"> REF _Ref444491026 \h </w:instrText>
      </w:r>
      <w:r w:rsidRPr="00F71523">
        <w:fldChar w:fldCharType="separate"/>
      </w:r>
      <w:r w:rsidR="002F5366" w:rsidRPr="00F71523">
        <w:t>Table </w:t>
      </w:r>
      <w:r w:rsidR="002F5366">
        <w:rPr>
          <w:noProof/>
          <w:cs/>
        </w:rPr>
        <w:t>‎</w:t>
      </w:r>
      <w:r w:rsidR="002F5366">
        <w:rPr>
          <w:noProof/>
        </w:rPr>
        <w:t>23</w:t>
      </w:r>
      <w:r w:rsidR="002F5366" w:rsidRPr="00F71523">
        <w:t>–</w:t>
      </w:r>
      <w:r w:rsidR="002F5366">
        <w:rPr>
          <w:noProof/>
        </w:rPr>
        <w:t>4</w:t>
      </w:r>
      <w:r w:rsidRPr="00F71523">
        <w:fldChar w:fldCharType="end"/>
      </w:r>
      <w:r w:rsidRPr="00F71523">
        <w:t>.</w:t>
      </w:r>
    </w:p>
    <w:p w14:paraId="47D0F72B" w14:textId="0C9FD1E3" w:rsidR="009E42D8" w:rsidRPr="00F71523" w:rsidRDefault="009E42D8" w:rsidP="009E42D8">
      <w:pPr>
        <w:pStyle w:val="Caption"/>
      </w:pPr>
      <w:bookmarkStart w:id="22" w:name="_Ref444491026"/>
      <w:r w:rsidRPr="00F71523">
        <w:lastRenderedPageBreak/>
        <w:t>Table </w:t>
      </w:r>
      <w:fldSimple w:instr=" STYLEREF 1 \s ">
        <w:r w:rsidR="002F5366">
          <w:rPr>
            <w:noProof/>
            <w:cs/>
          </w:rPr>
          <w:t>‎</w:t>
        </w:r>
        <w:r w:rsidR="002F5366">
          <w:rPr>
            <w:noProof/>
          </w:rPr>
          <w:t>23</w:t>
        </w:r>
      </w:fldSimple>
      <w:r w:rsidRPr="00F71523">
        <w:t>–</w:t>
      </w:r>
      <w:fldSimple w:instr=" SEQ Table \* ARABIC \s 1 ">
        <w:r w:rsidR="002F5366">
          <w:rPr>
            <w:noProof/>
          </w:rPr>
          <w:t>4</w:t>
        </w:r>
      </w:fldSimple>
      <w:bookmarkEnd w:id="22"/>
      <w:r w:rsidRPr="00F71523">
        <w:tab/>
        <w:t>Environmental documentation approval requirements</w:t>
      </w:r>
      <w:r w:rsidR="004C0087" w:rsidRPr="00F71523">
        <w:t xml:space="preserve"> </w:t>
      </w:r>
    </w:p>
    <w:tbl>
      <w:tblPr>
        <w:tblStyle w:val="MainTableStyle"/>
        <w:tblW w:w="7365" w:type="dxa"/>
        <w:tblLayout w:type="fixed"/>
        <w:tblCellMar>
          <w:right w:w="57" w:type="dxa"/>
        </w:tblCellMar>
        <w:tblLook w:val="04A0" w:firstRow="1" w:lastRow="0" w:firstColumn="1" w:lastColumn="0" w:noHBand="0" w:noVBand="1"/>
      </w:tblPr>
      <w:tblGrid>
        <w:gridCol w:w="1483"/>
        <w:gridCol w:w="2410"/>
        <w:gridCol w:w="1118"/>
        <w:gridCol w:w="1236"/>
        <w:gridCol w:w="1118"/>
      </w:tblGrid>
      <w:tr w:rsidR="00440A29" w:rsidRPr="00F71523" w14:paraId="7C0B8087" w14:textId="77777777" w:rsidTr="00CB06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3" w:type="dxa"/>
          </w:tcPr>
          <w:p w14:paraId="36A7130D" w14:textId="77777777" w:rsidR="00440A29" w:rsidRPr="00F71523" w:rsidRDefault="00440A29" w:rsidP="00BE3230">
            <w:pPr>
              <w:pStyle w:val="TableText"/>
            </w:pPr>
            <w:r w:rsidRPr="00F71523">
              <w:t>Document and Version</w:t>
            </w:r>
          </w:p>
        </w:tc>
        <w:tc>
          <w:tcPr>
            <w:tcW w:w="2410" w:type="dxa"/>
          </w:tcPr>
          <w:p w14:paraId="429298D0" w14:textId="77777777" w:rsidR="00440A29" w:rsidRPr="00F71523" w:rsidRDefault="00440A29" w:rsidP="00BE3230">
            <w:pPr>
              <w:pStyle w:val="TableText"/>
              <w:cnfStyle w:val="100000000000" w:firstRow="1" w:lastRow="0" w:firstColumn="0" w:lastColumn="0" w:oddVBand="0" w:evenVBand="0" w:oddHBand="0" w:evenHBand="0" w:firstRowFirstColumn="0" w:firstRowLastColumn="0" w:lastRowFirstColumn="0" w:lastRowLastColumn="0"/>
            </w:pPr>
            <w:r w:rsidRPr="00F71523">
              <w:t>Description</w:t>
            </w:r>
          </w:p>
        </w:tc>
        <w:tc>
          <w:tcPr>
            <w:tcW w:w="1118" w:type="dxa"/>
          </w:tcPr>
          <w:p w14:paraId="0CFD3B28" w14:textId="77777777" w:rsidR="00440A29" w:rsidRPr="00F71523" w:rsidRDefault="00440A29" w:rsidP="009D5805">
            <w:pPr>
              <w:pStyle w:val="TableText"/>
              <w:cnfStyle w:val="100000000000" w:firstRow="1" w:lastRow="0" w:firstColumn="0" w:lastColumn="0" w:oddVBand="0" w:evenVBand="0" w:oddHBand="0" w:evenHBand="0" w:firstRowFirstColumn="0" w:firstRowLastColumn="0" w:lastRowFirstColumn="0" w:lastRowLastColumn="0"/>
            </w:pPr>
            <w:r w:rsidRPr="00F71523">
              <w:t>Minister for Planning</w:t>
            </w:r>
          </w:p>
        </w:tc>
        <w:tc>
          <w:tcPr>
            <w:tcW w:w="1236" w:type="dxa"/>
          </w:tcPr>
          <w:p w14:paraId="69D32DF8" w14:textId="6A43B220" w:rsidR="00440A29" w:rsidRPr="00F71523" w:rsidRDefault="00440A29" w:rsidP="009D5805">
            <w:pPr>
              <w:pStyle w:val="TableText"/>
              <w:cnfStyle w:val="100000000000" w:firstRow="1" w:lastRow="0" w:firstColumn="0" w:lastColumn="0" w:oddVBand="0" w:evenVBand="0" w:oddHBand="0" w:evenHBand="0" w:firstRowFirstColumn="0" w:firstRowLastColumn="0" w:lastRowFirstColumn="0" w:lastRowLastColumn="0"/>
            </w:pPr>
            <w:r>
              <w:t>Independent Reviewer for PPP</w:t>
            </w:r>
          </w:p>
        </w:tc>
        <w:tc>
          <w:tcPr>
            <w:tcW w:w="1118" w:type="dxa"/>
          </w:tcPr>
          <w:p w14:paraId="65976506" w14:textId="42156C76" w:rsidR="00440A29" w:rsidRPr="00F71523" w:rsidRDefault="004B1BDF" w:rsidP="009D5805">
            <w:pPr>
              <w:pStyle w:val="TableText"/>
              <w:cnfStyle w:val="100000000000" w:firstRow="1" w:lastRow="0" w:firstColumn="0" w:lastColumn="0" w:oddVBand="0" w:evenVBand="0" w:oddHBand="0" w:evenHBand="0" w:firstRowFirstColumn="0" w:firstRowLastColumn="0" w:lastRowFirstColumn="0" w:lastRowLastColumn="0"/>
            </w:pPr>
            <w:r>
              <w:t>MMRA for other contracts</w:t>
            </w:r>
            <w:r w:rsidR="00440A29">
              <w:t>*</w:t>
            </w:r>
          </w:p>
        </w:tc>
      </w:tr>
      <w:tr w:rsidR="009E42D8" w:rsidRPr="00F71523" w14:paraId="54C65913" w14:textId="77777777" w:rsidTr="00CB066E">
        <w:trPr>
          <w:cantSplit/>
        </w:trPr>
        <w:tc>
          <w:tcPr>
            <w:cnfStyle w:val="001000000000" w:firstRow="0" w:lastRow="0" w:firstColumn="1" w:lastColumn="0" w:oddVBand="0" w:evenVBand="0" w:oddHBand="0" w:evenHBand="0" w:firstRowFirstColumn="0" w:firstRowLastColumn="0" w:lastRowFirstColumn="0" w:lastRowLastColumn="0"/>
            <w:tcW w:w="1483" w:type="dxa"/>
          </w:tcPr>
          <w:p w14:paraId="604EA3B7" w14:textId="77777777" w:rsidR="009E42D8" w:rsidRPr="00F71523" w:rsidRDefault="009E42D8" w:rsidP="00CB066E">
            <w:pPr>
              <w:pStyle w:val="TableText"/>
              <w:spacing w:before="60" w:after="60"/>
            </w:pPr>
            <w:r w:rsidRPr="00F71523">
              <w:t xml:space="preserve">EMF </w:t>
            </w:r>
            <w:r w:rsidR="004C0087" w:rsidRPr="00F71523">
              <w:t xml:space="preserve">and </w:t>
            </w:r>
            <w:r w:rsidRPr="00F71523">
              <w:t>Environmental Performance Requirements – Initial version</w:t>
            </w:r>
          </w:p>
        </w:tc>
        <w:tc>
          <w:tcPr>
            <w:tcW w:w="2410" w:type="dxa"/>
          </w:tcPr>
          <w:p w14:paraId="43EB9A3E" w14:textId="4AEEC7DA" w:rsidR="009E42D8" w:rsidRPr="00F71523" w:rsidRDefault="009E42D8" w:rsidP="00CB066E">
            <w:pPr>
              <w:pStyle w:val="TableText"/>
              <w:spacing w:before="60" w:after="60"/>
              <w:cnfStyle w:val="000000000000" w:firstRow="0" w:lastRow="0" w:firstColumn="0" w:lastColumn="0" w:oddVBand="0" w:evenVBand="0" w:oddHBand="0" w:evenHBand="0" w:firstRowFirstColumn="0" w:firstRowLastColumn="0" w:lastRowFirstColumn="0" w:lastRowLastColumn="0"/>
            </w:pPr>
            <w:r w:rsidRPr="00F71523">
              <w:t xml:space="preserve">Initial EMF and Environmental Performance Requirements </w:t>
            </w:r>
            <w:r w:rsidR="00440A29">
              <w:t>approved</w:t>
            </w:r>
            <w:r w:rsidR="00440A29" w:rsidRPr="00F71523">
              <w:t xml:space="preserve"> </w:t>
            </w:r>
            <w:r w:rsidRPr="00F71523">
              <w:t>as part of the EES</w:t>
            </w:r>
          </w:p>
        </w:tc>
        <w:tc>
          <w:tcPr>
            <w:tcW w:w="1118" w:type="dxa"/>
          </w:tcPr>
          <w:p w14:paraId="4089128B" w14:textId="77777777" w:rsidR="009E42D8" w:rsidRPr="00F71523" w:rsidRDefault="009E42D8" w:rsidP="009D5805">
            <w:pPr>
              <w:pStyle w:val="TableText"/>
              <w:spacing w:before="60" w:after="60"/>
              <w:cnfStyle w:val="000000000000" w:firstRow="0" w:lastRow="0" w:firstColumn="0" w:lastColumn="0" w:oddVBand="0" w:evenVBand="0" w:oddHBand="0" w:evenHBand="0" w:firstRowFirstColumn="0" w:firstRowLastColumn="0" w:lastRowFirstColumn="0" w:lastRowLastColumn="0"/>
            </w:pPr>
            <w:r w:rsidRPr="00F71523">
              <w:t>Approval required</w:t>
            </w:r>
          </w:p>
        </w:tc>
        <w:tc>
          <w:tcPr>
            <w:tcW w:w="1236" w:type="dxa"/>
          </w:tcPr>
          <w:p w14:paraId="6599260D" w14:textId="4575DFFE" w:rsidR="009E42D8" w:rsidRPr="00F71523" w:rsidRDefault="009E42D8" w:rsidP="009D5805">
            <w:pPr>
              <w:pStyle w:val="TableText"/>
              <w:spacing w:before="60" w:after="60"/>
              <w:cnfStyle w:val="000000000000" w:firstRow="0" w:lastRow="0" w:firstColumn="0" w:lastColumn="0" w:oddVBand="0" w:evenVBand="0" w:oddHBand="0" w:evenHBand="0" w:firstRowFirstColumn="0" w:firstRowLastColumn="0" w:lastRowFirstColumn="0" w:lastRowLastColumn="0"/>
            </w:pPr>
          </w:p>
        </w:tc>
        <w:tc>
          <w:tcPr>
            <w:tcW w:w="1118" w:type="dxa"/>
          </w:tcPr>
          <w:p w14:paraId="3F55AC78" w14:textId="77777777" w:rsidR="009E42D8" w:rsidRPr="00F71523" w:rsidRDefault="009E42D8" w:rsidP="009D5805">
            <w:pPr>
              <w:pStyle w:val="TableText"/>
              <w:spacing w:before="60" w:after="60"/>
              <w:cnfStyle w:val="000000000000" w:firstRow="0" w:lastRow="0" w:firstColumn="0" w:lastColumn="0" w:oddVBand="0" w:evenVBand="0" w:oddHBand="0" w:evenHBand="0" w:firstRowFirstColumn="0" w:firstRowLastColumn="0" w:lastRowFirstColumn="0" w:lastRowLastColumn="0"/>
            </w:pPr>
          </w:p>
        </w:tc>
      </w:tr>
      <w:tr w:rsidR="009E42D8" w:rsidRPr="00F71523" w14:paraId="624ABBD7" w14:textId="77777777" w:rsidTr="00CB066E">
        <w:trPr>
          <w:cantSplit/>
        </w:trPr>
        <w:tc>
          <w:tcPr>
            <w:cnfStyle w:val="001000000000" w:firstRow="0" w:lastRow="0" w:firstColumn="1" w:lastColumn="0" w:oddVBand="0" w:evenVBand="0" w:oddHBand="0" w:evenHBand="0" w:firstRowFirstColumn="0" w:firstRowLastColumn="0" w:lastRowFirstColumn="0" w:lastRowLastColumn="0"/>
            <w:tcW w:w="1483" w:type="dxa"/>
          </w:tcPr>
          <w:p w14:paraId="585413CE" w14:textId="77777777" w:rsidR="009E42D8" w:rsidRPr="00F71523" w:rsidRDefault="009E42D8" w:rsidP="00CB066E">
            <w:pPr>
              <w:pStyle w:val="TableText"/>
              <w:spacing w:before="60" w:after="60"/>
            </w:pPr>
            <w:r w:rsidRPr="00F71523">
              <w:t xml:space="preserve">EMF </w:t>
            </w:r>
            <w:r w:rsidR="004C0087" w:rsidRPr="00F71523">
              <w:t xml:space="preserve">and </w:t>
            </w:r>
            <w:r w:rsidRPr="00F71523">
              <w:t>Environmental Performance Requirements – Subsequent versions</w:t>
            </w:r>
          </w:p>
        </w:tc>
        <w:tc>
          <w:tcPr>
            <w:tcW w:w="2410" w:type="dxa"/>
          </w:tcPr>
          <w:p w14:paraId="2C88A0E0" w14:textId="77777777" w:rsidR="009E42D8" w:rsidRPr="00F71523" w:rsidRDefault="009E42D8" w:rsidP="00CB066E">
            <w:pPr>
              <w:pStyle w:val="TableText"/>
              <w:spacing w:before="60" w:after="60"/>
              <w:cnfStyle w:val="000000000000" w:firstRow="0" w:lastRow="0" w:firstColumn="0" w:lastColumn="0" w:oddVBand="0" w:evenVBand="0" w:oddHBand="0" w:evenHBand="0" w:firstRowFirstColumn="0" w:firstRowLastColumn="0" w:lastRowFirstColumn="0" w:lastRowLastColumn="0"/>
            </w:pPr>
            <w:r w:rsidRPr="00F71523">
              <w:t>Major revisions to the EMF or Environmental Performance Requirements</w:t>
            </w:r>
          </w:p>
        </w:tc>
        <w:tc>
          <w:tcPr>
            <w:tcW w:w="1118" w:type="dxa"/>
          </w:tcPr>
          <w:p w14:paraId="10907F74" w14:textId="77777777" w:rsidR="009E42D8" w:rsidRPr="00F71523" w:rsidRDefault="009E42D8" w:rsidP="009D5805">
            <w:pPr>
              <w:pStyle w:val="TableText"/>
              <w:spacing w:before="60" w:after="60"/>
              <w:cnfStyle w:val="000000000000" w:firstRow="0" w:lastRow="0" w:firstColumn="0" w:lastColumn="0" w:oddVBand="0" w:evenVBand="0" w:oddHBand="0" w:evenHBand="0" w:firstRowFirstColumn="0" w:firstRowLastColumn="0" w:lastRowFirstColumn="0" w:lastRowLastColumn="0"/>
            </w:pPr>
            <w:r w:rsidRPr="00F71523">
              <w:t>Approval required</w:t>
            </w:r>
          </w:p>
        </w:tc>
        <w:tc>
          <w:tcPr>
            <w:tcW w:w="1236" w:type="dxa"/>
          </w:tcPr>
          <w:p w14:paraId="127642F6" w14:textId="77777777" w:rsidR="009E42D8" w:rsidRPr="00F71523" w:rsidRDefault="009E42D8" w:rsidP="009D5805">
            <w:pPr>
              <w:pStyle w:val="TableText"/>
              <w:spacing w:before="60" w:after="60"/>
              <w:cnfStyle w:val="000000000000" w:firstRow="0" w:lastRow="0" w:firstColumn="0" w:lastColumn="0" w:oddVBand="0" w:evenVBand="0" w:oddHBand="0" w:evenHBand="0" w:firstRowFirstColumn="0" w:firstRowLastColumn="0" w:lastRowFirstColumn="0" w:lastRowLastColumn="0"/>
            </w:pPr>
          </w:p>
        </w:tc>
        <w:tc>
          <w:tcPr>
            <w:tcW w:w="1118" w:type="dxa"/>
          </w:tcPr>
          <w:p w14:paraId="5BF76A07" w14:textId="77777777" w:rsidR="00440A29" w:rsidRDefault="00440A29" w:rsidP="009D5805">
            <w:pPr>
              <w:pStyle w:val="TableText"/>
              <w:numPr>
                <w:ilvl w:val="0"/>
                <w:numId w:val="13"/>
              </w:numPr>
              <w:spacing w:before="60" w:after="60"/>
              <w:cnfStyle w:val="000000000000" w:firstRow="0" w:lastRow="0" w:firstColumn="0" w:lastColumn="0" w:oddVBand="0" w:evenVBand="0" w:oddHBand="0" w:evenHBand="0" w:firstRowFirstColumn="0" w:firstRowLastColumn="0" w:lastRowFirstColumn="0" w:lastRowLastColumn="0"/>
            </w:pPr>
            <w:r>
              <w:t>Review and evaluate</w:t>
            </w:r>
          </w:p>
          <w:p w14:paraId="5DF38539" w14:textId="755A178E" w:rsidR="009E42D8" w:rsidRPr="00F71523" w:rsidRDefault="00440A29" w:rsidP="009D5805">
            <w:pPr>
              <w:pStyle w:val="TableText"/>
              <w:spacing w:before="60" w:after="60"/>
              <w:cnfStyle w:val="000000000000" w:firstRow="0" w:lastRow="0" w:firstColumn="0" w:lastColumn="0" w:oddVBand="0" w:evenVBand="0" w:oddHBand="0" w:evenHBand="0" w:firstRowFirstColumn="0" w:firstRowLastColumn="0" w:lastRowFirstColumn="0" w:lastRowLastColumn="0"/>
            </w:pPr>
            <w:r>
              <w:t>OVGA Design Review</w:t>
            </w:r>
          </w:p>
        </w:tc>
      </w:tr>
      <w:tr w:rsidR="009E42D8" w:rsidRPr="00F71523" w14:paraId="3D2B8FE4" w14:textId="77777777" w:rsidTr="00CB066E">
        <w:trPr>
          <w:cantSplit/>
        </w:trPr>
        <w:tc>
          <w:tcPr>
            <w:cnfStyle w:val="001000000000" w:firstRow="0" w:lastRow="0" w:firstColumn="1" w:lastColumn="0" w:oddVBand="0" w:evenVBand="0" w:oddHBand="0" w:evenHBand="0" w:firstRowFirstColumn="0" w:firstRowLastColumn="0" w:lastRowFirstColumn="0" w:lastRowLastColumn="0"/>
            <w:tcW w:w="1483" w:type="dxa"/>
          </w:tcPr>
          <w:p w14:paraId="681502AA" w14:textId="0E498ADD" w:rsidR="009E42D8" w:rsidRPr="00F71523" w:rsidRDefault="009E42D8" w:rsidP="00CB066E">
            <w:pPr>
              <w:pStyle w:val="TableText"/>
              <w:spacing w:before="60" w:after="60"/>
            </w:pPr>
            <w:r w:rsidRPr="00F71523">
              <w:t xml:space="preserve">Outline </w:t>
            </w:r>
            <w:r w:rsidR="00440A29">
              <w:t>C</w:t>
            </w:r>
            <w:r w:rsidRPr="00F71523">
              <w:t>EMP</w:t>
            </w:r>
          </w:p>
        </w:tc>
        <w:tc>
          <w:tcPr>
            <w:tcW w:w="2410" w:type="dxa"/>
          </w:tcPr>
          <w:p w14:paraId="0914329D" w14:textId="366102AC" w:rsidR="009E42D8" w:rsidRPr="00F71523" w:rsidRDefault="009E42D8" w:rsidP="00CB066E">
            <w:pPr>
              <w:pStyle w:val="TableText"/>
              <w:spacing w:before="60" w:after="60"/>
              <w:cnfStyle w:val="000000000000" w:firstRow="0" w:lastRow="0" w:firstColumn="0" w:lastColumn="0" w:oddVBand="0" w:evenVBand="0" w:oddHBand="0" w:evenHBand="0" w:firstRowFirstColumn="0" w:firstRowLastColumn="0" w:lastRowFirstColumn="0" w:lastRowLastColumn="0"/>
            </w:pPr>
            <w:r w:rsidRPr="00F71523">
              <w:t xml:space="preserve">Outline </w:t>
            </w:r>
            <w:r w:rsidR="00440A29">
              <w:t>C</w:t>
            </w:r>
            <w:r w:rsidRPr="00F71523">
              <w:t>EMP provided during bidding</w:t>
            </w:r>
          </w:p>
        </w:tc>
        <w:tc>
          <w:tcPr>
            <w:tcW w:w="1118" w:type="dxa"/>
          </w:tcPr>
          <w:p w14:paraId="66E6785D" w14:textId="77777777" w:rsidR="009E42D8" w:rsidRPr="00F71523" w:rsidRDefault="009E42D8" w:rsidP="009D5805">
            <w:pPr>
              <w:pStyle w:val="TableText"/>
              <w:spacing w:before="60" w:after="60"/>
              <w:cnfStyle w:val="000000000000" w:firstRow="0" w:lastRow="0" w:firstColumn="0" w:lastColumn="0" w:oddVBand="0" w:evenVBand="0" w:oddHBand="0" w:evenHBand="0" w:firstRowFirstColumn="0" w:firstRowLastColumn="0" w:lastRowFirstColumn="0" w:lastRowLastColumn="0"/>
            </w:pPr>
          </w:p>
        </w:tc>
        <w:tc>
          <w:tcPr>
            <w:tcW w:w="1236" w:type="dxa"/>
          </w:tcPr>
          <w:p w14:paraId="32A484FE" w14:textId="77777777" w:rsidR="009E42D8" w:rsidRPr="00F71523" w:rsidRDefault="009E42D8" w:rsidP="009D5805">
            <w:pPr>
              <w:pStyle w:val="TableText"/>
              <w:spacing w:before="60" w:after="60"/>
              <w:cnfStyle w:val="000000000000" w:firstRow="0" w:lastRow="0" w:firstColumn="0" w:lastColumn="0" w:oddVBand="0" w:evenVBand="0" w:oddHBand="0" w:evenHBand="0" w:firstRowFirstColumn="0" w:firstRowLastColumn="0" w:lastRowFirstColumn="0" w:lastRowLastColumn="0"/>
            </w:pPr>
          </w:p>
        </w:tc>
        <w:tc>
          <w:tcPr>
            <w:tcW w:w="1118" w:type="dxa"/>
          </w:tcPr>
          <w:p w14:paraId="6C8ECBC1" w14:textId="77777777" w:rsidR="009E42D8" w:rsidRPr="00F71523" w:rsidRDefault="009E42D8" w:rsidP="009D5805">
            <w:pPr>
              <w:pStyle w:val="TableText"/>
              <w:spacing w:before="60" w:after="60"/>
              <w:cnfStyle w:val="000000000000" w:firstRow="0" w:lastRow="0" w:firstColumn="0" w:lastColumn="0" w:oddVBand="0" w:evenVBand="0" w:oddHBand="0" w:evenHBand="0" w:firstRowFirstColumn="0" w:firstRowLastColumn="0" w:lastRowFirstColumn="0" w:lastRowLastColumn="0"/>
            </w:pPr>
            <w:r w:rsidRPr="00F71523">
              <w:t>Review and evaluate</w:t>
            </w:r>
          </w:p>
        </w:tc>
      </w:tr>
      <w:tr w:rsidR="009E42D8" w:rsidRPr="00F71523" w14:paraId="7E191D87" w14:textId="77777777" w:rsidTr="00CB066E">
        <w:trPr>
          <w:cantSplit/>
        </w:trPr>
        <w:tc>
          <w:tcPr>
            <w:cnfStyle w:val="001000000000" w:firstRow="0" w:lastRow="0" w:firstColumn="1" w:lastColumn="0" w:oddVBand="0" w:evenVBand="0" w:oddHBand="0" w:evenHBand="0" w:firstRowFirstColumn="0" w:firstRowLastColumn="0" w:lastRowFirstColumn="0" w:lastRowLastColumn="0"/>
            <w:tcW w:w="1483" w:type="dxa"/>
          </w:tcPr>
          <w:p w14:paraId="4B3C0381" w14:textId="77777777" w:rsidR="009E42D8" w:rsidRPr="00F71523" w:rsidRDefault="009E42D8" w:rsidP="00CB066E">
            <w:pPr>
              <w:pStyle w:val="TableText"/>
              <w:spacing w:before="60" w:after="60"/>
            </w:pPr>
            <w:r w:rsidRPr="00F71523">
              <w:t>EMS</w:t>
            </w:r>
          </w:p>
        </w:tc>
        <w:tc>
          <w:tcPr>
            <w:tcW w:w="2410" w:type="dxa"/>
          </w:tcPr>
          <w:p w14:paraId="585F585C" w14:textId="77777777" w:rsidR="009E42D8" w:rsidRPr="00F71523" w:rsidRDefault="009E42D8" w:rsidP="00CB066E">
            <w:pPr>
              <w:pStyle w:val="TableText"/>
              <w:spacing w:before="60" w:after="60"/>
              <w:cnfStyle w:val="000000000000" w:firstRow="0" w:lastRow="0" w:firstColumn="0" w:lastColumn="0" w:oddVBand="0" w:evenVBand="0" w:oddHBand="0" w:evenHBand="0" w:firstRowFirstColumn="0" w:firstRowLastColumn="0" w:lastRowFirstColumn="0" w:lastRowLastColumn="0"/>
            </w:pPr>
            <w:r w:rsidRPr="00F71523">
              <w:t>Contractor EMS</w:t>
            </w:r>
            <w:r w:rsidR="004C0087" w:rsidRPr="00F71523">
              <w:t xml:space="preserve"> provided at contract award</w:t>
            </w:r>
          </w:p>
        </w:tc>
        <w:tc>
          <w:tcPr>
            <w:tcW w:w="1118" w:type="dxa"/>
          </w:tcPr>
          <w:p w14:paraId="5CCD9BDC" w14:textId="77777777" w:rsidR="009E42D8" w:rsidRPr="00F71523" w:rsidRDefault="009E42D8" w:rsidP="009D5805">
            <w:pPr>
              <w:pStyle w:val="TableText"/>
              <w:spacing w:before="60" w:after="60"/>
              <w:cnfStyle w:val="000000000000" w:firstRow="0" w:lastRow="0" w:firstColumn="0" w:lastColumn="0" w:oddVBand="0" w:evenVBand="0" w:oddHBand="0" w:evenHBand="0" w:firstRowFirstColumn="0" w:firstRowLastColumn="0" w:lastRowFirstColumn="0" w:lastRowLastColumn="0"/>
            </w:pPr>
          </w:p>
        </w:tc>
        <w:tc>
          <w:tcPr>
            <w:tcW w:w="1236" w:type="dxa"/>
          </w:tcPr>
          <w:p w14:paraId="56E129FA" w14:textId="77777777" w:rsidR="009E42D8" w:rsidRPr="00F71523" w:rsidRDefault="009E42D8" w:rsidP="009D5805">
            <w:pPr>
              <w:pStyle w:val="TableText"/>
              <w:spacing w:before="60" w:after="60"/>
              <w:cnfStyle w:val="000000000000" w:firstRow="0" w:lastRow="0" w:firstColumn="0" w:lastColumn="0" w:oddVBand="0" w:evenVBand="0" w:oddHBand="0" w:evenHBand="0" w:firstRowFirstColumn="0" w:firstRowLastColumn="0" w:lastRowFirstColumn="0" w:lastRowLastColumn="0"/>
            </w:pPr>
            <w:r w:rsidRPr="00F71523">
              <w:t>Review required</w:t>
            </w:r>
          </w:p>
        </w:tc>
        <w:tc>
          <w:tcPr>
            <w:tcW w:w="1118" w:type="dxa"/>
          </w:tcPr>
          <w:p w14:paraId="17143A9C" w14:textId="561EFF65" w:rsidR="009E42D8" w:rsidRPr="00F71523" w:rsidRDefault="009E42D8" w:rsidP="009D5805">
            <w:pPr>
              <w:pStyle w:val="TableText"/>
              <w:spacing w:before="60" w:after="60"/>
              <w:cnfStyle w:val="000000000000" w:firstRow="0" w:lastRow="0" w:firstColumn="0" w:lastColumn="0" w:oddVBand="0" w:evenVBand="0" w:oddHBand="0" w:evenHBand="0" w:firstRowFirstColumn="0" w:firstRowLastColumn="0" w:lastRowFirstColumn="0" w:lastRowLastColumn="0"/>
            </w:pPr>
            <w:r w:rsidRPr="00F71523">
              <w:t>Review</w:t>
            </w:r>
            <w:r w:rsidR="00440A29">
              <w:t xml:space="preserve">, </w:t>
            </w:r>
            <w:r w:rsidRPr="00F71523">
              <w:t>evaluate</w:t>
            </w:r>
            <w:r w:rsidR="00440A29">
              <w:t xml:space="preserve"> and approve</w:t>
            </w:r>
          </w:p>
        </w:tc>
      </w:tr>
      <w:tr w:rsidR="009E42D8" w:rsidRPr="00F71523" w14:paraId="41532790" w14:textId="77777777" w:rsidTr="00CB066E">
        <w:trPr>
          <w:cantSplit/>
        </w:trPr>
        <w:tc>
          <w:tcPr>
            <w:cnfStyle w:val="001000000000" w:firstRow="0" w:lastRow="0" w:firstColumn="1" w:lastColumn="0" w:oddVBand="0" w:evenVBand="0" w:oddHBand="0" w:evenHBand="0" w:firstRowFirstColumn="0" w:firstRowLastColumn="0" w:lastRowFirstColumn="0" w:lastRowLastColumn="0"/>
            <w:tcW w:w="1483" w:type="dxa"/>
          </w:tcPr>
          <w:p w14:paraId="248EC05A" w14:textId="7E38A3A6" w:rsidR="009E42D8" w:rsidRPr="00F71523" w:rsidRDefault="009E42D8" w:rsidP="00CB066E">
            <w:pPr>
              <w:pStyle w:val="TableText"/>
              <w:spacing w:before="60" w:after="60"/>
            </w:pPr>
            <w:r w:rsidRPr="00F71523">
              <w:t xml:space="preserve">CEMP </w:t>
            </w:r>
          </w:p>
        </w:tc>
        <w:tc>
          <w:tcPr>
            <w:tcW w:w="2410" w:type="dxa"/>
          </w:tcPr>
          <w:p w14:paraId="1375FD5D" w14:textId="2F366A14" w:rsidR="009E42D8" w:rsidRPr="00F71523" w:rsidRDefault="009E42D8" w:rsidP="00CB066E">
            <w:pPr>
              <w:pStyle w:val="TableText"/>
              <w:spacing w:before="60" w:after="60"/>
              <w:cnfStyle w:val="000000000000" w:firstRow="0" w:lastRow="0" w:firstColumn="0" w:lastColumn="0" w:oddVBand="0" w:evenVBand="0" w:oddHBand="0" w:evenHBand="0" w:firstRowFirstColumn="0" w:firstRowLastColumn="0" w:lastRowFirstColumn="0" w:lastRowLastColumn="0"/>
            </w:pPr>
            <w:r w:rsidRPr="00F71523">
              <w:t xml:space="preserve">Full </w:t>
            </w:r>
            <w:r w:rsidR="004C0087" w:rsidRPr="00F71523">
              <w:t>CEMP</w:t>
            </w:r>
            <w:r w:rsidRPr="00F71523">
              <w:t>, including work method statements, addressing M</w:t>
            </w:r>
            <w:r w:rsidR="00BE3230" w:rsidRPr="00F71523">
              <w:t>MRA comments on the outline EMP</w:t>
            </w:r>
            <w:r w:rsidR="00440A29">
              <w:t>. An initial version to be provided for review and a final version for approval.</w:t>
            </w:r>
          </w:p>
        </w:tc>
        <w:tc>
          <w:tcPr>
            <w:tcW w:w="1118" w:type="dxa"/>
          </w:tcPr>
          <w:p w14:paraId="308582E5" w14:textId="77777777" w:rsidR="009E42D8" w:rsidRPr="00F71523" w:rsidRDefault="009E42D8" w:rsidP="009D5805">
            <w:pPr>
              <w:pStyle w:val="TableText"/>
              <w:spacing w:before="60" w:after="60"/>
              <w:cnfStyle w:val="000000000000" w:firstRow="0" w:lastRow="0" w:firstColumn="0" w:lastColumn="0" w:oddVBand="0" w:evenVBand="0" w:oddHBand="0" w:evenHBand="0" w:firstRowFirstColumn="0" w:firstRowLastColumn="0" w:lastRowFirstColumn="0" w:lastRowLastColumn="0"/>
            </w:pPr>
          </w:p>
        </w:tc>
        <w:tc>
          <w:tcPr>
            <w:tcW w:w="1236" w:type="dxa"/>
          </w:tcPr>
          <w:p w14:paraId="0CFB682E" w14:textId="77777777" w:rsidR="009E42D8" w:rsidRPr="00F71523" w:rsidRDefault="009E42D8" w:rsidP="009D5805">
            <w:pPr>
              <w:pStyle w:val="TableText"/>
              <w:spacing w:before="60" w:after="60"/>
              <w:cnfStyle w:val="000000000000" w:firstRow="0" w:lastRow="0" w:firstColumn="0" w:lastColumn="0" w:oddVBand="0" w:evenVBand="0" w:oddHBand="0" w:evenHBand="0" w:firstRowFirstColumn="0" w:firstRowLastColumn="0" w:lastRowFirstColumn="0" w:lastRowLastColumn="0"/>
            </w:pPr>
            <w:r w:rsidRPr="00F71523">
              <w:t>Review required</w:t>
            </w:r>
          </w:p>
        </w:tc>
        <w:tc>
          <w:tcPr>
            <w:tcW w:w="1118" w:type="dxa"/>
          </w:tcPr>
          <w:p w14:paraId="23D87026" w14:textId="77777777" w:rsidR="009E42D8" w:rsidRPr="00F71523" w:rsidRDefault="009E42D8" w:rsidP="009D5805">
            <w:pPr>
              <w:pStyle w:val="TableText"/>
              <w:spacing w:before="60" w:after="60"/>
              <w:cnfStyle w:val="000000000000" w:firstRow="0" w:lastRow="0" w:firstColumn="0" w:lastColumn="0" w:oddVBand="0" w:evenVBand="0" w:oddHBand="0" w:evenHBand="0" w:firstRowFirstColumn="0" w:firstRowLastColumn="0" w:lastRowFirstColumn="0" w:lastRowLastColumn="0"/>
            </w:pPr>
            <w:r w:rsidRPr="00F71523">
              <w:t>Review and evaluate</w:t>
            </w:r>
          </w:p>
        </w:tc>
      </w:tr>
      <w:tr w:rsidR="009E42D8" w:rsidRPr="00F71523" w14:paraId="66695729" w14:textId="77777777" w:rsidTr="00CB066E">
        <w:trPr>
          <w:cantSplit/>
        </w:trPr>
        <w:tc>
          <w:tcPr>
            <w:cnfStyle w:val="001000000000" w:firstRow="0" w:lastRow="0" w:firstColumn="1" w:lastColumn="0" w:oddVBand="0" w:evenVBand="0" w:oddHBand="0" w:evenHBand="0" w:firstRowFirstColumn="0" w:firstRowLastColumn="0" w:lastRowFirstColumn="0" w:lastRowLastColumn="0"/>
            <w:tcW w:w="1483" w:type="dxa"/>
          </w:tcPr>
          <w:p w14:paraId="1042F58D" w14:textId="77777777" w:rsidR="009E42D8" w:rsidRPr="00F71523" w:rsidRDefault="009E42D8" w:rsidP="00CB066E">
            <w:pPr>
              <w:pStyle w:val="TableText"/>
              <w:spacing w:before="60" w:after="60"/>
            </w:pPr>
            <w:r w:rsidRPr="00F71523">
              <w:t>Implementation of approved CEMP</w:t>
            </w:r>
          </w:p>
        </w:tc>
        <w:tc>
          <w:tcPr>
            <w:tcW w:w="2410" w:type="dxa"/>
          </w:tcPr>
          <w:p w14:paraId="73D2ED5F" w14:textId="77777777" w:rsidR="009E42D8" w:rsidRPr="00F71523" w:rsidRDefault="009E42D8" w:rsidP="00CB066E">
            <w:pPr>
              <w:pStyle w:val="TableText"/>
              <w:spacing w:before="60" w:after="60"/>
              <w:cnfStyle w:val="000000000000" w:firstRow="0" w:lastRow="0" w:firstColumn="0" w:lastColumn="0" w:oddVBand="0" w:evenVBand="0" w:oddHBand="0" w:evenHBand="0" w:firstRowFirstColumn="0" w:firstRowLastColumn="0" w:lastRowFirstColumn="0" w:lastRowLastColumn="0"/>
            </w:pPr>
            <w:r w:rsidRPr="00F71523">
              <w:t>CEMP is to be implemented prior to carrying out substantial works and audited for compliance</w:t>
            </w:r>
          </w:p>
        </w:tc>
        <w:tc>
          <w:tcPr>
            <w:tcW w:w="1118" w:type="dxa"/>
          </w:tcPr>
          <w:p w14:paraId="7DE95CD4" w14:textId="77777777" w:rsidR="009E42D8" w:rsidRPr="00F71523" w:rsidRDefault="009E42D8" w:rsidP="009D5805">
            <w:pPr>
              <w:pStyle w:val="TableText"/>
              <w:spacing w:before="60" w:after="60"/>
              <w:cnfStyle w:val="000000000000" w:firstRow="0" w:lastRow="0" w:firstColumn="0" w:lastColumn="0" w:oddVBand="0" w:evenVBand="0" w:oddHBand="0" w:evenHBand="0" w:firstRowFirstColumn="0" w:firstRowLastColumn="0" w:lastRowFirstColumn="0" w:lastRowLastColumn="0"/>
            </w:pPr>
          </w:p>
        </w:tc>
        <w:tc>
          <w:tcPr>
            <w:tcW w:w="1236" w:type="dxa"/>
          </w:tcPr>
          <w:p w14:paraId="7C9B3303" w14:textId="77777777" w:rsidR="009E42D8" w:rsidRPr="00F71523" w:rsidRDefault="009E42D8" w:rsidP="009D5805">
            <w:pPr>
              <w:pStyle w:val="TableText"/>
              <w:spacing w:before="60" w:after="60"/>
              <w:cnfStyle w:val="000000000000" w:firstRow="0" w:lastRow="0" w:firstColumn="0" w:lastColumn="0" w:oddVBand="0" w:evenVBand="0" w:oddHBand="0" w:evenHBand="0" w:firstRowFirstColumn="0" w:firstRowLastColumn="0" w:lastRowFirstColumn="0" w:lastRowLastColumn="0"/>
            </w:pPr>
            <w:r w:rsidRPr="00F71523">
              <w:t>Review required</w:t>
            </w:r>
          </w:p>
        </w:tc>
        <w:tc>
          <w:tcPr>
            <w:tcW w:w="1118" w:type="dxa"/>
          </w:tcPr>
          <w:p w14:paraId="6900FFFC" w14:textId="77777777" w:rsidR="009E42D8" w:rsidRPr="00F71523" w:rsidRDefault="009E42D8" w:rsidP="009D5805">
            <w:pPr>
              <w:pStyle w:val="TableText"/>
              <w:spacing w:before="60" w:after="60"/>
              <w:cnfStyle w:val="000000000000" w:firstRow="0" w:lastRow="0" w:firstColumn="0" w:lastColumn="0" w:oddVBand="0" w:evenVBand="0" w:oddHBand="0" w:evenHBand="0" w:firstRowFirstColumn="0" w:firstRowLastColumn="0" w:lastRowFirstColumn="0" w:lastRowLastColumn="0"/>
            </w:pPr>
            <w:r w:rsidRPr="00F71523">
              <w:t>Review and evaluate</w:t>
            </w:r>
          </w:p>
        </w:tc>
      </w:tr>
      <w:tr w:rsidR="004B1BDF" w14:paraId="1D8B4F25" w14:textId="77777777" w:rsidTr="00CB066E">
        <w:trPr>
          <w:cantSplit/>
          <w:tblHeader/>
        </w:trPr>
        <w:tc>
          <w:tcPr>
            <w:cnfStyle w:val="001000000000" w:firstRow="0" w:lastRow="0" w:firstColumn="1" w:lastColumn="0" w:oddVBand="0" w:evenVBand="0" w:oddHBand="0" w:evenHBand="0" w:firstRowFirstColumn="0" w:firstRowLastColumn="0" w:lastRowFirstColumn="0" w:lastRowLastColumn="0"/>
            <w:tcW w:w="1483" w:type="dxa"/>
            <w:hideMark/>
          </w:tcPr>
          <w:p w14:paraId="2DB88E8E" w14:textId="77777777" w:rsidR="004B1BDF" w:rsidRDefault="004B1BDF" w:rsidP="00CB066E">
            <w:pPr>
              <w:pStyle w:val="TableText"/>
              <w:numPr>
                <w:ilvl w:val="0"/>
                <w:numId w:val="13"/>
              </w:numPr>
              <w:spacing w:before="60" w:after="60"/>
            </w:pPr>
            <w:r>
              <w:t>OEMP</w:t>
            </w:r>
          </w:p>
        </w:tc>
        <w:tc>
          <w:tcPr>
            <w:tcW w:w="2410" w:type="dxa"/>
            <w:hideMark/>
          </w:tcPr>
          <w:p w14:paraId="1C41B4E1" w14:textId="77777777" w:rsidR="004B1BDF" w:rsidRDefault="004B1BDF" w:rsidP="00CB066E">
            <w:pPr>
              <w:pStyle w:val="TableText"/>
              <w:numPr>
                <w:ilvl w:val="0"/>
                <w:numId w:val="13"/>
              </w:numPr>
              <w:spacing w:before="60" w:after="60"/>
              <w:cnfStyle w:val="000000000000" w:firstRow="0" w:lastRow="0" w:firstColumn="0" w:lastColumn="0" w:oddVBand="0" w:evenVBand="0" w:oddHBand="0" w:evenHBand="0" w:firstRowFirstColumn="0" w:firstRowLastColumn="0" w:lastRowFirstColumn="0" w:lastRowLastColumn="0"/>
            </w:pPr>
            <w:r>
              <w:t>Full OEMP, including work method statements.  An initial version to be provided for review and a final version for approval.</w:t>
            </w:r>
          </w:p>
        </w:tc>
        <w:tc>
          <w:tcPr>
            <w:tcW w:w="1118" w:type="dxa"/>
          </w:tcPr>
          <w:p w14:paraId="1FC4E6AB" w14:textId="77777777" w:rsidR="004B1BDF" w:rsidRDefault="004B1BDF" w:rsidP="00691B15">
            <w:pPr>
              <w:pStyle w:val="TableText"/>
              <w:numPr>
                <w:ilvl w:val="0"/>
                <w:numId w:val="13"/>
              </w:numPr>
              <w:spacing w:before="60" w:after="60"/>
              <w:cnfStyle w:val="000000000000" w:firstRow="0" w:lastRow="0" w:firstColumn="0" w:lastColumn="0" w:oddVBand="0" w:evenVBand="0" w:oddHBand="0" w:evenHBand="0" w:firstRowFirstColumn="0" w:firstRowLastColumn="0" w:lastRowFirstColumn="0" w:lastRowLastColumn="0"/>
            </w:pPr>
          </w:p>
        </w:tc>
        <w:tc>
          <w:tcPr>
            <w:tcW w:w="1236" w:type="dxa"/>
            <w:hideMark/>
          </w:tcPr>
          <w:p w14:paraId="5FD1FA2C" w14:textId="77777777" w:rsidR="004B1BDF" w:rsidRDefault="004B1BDF" w:rsidP="009D5805">
            <w:pPr>
              <w:pStyle w:val="TableText"/>
              <w:numPr>
                <w:ilvl w:val="0"/>
                <w:numId w:val="13"/>
              </w:numPr>
              <w:spacing w:before="60" w:after="60"/>
              <w:cnfStyle w:val="000000000000" w:firstRow="0" w:lastRow="0" w:firstColumn="0" w:lastColumn="0" w:oddVBand="0" w:evenVBand="0" w:oddHBand="0" w:evenHBand="0" w:firstRowFirstColumn="0" w:firstRowLastColumn="0" w:lastRowFirstColumn="0" w:lastRowLastColumn="0"/>
            </w:pPr>
            <w:r>
              <w:t>Review and approve</w:t>
            </w:r>
          </w:p>
        </w:tc>
        <w:tc>
          <w:tcPr>
            <w:tcW w:w="1118" w:type="dxa"/>
            <w:tcBorders>
              <w:right w:val="nil"/>
            </w:tcBorders>
            <w:hideMark/>
          </w:tcPr>
          <w:p w14:paraId="157751D7" w14:textId="77777777" w:rsidR="004B1BDF" w:rsidRDefault="004B1BDF" w:rsidP="00691B15">
            <w:pPr>
              <w:pStyle w:val="TableText"/>
              <w:numPr>
                <w:ilvl w:val="0"/>
                <w:numId w:val="13"/>
              </w:numPr>
              <w:spacing w:before="60" w:after="60"/>
              <w:cnfStyle w:val="000000000000" w:firstRow="0" w:lastRow="0" w:firstColumn="0" w:lastColumn="0" w:oddVBand="0" w:evenVBand="0" w:oddHBand="0" w:evenHBand="0" w:firstRowFirstColumn="0" w:firstRowLastColumn="0" w:lastRowFirstColumn="0" w:lastRowLastColumn="0"/>
            </w:pPr>
            <w:r>
              <w:t>Review and evaluate</w:t>
            </w:r>
          </w:p>
        </w:tc>
      </w:tr>
      <w:tr w:rsidR="004C0087" w:rsidRPr="00F71523" w14:paraId="33CA4126" w14:textId="77777777" w:rsidTr="00CB066E">
        <w:trPr>
          <w:cantSplit/>
        </w:trPr>
        <w:tc>
          <w:tcPr>
            <w:cnfStyle w:val="001000000000" w:firstRow="0" w:lastRow="0" w:firstColumn="1" w:lastColumn="0" w:oddVBand="0" w:evenVBand="0" w:oddHBand="0" w:evenHBand="0" w:firstRowFirstColumn="0" w:firstRowLastColumn="0" w:lastRowFirstColumn="0" w:lastRowLastColumn="0"/>
            <w:tcW w:w="1483" w:type="dxa"/>
          </w:tcPr>
          <w:p w14:paraId="7241C052" w14:textId="5DEB0EF7" w:rsidR="004C0087" w:rsidRPr="00F71523" w:rsidRDefault="004C0087" w:rsidP="00CB066E">
            <w:pPr>
              <w:pStyle w:val="TableText"/>
              <w:spacing w:before="60" w:after="60"/>
            </w:pPr>
            <w:r w:rsidRPr="00F71523">
              <w:t xml:space="preserve">TMP </w:t>
            </w:r>
          </w:p>
        </w:tc>
        <w:tc>
          <w:tcPr>
            <w:tcW w:w="2410" w:type="dxa"/>
          </w:tcPr>
          <w:p w14:paraId="5F7BF05D" w14:textId="0D9DC7B7" w:rsidR="004C0087" w:rsidRPr="00F71523" w:rsidRDefault="004C0087" w:rsidP="00CB066E">
            <w:pPr>
              <w:pStyle w:val="TableText"/>
              <w:spacing w:before="60" w:after="60"/>
              <w:cnfStyle w:val="000000000000" w:firstRow="0" w:lastRow="0" w:firstColumn="0" w:lastColumn="0" w:oddVBand="0" w:evenVBand="0" w:oddHBand="0" w:evenHBand="0" w:firstRowFirstColumn="0" w:firstRowLastColumn="0" w:lastRowFirstColumn="0" w:lastRowLastColumn="0"/>
            </w:pPr>
            <w:r w:rsidRPr="00F71523">
              <w:t>Full TMP</w:t>
            </w:r>
            <w:r w:rsidR="004B1BDF">
              <w:t>. An initial version to be provided for review and a final version for approval.</w:t>
            </w:r>
          </w:p>
        </w:tc>
        <w:tc>
          <w:tcPr>
            <w:tcW w:w="1118" w:type="dxa"/>
          </w:tcPr>
          <w:p w14:paraId="30C11340" w14:textId="77777777" w:rsidR="004C0087" w:rsidRPr="00F71523" w:rsidRDefault="004C0087" w:rsidP="009D5805">
            <w:pPr>
              <w:pStyle w:val="TableText"/>
              <w:spacing w:before="60" w:after="60"/>
              <w:cnfStyle w:val="000000000000" w:firstRow="0" w:lastRow="0" w:firstColumn="0" w:lastColumn="0" w:oddVBand="0" w:evenVBand="0" w:oddHBand="0" w:evenHBand="0" w:firstRowFirstColumn="0" w:firstRowLastColumn="0" w:lastRowFirstColumn="0" w:lastRowLastColumn="0"/>
            </w:pPr>
          </w:p>
        </w:tc>
        <w:tc>
          <w:tcPr>
            <w:tcW w:w="1236" w:type="dxa"/>
          </w:tcPr>
          <w:p w14:paraId="7A0C5490" w14:textId="1DA9F6B8" w:rsidR="004C0087" w:rsidRPr="00F71523" w:rsidRDefault="004C0087" w:rsidP="009D5805">
            <w:pPr>
              <w:pStyle w:val="TableText"/>
              <w:spacing w:before="60" w:after="60"/>
              <w:cnfStyle w:val="000000000000" w:firstRow="0" w:lastRow="0" w:firstColumn="0" w:lastColumn="0" w:oddVBand="0" w:evenVBand="0" w:oddHBand="0" w:evenHBand="0" w:firstRowFirstColumn="0" w:firstRowLastColumn="0" w:lastRowFirstColumn="0" w:lastRowLastColumn="0"/>
            </w:pPr>
            <w:r w:rsidRPr="00F71523">
              <w:t xml:space="preserve">Review </w:t>
            </w:r>
            <w:r w:rsidR="004B1BDF">
              <w:t>and approve</w:t>
            </w:r>
          </w:p>
        </w:tc>
        <w:tc>
          <w:tcPr>
            <w:tcW w:w="1118" w:type="dxa"/>
          </w:tcPr>
          <w:p w14:paraId="4615221B" w14:textId="77777777" w:rsidR="004C0087" w:rsidRPr="00F71523" w:rsidRDefault="004C0087" w:rsidP="009D5805">
            <w:pPr>
              <w:pStyle w:val="TableText"/>
              <w:spacing w:before="60" w:after="60"/>
              <w:cnfStyle w:val="000000000000" w:firstRow="0" w:lastRow="0" w:firstColumn="0" w:lastColumn="0" w:oddVBand="0" w:evenVBand="0" w:oddHBand="0" w:evenHBand="0" w:firstRowFirstColumn="0" w:firstRowLastColumn="0" w:lastRowFirstColumn="0" w:lastRowLastColumn="0"/>
            </w:pPr>
            <w:r w:rsidRPr="00F71523">
              <w:t>Review and evaluate</w:t>
            </w:r>
          </w:p>
        </w:tc>
      </w:tr>
      <w:tr w:rsidR="004C0087" w:rsidRPr="00F71523" w14:paraId="59BCD772" w14:textId="77777777" w:rsidTr="00CB066E">
        <w:trPr>
          <w:cantSplit/>
        </w:trPr>
        <w:tc>
          <w:tcPr>
            <w:cnfStyle w:val="001000000000" w:firstRow="0" w:lastRow="0" w:firstColumn="1" w:lastColumn="0" w:oddVBand="0" w:evenVBand="0" w:oddHBand="0" w:evenHBand="0" w:firstRowFirstColumn="0" w:firstRowLastColumn="0" w:lastRowFirstColumn="0" w:lastRowLastColumn="0"/>
            <w:tcW w:w="1483" w:type="dxa"/>
          </w:tcPr>
          <w:p w14:paraId="5005F9DA" w14:textId="1C6AB448" w:rsidR="004C0087" w:rsidRPr="00F71523" w:rsidRDefault="004C0087" w:rsidP="00CB066E">
            <w:pPr>
              <w:pStyle w:val="TableText"/>
              <w:spacing w:before="60" w:after="60"/>
            </w:pPr>
            <w:r w:rsidRPr="00F71523">
              <w:t>Minor revision of CEMP</w:t>
            </w:r>
            <w:r w:rsidR="004B1BDF">
              <w:t>,</w:t>
            </w:r>
            <w:r w:rsidRPr="00F71523">
              <w:t>TMP</w:t>
            </w:r>
            <w:r w:rsidR="004B1BDF">
              <w:t xml:space="preserve"> or OEMP</w:t>
            </w:r>
          </w:p>
        </w:tc>
        <w:tc>
          <w:tcPr>
            <w:tcW w:w="2410" w:type="dxa"/>
          </w:tcPr>
          <w:p w14:paraId="104F12B0" w14:textId="77777777" w:rsidR="004C0087" w:rsidRPr="00F71523" w:rsidRDefault="004C0087" w:rsidP="00CB066E">
            <w:pPr>
              <w:pStyle w:val="TableText"/>
              <w:spacing w:before="60" w:after="60"/>
              <w:cnfStyle w:val="000000000000" w:firstRow="0" w:lastRow="0" w:firstColumn="0" w:lastColumn="0" w:oddVBand="0" w:evenVBand="0" w:oddHBand="0" w:evenHBand="0" w:firstRowFirstColumn="0" w:firstRowLastColumn="0" w:lastRowFirstColumn="0" w:lastRowLastColumn="0"/>
            </w:pPr>
            <w:r w:rsidRPr="00F71523">
              <w:t>Change to clarify or improve environmental management practices or to add new obligations and associated controls. No increase in or introduction of new environmental risks</w:t>
            </w:r>
          </w:p>
        </w:tc>
        <w:tc>
          <w:tcPr>
            <w:tcW w:w="1118" w:type="dxa"/>
          </w:tcPr>
          <w:p w14:paraId="448CB265" w14:textId="77777777" w:rsidR="004C0087" w:rsidRPr="00F71523" w:rsidRDefault="004C0087" w:rsidP="009D5805">
            <w:pPr>
              <w:pStyle w:val="TableText"/>
              <w:spacing w:before="60" w:after="60"/>
              <w:cnfStyle w:val="000000000000" w:firstRow="0" w:lastRow="0" w:firstColumn="0" w:lastColumn="0" w:oddVBand="0" w:evenVBand="0" w:oddHBand="0" w:evenHBand="0" w:firstRowFirstColumn="0" w:firstRowLastColumn="0" w:lastRowFirstColumn="0" w:lastRowLastColumn="0"/>
            </w:pPr>
          </w:p>
        </w:tc>
        <w:tc>
          <w:tcPr>
            <w:tcW w:w="1236" w:type="dxa"/>
          </w:tcPr>
          <w:p w14:paraId="64A498F7" w14:textId="5E106B4D" w:rsidR="004C0087" w:rsidRPr="00F71523" w:rsidRDefault="004B1BDF" w:rsidP="009D5805">
            <w:pPr>
              <w:pStyle w:val="TableText"/>
              <w:spacing w:before="60" w:after="60"/>
              <w:cnfStyle w:val="000000000000" w:firstRow="0" w:lastRow="0" w:firstColumn="0" w:lastColumn="0" w:oddVBand="0" w:evenVBand="0" w:oddHBand="0" w:evenHBand="0" w:firstRowFirstColumn="0" w:firstRowLastColumn="0" w:lastRowFirstColumn="0" w:lastRowLastColumn="0"/>
            </w:pPr>
            <w:r>
              <w:t>Approval required</w:t>
            </w:r>
          </w:p>
        </w:tc>
        <w:tc>
          <w:tcPr>
            <w:tcW w:w="1118" w:type="dxa"/>
          </w:tcPr>
          <w:p w14:paraId="198D387D" w14:textId="77777777" w:rsidR="004C0087" w:rsidRPr="00F71523" w:rsidRDefault="004C0087" w:rsidP="009D5805">
            <w:pPr>
              <w:pStyle w:val="TableText"/>
              <w:spacing w:before="60" w:after="60"/>
              <w:cnfStyle w:val="000000000000" w:firstRow="0" w:lastRow="0" w:firstColumn="0" w:lastColumn="0" w:oddVBand="0" w:evenVBand="0" w:oddHBand="0" w:evenHBand="0" w:firstRowFirstColumn="0" w:firstRowLastColumn="0" w:lastRowFirstColumn="0" w:lastRowLastColumn="0"/>
            </w:pPr>
            <w:r w:rsidRPr="00F71523">
              <w:t>Review, evaluate and approve</w:t>
            </w:r>
          </w:p>
        </w:tc>
      </w:tr>
      <w:tr w:rsidR="004C0087" w:rsidRPr="00F71523" w14:paraId="49B3C68C" w14:textId="77777777" w:rsidTr="00CB066E">
        <w:trPr>
          <w:cantSplit/>
        </w:trPr>
        <w:tc>
          <w:tcPr>
            <w:cnfStyle w:val="001000000000" w:firstRow="0" w:lastRow="0" w:firstColumn="1" w:lastColumn="0" w:oddVBand="0" w:evenVBand="0" w:oddHBand="0" w:evenHBand="0" w:firstRowFirstColumn="0" w:firstRowLastColumn="0" w:lastRowFirstColumn="0" w:lastRowLastColumn="0"/>
            <w:tcW w:w="1483" w:type="dxa"/>
          </w:tcPr>
          <w:p w14:paraId="3CA2078E" w14:textId="4492F3EA" w:rsidR="004C0087" w:rsidRPr="00F71523" w:rsidRDefault="004C0087" w:rsidP="00CB066E">
            <w:pPr>
              <w:pStyle w:val="TableText"/>
              <w:spacing w:before="60" w:after="60"/>
            </w:pPr>
            <w:r w:rsidRPr="00F71523">
              <w:t>Major revision of CEMP</w:t>
            </w:r>
            <w:r w:rsidR="004B1BDF">
              <w:t>,</w:t>
            </w:r>
            <w:r w:rsidRPr="00F71523">
              <w:t xml:space="preserve"> TMP</w:t>
            </w:r>
            <w:r w:rsidR="004B1BDF">
              <w:t xml:space="preserve"> or OEMP</w:t>
            </w:r>
          </w:p>
        </w:tc>
        <w:tc>
          <w:tcPr>
            <w:tcW w:w="2410" w:type="dxa"/>
          </w:tcPr>
          <w:p w14:paraId="2F08B5F1" w14:textId="07DEC071" w:rsidR="004C0087" w:rsidRPr="00F71523" w:rsidRDefault="004C0087" w:rsidP="00CB066E">
            <w:pPr>
              <w:pStyle w:val="TableText"/>
              <w:spacing w:before="60" w:after="60"/>
              <w:cnfStyle w:val="000000000000" w:firstRow="0" w:lastRow="0" w:firstColumn="0" w:lastColumn="0" w:oddVBand="0" w:evenVBand="0" w:oddHBand="0" w:evenHBand="0" w:firstRowFirstColumn="0" w:firstRowLastColumn="0" w:lastRowFirstColumn="0" w:lastRowLastColumn="0"/>
            </w:pPr>
            <w:r w:rsidRPr="00F71523">
              <w:t>Significant change to environmental management practices, work methods or scope that result in increased or new</w:t>
            </w:r>
            <w:r w:rsidR="00BE3230" w:rsidRPr="00F71523">
              <w:t xml:space="preserve"> environmental risks or impacts</w:t>
            </w:r>
          </w:p>
        </w:tc>
        <w:tc>
          <w:tcPr>
            <w:tcW w:w="1118" w:type="dxa"/>
          </w:tcPr>
          <w:p w14:paraId="7C38B2D7" w14:textId="77777777" w:rsidR="004C0087" w:rsidRPr="00F71523" w:rsidRDefault="004C0087" w:rsidP="009D5805">
            <w:pPr>
              <w:pStyle w:val="TableText"/>
              <w:spacing w:before="60" w:after="60"/>
              <w:cnfStyle w:val="000000000000" w:firstRow="0" w:lastRow="0" w:firstColumn="0" w:lastColumn="0" w:oddVBand="0" w:evenVBand="0" w:oddHBand="0" w:evenHBand="0" w:firstRowFirstColumn="0" w:firstRowLastColumn="0" w:lastRowFirstColumn="0" w:lastRowLastColumn="0"/>
            </w:pPr>
          </w:p>
        </w:tc>
        <w:tc>
          <w:tcPr>
            <w:tcW w:w="1236" w:type="dxa"/>
          </w:tcPr>
          <w:p w14:paraId="2631EF92" w14:textId="64448C0B" w:rsidR="004C0087" w:rsidRPr="00F71523" w:rsidRDefault="004B1BDF" w:rsidP="009D5805">
            <w:pPr>
              <w:pStyle w:val="TableText"/>
              <w:spacing w:before="60" w:after="60"/>
              <w:cnfStyle w:val="000000000000" w:firstRow="0" w:lastRow="0" w:firstColumn="0" w:lastColumn="0" w:oddVBand="0" w:evenVBand="0" w:oddHBand="0" w:evenHBand="0" w:firstRowFirstColumn="0" w:firstRowLastColumn="0" w:lastRowFirstColumn="0" w:lastRowLastColumn="0"/>
            </w:pPr>
            <w:r>
              <w:t>Approval required</w:t>
            </w:r>
          </w:p>
        </w:tc>
        <w:tc>
          <w:tcPr>
            <w:tcW w:w="1118" w:type="dxa"/>
          </w:tcPr>
          <w:p w14:paraId="64C08B7A" w14:textId="77777777" w:rsidR="004C0087" w:rsidRPr="00F71523" w:rsidRDefault="004C0087" w:rsidP="009D5805">
            <w:pPr>
              <w:pStyle w:val="TableText"/>
              <w:spacing w:before="60" w:after="60"/>
              <w:cnfStyle w:val="000000000000" w:firstRow="0" w:lastRow="0" w:firstColumn="0" w:lastColumn="0" w:oddVBand="0" w:evenVBand="0" w:oddHBand="0" w:evenHBand="0" w:firstRowFirstColumn="0" w:firstRowLastColumn="0" w:lastRowFirstColumn="0" w:lastRowLastColumn="0"/>
            </w:pPr>
            <w:r w:rsidRPr="00F71523">
              <w:t>Review, evaluate and approve</w:t>
            </w:r>
          </w:p>
        </w:tc>
      </w:tr>
    </w:tbl>
    <w:p w14:paraId="10D4D309" w14:textId="54A435F8" w:rsidR="009E42D8" w:rsidRPr="00F71523" w:rsidRDefault="004C0087" w:rsidP="009E42D8">
      <w:pPr>
        <w:pStyle w:val="Source"/>
      </w:pPr>
      <w:r w:rsidRPr="00F71523">
        <w:t xml:space="preserve">* </w:t>
      </w:r>
      <w:r w:rsidR="004B1BDF">
        <w:t>MMRA would engage with key stakeholders, including councils, as required.</w:t>
      </w:r>
    </w:p>
    <w:p w14:paraId="4FB0C281" w14:textId="77777777" w:rsidR="009E42D8" w:rsidRPr="00F71523" w:rsidRDefault="009E42D8" w:rsidP="00601E2A">
      <w:pPr>
        <w:pStyle w:val="Heading2"/>
      </w:pPr>
      <w:bookmarkStart w:id="23" w:name="_Ref447512870"/>
      <w:bookmarkStart w:id="24" w:name="_Toc450895090"/>
      <w:r w:rsidRPr="00F71523">
        <w:lastRenderedPageBreak/>
        <w:t>Evaluating Environmental Performance Outcomes</w:t>
      </w:r>
      <w:bookmarkEnd w:id="23"/>
      <w:bookmarkEnd w:id="24"/>
    </w:p>
    <w:p w14:paraId="4B22BE95" w14:textId="3AB73C64" w:rsidR="009E42D8" w:rsidRPr="00F71523" w:rsidRDefault="009E42D8" w:rsidP="00601E2A">
      <w:pPr>
        <w:pStyle w:val="BodyText"/>
        <w:keepNext/>
      </w:pPr>
      <w:r w:rsidRPr="00F71523">
        <w:t xml:space="preserve">The contract specifications would include compliance requirements for the </w:t>
      </w:r>
      <w:r w:rsidR="0086608F">
        <w:t>c</w:t>
      </w:r>
      <w:r w:rsidRPr="00F71523">
        <w:t>ontractor including monitoring, reporting to the MMRA and relevant government agencies, and internal and external environmental auditing. A summary of these compliance requirements is provided in this section.</w:t>
      </w:r>
    </w:p>
    <w:p w14:paraId="0EF62D4D" w14:textId="47CBBBA7" w:rsidR="009E42D8" w:rsidRPr="00F71523" w:rsidRDefault="009E42D8" w:rsidP="00601E2A">
      <w:pPr>
        <w:pStyle w:val="BodyText"/>
        <w:keepNext/>
      </w:pPr>
      <w:r w:rsidRPr="00F71523">
        <w:t xml:space="preserve">The </w:t>
      </w:r>
      <w:r w:rsidR="00616BFE">
        <w:t xml:space="preserve">MMRA </w:t>
      </w:r>
      <w:r w:rsidRPr="00F71523">
        <w:t xml:space="preserve">EMS would describe the </w:t>
      </w:r>
      <w:r w:rsidR="00E75ECF" w:rsidRPr="00F71523">
        <w:t>p</w:t>
      </w:r>
      <w:r w:rsidRPr="00F71523">
        <w:t>roject's environmental compliance system,</w:t>
      </w:r>
      <w:r w:rsidR="009631F9">
        <w:t> </w:t>
      </w:r>
      <w:r w:rsidRPr="00F71523">
        <w:t>including:</w:t>
      </w:r>
    </w:p>
    <w:p w14:paraId="1534AE47" w14:textId="77777777" w:rsidR="009E42D8" w:rsidRPr="00F71523" w:rsidRDefault="009E42D8" w:rsidP="00601E2A">
      <w:pPr>
        <w:pStyle w:val="BodyBullet1"/>
        <w:keepNext/>
      </w:pPr>
      <w:r w:rsidRPr="00F71523">
        <w:t>Definitions of what constitutes a non-conformance</w:t>
      </w:r>
    </w:p>
    <w:p w14:paraId="210EA253" w14:textId="77777777" w:rsidR="009E42D8" w:rsidRPr="00F71523" w:rsidRDefault="009E42D8" w:rsidP="009E42D8">
      <w:pPr>
        <w:pStyle w:val="BodyBullet1"/>
      </w:pPr>
      <w:r w:rsidRPr="00F71523">
        <w:t>Requirement for a non-conformance tracking register</w:t>
      </w:r>
    </w:p>
    <w:p w14:paraId="49761D66" w14:textId="77777777" w:rsidR="009E42D8" w:rsidRPr="00F71523" w:rsidRDefault="009E42D8" w:rsidP="009E42D8">
      <w:pPr>
        <w:pStyle w:val="BodyBullet1"/>
      </w:pPr>
      <w:r w:rsidRPr="00F71523">
        <w:t>Timeframes and responsibilities for addressing non-conformances</w:t>
      </w:r>
    </w:p>
    <w:p w14:paraId="5352A453" w14:textId="77777777" w:rsidR="009E42D8" w:rsidRPr="00F71523" w:rsidRDefault="009E42D8" w:rsidP="009E42D8">
      <w:pPr>
        <w:pStyle w:val="BodyBullet1"/>
      </w:pPr>
      <w:r w:rsidRPr="00F71523">
        <w:t>Detailed procedures for monitoring, auditing and reporting.</w:t>
      </w:r>
    </w:p>
    <w:p w14:paraId="2476EEED" w14:textId="77777777" w:rsidR="009E42D8" w:rsidRPr="00F71523" w:rsidRDefault="009E42D8" w:rsidP="009E42D8">
      <w:pPr>
        <w:pStyle w:val="Heading3"/>
      </w:pPr>
      <w:r w:rsidRPr="00F71523">
        <w:t>Monitoring</w:t>
      </w:r>
    </w:p>
    <w:p w14:paraId="01B8CDB9" w14:textId="3B93F7FE" w:rsidR="009E42D8" w:rsidRPr="00F71523" w:rsidRDefault="009E42D8" w:rsidP="009E42D8">
      <w:pPr>
        <w:pStyle w:val="BodyText"/>
      </w:pPr>
      <w:r w:rsidRPr="00F71523">
        <w:t xml:space="preserve">A range of monitoring programs would be specified in each </w:t>
      </w:r>
      <w:r w:rsidR="0086608F">
        <w:t>c</w:t>
      </w:r>
      <w:r w:rsidRPr="00F71523">
        <w:t xml:space="preserve">ontractor's CEMP </w:t>
      </w:r>
      <w:r w:rsidR="004B1BDF">
        <w:t xml:space="preserve">and the PPP </w:t>
      </w:r>
      <w:r w:rsidR="0086608F">
        <w:t>c</w:t>
      </w:r>
      <w:r w:rsidR="004B1BDF">
        <w:t xml:space="preserve">ontractor’s OEMP </w:t>
      </w:r>
      <w:r w:rsidRPr="00F71523">
        <w:t>to enable conformance to and measurement of delivery of Environmental Performance Requirements. The parameters to be monitored and the frequency of monitoring would reflect regulatory requirements and the level of potential risk to the environment. Monitoring would include periodic inspections of construction works areas and assets constructed.</w:t>
      </w:r>
    </w:p>
    <w:p w14:paraId="29B8DA98" w14:textId="77777777" w:rsidR="009E42D8" w:rsidRPr="00F71523" w:rsidRDefault="009E42D8" w:rsidP="009E42D8">
      <w:pPr>
        <w:pStyle w:val="BodyText"/>
      </w:pPr>
      <w:r w:rsidRPr="00F71523">
        <w:t>The CEMP would be required to be reviewed regularly to verify that:</w:t>
      </w:r>
    </w:p>
    <w:p w14:paraId="33A6CF64" w14:textId="77777777" w:rsidR="009E42D8" w:rsidRPr="00F71523" w:rsidRDefault="009E42D8" w:rsidP="009E42D8">
      <w:pPr>
        <w:pStyle w:val="BodyBullet1"/>
      </w:pPr>
      <w:r w:rsidRPr="00F71523">
        <w:t>The monitoring frequency is sufficient to identify any significant non-conformances that have occurred</w:t>
      </w:r>
    </w:p>
    <w:p w14:paraId="216EF577" w14:textId="77777777" w:rsidR="009E42D8" w:rsidRPr="00F71523" w:rsidRDefault="009E42D8" w:rsidP="009E42D8">
      <w:pPr>
        <w:pStyle w:val="BodyBullet1"/>
      </w:pPr>
      <w:r w:rsidRPr="00F71523">
        <w:t>The range of parameters being monitored is adequate (this is particularly relevant if an activity has led to an incident or complaint)</w:t>
      </w:r>
    </w:p>
    <w:p w14:paraId="38CB8A4E" w14:textId="77777777" w:rsidR="009E42D8" w:rsidRPr="00F71523" w:rsidRDefault="009E42D8" w:rsidP="009E42D8">
      <w:pPr>
        <w:pStyle w:val="BodyBullet1"/>
      </w:pPr>
      <w:r w:rsidRPr="00F71523">
        <w:t>Changes to programmed construction activities are adequately covered by the monitoring program</w:t>
      </w:r>
      <w:r w:rsidR="00A04D30" w:rsidRPr="00F71523">
        <w:t>s</w:t>
      </w:r>
      <w:r w:rsidRPr="00F71523">
        <w:t>.</w:t>
      </w:r>
    </w:p>
    <w:p w14:paraId="7385B563" w14:textId="6DEABF78" w:rsidR="00CE43CB" w:rsidRPr="00F71523" w:rsidRDefault="009E42D8" w:rsidP="009E42D8">
      <w:pPr>
        <w:pStyle w:val="BodyText"/>
      </w:pPr>
      <w:r w:rsidRPr="00F71523">
        <w:t>Any proposed modifications to monitoring programs would be submitted to MMRA for approval prior to being implemented.</w:t>
      </w:r>
    </w:p>
    <w:p w14:paraId="6B8C9C1C" w14:textId="132CD72E" w:rsidR="008A4B0D" w:rsidRPr="00F71523" w:rsidRDefault="004B1BDF" w:rsidP="00B42286">
      <w:pPr>
        <w:pStyle w:val="BodyText"/>
        <w:rPr>
          <w:rFonts w:cs="Arial"/>
          <w:szCs w:val="20"/>
        </w:rPr>
      </w:pPr>
      <w:r>
        <w:t>The</w:t>
      </w:r>
      <w:r w:rsidR="008A4B0D" w:rsidRPr="00F71523">
        <w:t xml:space="preserve"> </w:t>
      </w:r>
      <w:r w:rsidR="0086608F">
        <w:t>c</w:t>
      </w:r>
      <w:r w:rsidR="008A4B0D" w:rsidRPr="00F71523">
        <w:t xml:space="preserve">ontractors </w:t>
      </w:r>
      <w:r w:rsidR="00B42286" w:rsidRPr="00F71523">
        <w:t xml:space="preserve">would </w:t>
      </w:r>
      <w:r w:rsidR="008A4B0D" w:rsidRPr="00F71523">
        <w:t>hold responsibilities for</w:t>
      </w:r>
      <w:r w:rsidR="00B42286" w:rsidRPr="00F71523">
        <w:t xml:space="preserve"> the ongoing management of baseline and monitoring data to ensure the transparency and accountability of environmental management. </w:t>
      </w:r>
    </w:p>
    <w:p w14:paraId="0C4DD5D6" w14:textId="4EB8BF49" w:rsidR="00372D8F" w:rsidRPr="00F71523" w:rsidRDefault="00372D8F" w:rsidP="00B42286">
      <w:pPr>
        <w:pStyle w:val="BodyText"/>
      </w:pPr>
      <w:r w:rsidRPr="00F71523">
        <w:t>MMRA would be responsible for checking that baseline and other monitoring data meet the monitoring requirements of the</w:t>
      </w:r>
      <w:r w:rsidR="00616BFE">
        <w:t xml:space="preserve"> MMRA</w:t>
      </w:r>
      <w:r w:rsidRPr="00F71523">
        <w:t xml:space="preserve"> EMS and ensuring that the stored electronic data sets are electronically readable.</w:t>
      </w:r>
    </w:p>
    <w:p w14:paraId="2111295E" w14:textId="77777777" w:rsidR="00B42286" w:rsidRPr="00F71523" w:rsidRDefault="00B42286" w:rsidP="009E42D8">
      <w:pPr>
        <w:pStyle w:val="BodyText"/>
      </w:pPr>
      <w:r w:rsidRPr="00F71523">
        <w:lastRenderedPageBreak/>
        <w:t xml:space="preserve">Results of monitoring would be made available upon request to relevant </w:t>
      </w:r>
      <w:r w:rsidR="008A4B0D" w:rsidRPr="00F71523">
        <w:rPr>
          <w:rFonts w:cs="Arial"/>
          <w:szCs w:val="20"/>
        </w:rPr>
        <w:t>interested parties</w:t>
      </w:r>
      <w:r w:rsidR="008A4B0D" w:rsidRPr="00F71523">
        <w:t xml:space="preserve"> </w:t>
      </w:r>
      <w:r w:rsidRPr="00F71523">
        <w:t>to contribute to the improvement of envir</w:t>
      </w:r>
      <w:r w:rsidR="004C0087" w:rsidRPr="00F71523">
        <w:t>onmental knowledge more widely</w:t>
      </w:r>
      <w:r w:rsidRPr="00F71523">
        <w:t>.</w:t>
      </w:r>
    </w:p>
    <w:p w14:paraId="2A6CBE96" w14:textId="77777777" w:rsidR="009E42D8" w:rsidRPr="00F71523" w:rsidRDefault="009E42D8" w:rsidP="009E42D8">
      <w:pPr>
        <w:pStyle w:val="Heading3"/>
      </w:pPr>
      <w:r w:rsidRPr="00F71523">
        <w:t>Reporting</w:t>
      </w:r>
    </w:p>
    <w:p w14:paraId="28D84641" w14:textId="3A47CB2A" w:rsidR="009E42D8" w:rsidRPr="00F71523" w:rsidRDefault="009E42D8" w:rsidP="009E42D8">
      <w:pPr>
        <w:pStyle w:val="BodyText"/>
      </w:pPr>
      <w:r w:rsidRPr="00F71523">
        <w:t xml:space="preserve">Performance against each </w:t>
      </w:r>
      <w:r w:rsidR="0086608F">
        <w:t>c</w:t>
      </w:r>
      <w:r w:rsidRPr="00F71523">
        <w:t>ontractor's CEMP would be reported to the MMRA and relevant government agencies as appropriate. The CEMP would describe the reporting and external notification requirements in detail, including what needs to be reported and to whom and the timeframe for reporting.</w:t>
      </w:r>
    </w:p>
    <w:p w14:paraId="0C0BE337" w14:textId="77777777" w:rsidR="009E42D8" w:rsidRPr="00F71523" w:rsidRDefault="009E42D8" w:rsidP="009E42D8">
      <w:pPr>
        <w:pStyle w:val="BodyText"/>
      </w:pPr>
      <w:r w:rsidRPr="00F71523">
        <w:t>Reporting and notification requirements would include, but not be limited to:</w:t>
      </w:r>
    </w:p>
    <w:p w14:paraId="3F185FEA" w14:textId="61C05B93" w:rsidR="009E42D8" w:rsidRPr="00F71523" w:rsidRDefault="009E42D8" w:rsidP="009E42D8">
      <w:pPr>
        <w:pStyle w:val="BodyBullet1"/>
      </w:pPr>
      <w:r w:rsidRPr="00F71523">
        <w:t xml:space="preserve">The </w:t>
      </w:r>
      <w:r w:rsidR="0086608F">
        <w:t>c</w:t>
      </w:r>
      <w:r w:rsidRPr="00F71523">
        <w:t xml:space="preserve">ontractor would be required to prepare monthly environmental performance reports to MMRA and the Independent Reviewer for the PPP </w:t>
      </w:r>
      <w:r w:rsidR="00947F90">
        <w:t>c</w:t>
      </w:r>
      <w:r w:rsidRPr="00F71523">
        <w:t>ontract. This report would include external and internal audit findings, monitoring results an</w:t>
      </w:r>
      <w:r w:rsidR="00583133" w:rsidRPr="00F71523">
        <w:t>d incidents and non-compliances</w:t>
      </w:r>
    </w:p>
    <w:p w14:paraId="252470EC" w14:textId="77777777" w:rsidR="009E42D8" w:rsidRPr="00F71523" w:rsidRDefault="009E42D8" w:rsidP="009E42D8">
      <w:pPr>
        <w:pStyle w:val="BodyBullet1"/>
      </w:pPr>
      <w:r w:rsidRPr="00F71523">
        <w:t>Quarterly project activity report containing su</w:t>
      </w:r>
      <w:r w:rsidR="00583133" w:rsidRPr="00F71523">
        <w:t>mmary of key project activities</w:t>
      </w:r>
    </w:p>
    <w:p w14:paraId="020CCA35" w14:textId="77777777" w:rsidR="009E42D8" w:rsidRPr="00F71523" w:rsidRDefault="009E42D8" w:rsidP="009E42D8">
      <w:pPr>
        <w:pStyle w:val="BodyBullet1"/>
      </w:pPr>
      <w:r w:rsidRPr="00F71523">
        <w:t xml:space="preserve">Notification to </w:t>
      </w:r>
      <w:r w:rsidR="00E91EA4" w:rsidRPr="00F71523">
        <w:t xml:space="preserve">the Office of </w:t>
      </w:r>
      <w:r w:rsidRPr="00F71523">
        <w:t xml:space="preserve">Aboriginal Affairs Victoria and DELWP if </w:t>
      </w:r>
      <w:r w:rsidR="00E91EA4" w:rsidRPr="00F71523">
        <w:t xml:space="preserve">a </w:t>
      </w:r>
      <w:r w:rsidRPr="00F71523">
        <w:t xml:space="preserve">potential Aboriginal site or artefact </w:t>
      </w:r>
      <w:r w:rsidR="00E91EA4" w:rsidRPr="00F71523">
        <w:t xml:space="preserve">is </w:t>
      </w:r>
      <w:r w:rsidRPr="00F71523">
        <w:t>identified</w:t>
      </w:r>
    </w:p>
    <w:p w14:paraId="3FB5F6C5" w14:textId="2B85EF58" w:rsidR="009E42D8" w:rsidRPr="00F71523" w:rsidRDefault="009E42D8" w:rsidP="009E42D8">
      <w:pPr>
        <w:pStyle w:val="BodyBullet1"/>
      </w:pPr>
      <w:r w:rsidRPr="00F71523">
        <w:t xml:space="preserve">Notification to Heritage Victoria and DELWP if </w:t>
      </w:r>
      <w:r w:rsidR="00691B15">
        <w:t>a</w:t>
      </w:r>
      <w:r w:rsidRPr="00F71523">
        <w:t xml:space="preserve"> heritage artefact</w:t>
      </w:r>
      <w:r w:rsidR="00691B15">
        <w:t xml:space="preserve"> is discovered</w:t>
      </w:r>
      <w:r w:rsidRPr="00F71523">
        <w:t>.</w:t>
      </w:r>
    </w:p>
    <w:p w14:paraId="42C8C128" w14:textId="77777777" w:rsidR="009E42D8" w:rsidRPr="00F71523" w:rsidRDefault="009E42D8" w:rsidP="009E42D8">
      <w:pPr>
        <w:pStyle w:val="Heading3"/>
      </w:pPr>
      <w:r w:rsidRPr="00F71523">
        <w:t>Audits</w:t>
      </w:r>
    </w:p>
    <w:p w14:paraId="2AA6E0FE" w14:textId="003F0A94" w:rsidR="009E42D8" w:rsidRPr="00F71523" w:rsidRDefault="009E42D8" w:rsidP="009E42D8">
      <w:pPr>
        <w:pStyle w:val="BodyText"/>
      </w:pPr>
      <w:r w:rsidRPr="00F71523">
        <w:t xml:space="preserve">Internal audits would be undertaken (by both MMRA and the appointed </w:t>
      </w:r>
      <w:r w:rsidR="0086608F">
        <w:t>c</w:t>
      </w:r>
      <w:r w:rsidRPr="00F71523">
        <w:t xml:space="preserve">ontractors) to monitor environmental performance, and to ensure continued conformance with ISO14001. </w:t>
      </w:r>
    </w:p>
    <w:p w14:paraId="5F12325C" w14:textId="6083252D" w:rsidR="004C0087" w:rsidRPr="00F71523" w:rsidRDefault="009E42D8" w:rsidP="009E42D8">
      <w:pPr>
        <w:pStyle w:val="BodyText"/>
      </w:pPr>
      <w:r w:rsidRPr="00F71523">
        <w:t xml:space="preserve">External audits would be conducted to monitor environmental performance for each work package, and to ensure continued conformance with ISO14001. </w:t>
      </w:r>
      <w:r w:rsidR="004C0087" w:rsidRPr="00F71523">
        <w:t xml:space="preserve">For the PPP </w:t>
      </w:r>
      <w:r w:rsidR="00D40BED">
        <w:t>c</w:t>
      </w:r>
      <w:r w:rsidR="004C0087" w:rsidRPr="00F71523">
        <w:t xml:space="preserve">ontract, these external audits would be undertaken by the Independent </w:t>
      </w:r>
      <w:r w:rsidR="004B1BDF">
        <w:t xml:space="preserve">Environmental </w:t>
      </w:r>
      <w:r w:rsidR="004C0087" w:rsidRPr="00F71523">
        <w:t xml:space="preserve">Auditor appointed the PPP </w:t>
      </w:r>
      <w:r w:rsidR="0086608F">
        <w:t>c</w:t>
      </w:r>
      <w:r w:rsidR="004C0087" w:rsidRPr="00F71523">
        <w:t>ontractor</w:t>
      </w:r>
      <w:r w:rsidR="004C0087" w:rsidRPr="004B1BDF">
        <w:t xml:space="preserve">. The other work packages would be required to undertake external auditing in accordance with their EMS. </w:t>
      </w:r>
    </w:p>
    <w:p w14:paraId="5822D534" w14:textId="2D50FCDE" w:rsidR="009E42D8" w:rsidRPr="00F71523" w:rsidRDefault="009E42D8" w:rsidP="009E42D8">
      <w:pPr>
        <w:pStyle w:val="BodyText"/>
      </w:pPr>
      <w:r w:rsidRPr="00F71523">
        <w:t xml:space="preserve">MMRA's implementation of the </w:t>
      </w:r>
      <w:r w:rsidR="00616BFE">
        <w:t xml:space="preserve">MMRA </w:t>
      </w:r>
      <w:r w:rsidRPr="00F71523">
        <w:t>EMS would be audited annually using an independent auditor.</w:t>
      </w:r>
    </w:p>
    <w:p w14:paraId="4B5A074E" w14:textId="338C4AE3" w:rsidR="009E42D8" w:rsidRPr="00F71523" w:rsidRDefault="009E42D8" w:rsidP="009E42D8">
      <w:pPr>
        <w:pStyle w:val="BodyText"/>
      </w:pPr>
      <w:r w:rsidRPr="00F71523">
        <w:t xml:space="preserve">Audits would be scheduled for all </w:t>
      </w:r>
      <w:r w:rsidR="00400111" w:rsidRPr="00F71523">
        <w:t>Melbourne Metro</w:t>
      </w:r>
      <w:r w:rsidRPr="00F71523">
        <w:t xml:space="preserve"> work packages (</w:t>
      </w:r>
      <w:r w:rsidR="0086608F">
        <w:t xml:space="preserve">such as </w:t>
      </w:r>
      <w:r w:rsidR="00E75ECF" w:rsidRPr="00F71523">
        <w:t>early</w:t>
      </w:r>
      <w:r w:rsidRPr="00F71523">
        <w:t xml:space="preserve"> works, Tunnels and stations, Rail systems</w:t>
      </w:r>
      <w:r w:rsidR="0086608F">
        <w:t xml:space="preserve"> and </w:t>
      </w:r>
      <w:r w:rsidRPr="00F71523">
        <w:t>Rail infrastructure) to ensure project activities are in accordance with the</w:t>
      </w:r>
      <w:r w:rsidR="00616BFE">
        <w:t xml:space="preserve"> MMRA</w:t>
      </w:r>
      <w:r w:rsidRPr="00F71523">
        <w:t xml:space="preserve"> EMS, Environmental Performance Requirements and the </w:t>
      </w:r>
      <w:r w:rsidR="0086608F">
        <w:t>c</w:t>
      </w:r>
      <w:r w:rsidRPr="00F71523">
        <w:t xml:space="preserve">ontractor CEMP. The audit scope </w:t>
      </w:r>
      <w:r w:rsidR="004A24BF">
        <w:t>would</w:t>
      </w:r>
      <w:r w:rsidR="004A24BF" w:rsidRPr="00F71523">
        <w:t xml:space="preserve"> </w:t>
      </w:r>
      <w:r w:rsidRPr="00F71523">
        <w:t>be prepared prior to each audit. In summary, audits would evaluate:</w:t>
      </w:r>
    </w:p>
    <w:p w14:paraId="57D705E3" w14:textId="77777777" w:rsidR="009E42D8" w:rsidRPr="00F71523" w:rsidRDefault="009E42D8" w:rsidP="009E42D8">
      <w:pPr>
        <w:pStyle w:val="BodyBullet1"/>
      </w:pPr>
      <w:r w:rsidRPr="00F71523">
        <w:t>Conformance with EMS</w:t>
      </w:r>
      <w:r w:rsidR="004E78F0" w:rsidRPr="00F71523">
        <w:t>/</w:t>
      </w:r>
      <w:r w:rsidRPr="00F71523">
        <w:t>EMP requirements</w:t>
      </w:r>
    </w:p>
    <w:p w14:paraId="6F09CB66" w14:textId="77777777" w:rsidR="009E42D8" w:rsidRPr="00F71523" w:rsidRDefault="009E42D8" w:rsidP="009E42D8">
      <w:pPr>
        <w:pStyle w:val="BodyBullet1"/>
      </w:pPr>
      <w:r w:rsidRPr="00F71523">
        <w:t>Compliance with Environmental Performance Requirements</w:t>
      </w:r>
    </w:p>
    <w:p w14:paraId="65CD0482" w14:textId="77777777" w:rsidR="009E42D8" w:rsidRPr="00F71523" w:rsidRDefault="009E42D8" w:rsidP="00601E2A">
      <w:pPr>
        <w:pStyle w:val="BodyBullet1"/>
        <w:keepNext/>
      </w:pPr>
      <w:r w:rsidRPr="00F71523">
        <w:lastRenderedPageBreak/>
        <w:t>Responses to non-conformances, incidents and complaints received</w:t>
      </w:r>
    </w:p>
    <w:p w14:paraId="0532E432" w14:textId="77777777" w:rsidR="009E42D8" w:rsidRPr="00F71523" w:rsidRDefault="009E42D8" w:rsidP="009E42D8">
      <w:pPr>
        <w:pStyle w:val="BodyBullet1"/>
      </w:pPr>
      <w:r w:rsidRPr="00F71523">
        <w:t>Effective implementation of monitoring programs.</w:t>
      </w:r>
    </w:p>
    <w:p w14:paraId="0C68F409" w14:textId="3256DC73" w:rsidR="009E42D8" w:rsidRPr="00F71523" w:rsidRDefault="009E42D8" w:rsidP="009E42D8">
      <w:pPr>
        <w:pStyle w:val="BodyText"/>
      </w:pPr>
      <w:r w:rsidRPr="00F71523">
        <w:t xml:space="preserve">The audit schedule </w:t>
      </w:r>
      <w:r w:rsidR="004A24BF">
        <w:t>would</w:t>
      </w:r>
      <w:r w:rsidR="004A24BF" w:rsidRPr="00F71523">
        <w:t xml:space="preserve"> </w:t>
      </w:r>
      <w:r w:rsidRPr="00F71523">
        <w:t xml:space="preserve">be determined on an annual basis for each work package and </w:t>
      </w:r>
      <w:r w:rsidR="004A24BF">
        <w:t>would</w:t>
      </w:r>
      <w:r w:rsidR="004A24BF" w:rsidRPr="00F71523">
        <w:t xml:space="preserve"> </w:t>
      </w:r>
      <w:r w:rsidRPr="00F71523">
        <w:t xml:space="preserve">take into account the following: </w:t>
      </w:r>
    </w:p>
    <w:p w14:paraId="3166B4A5" w14:textId="77777777" w:rsidR="009E42D8" w:rsidRPr="00F71523" w:rsidRDefault="009E42D8" w:rsidP="009E42D8">
      <w:pPr>
        <w:pStyle w:val="BodyBullet1"/>
      </w:pPr>
      <w:r w:rsidRPr="00F71523">
        <w:t xml:space="preserve">The timing of the proposed works </w:t>
      </w:r>
    </w:p>
    <w:p w14:paraId="4C2CDA55" w14:textId="77777777" w:rsidR="009E42D8" w:rsidRPr="00F71523" w:rsidRDefault="009E42D8" w:rsidP="009E42D8">
      <w:pPr>
        <w:pStyle w:val="BodyBullet1"/>
      </w:pPr>
      <w:r w:rsidRPr="00F71523">
        <w:t xml:space="preserve">The nature of the proposed works including consideration of the level of associated risk </w:t>
      </w:r>
    </w:p>
    <w:p w14:paraId="6FC0D827" w14:textId="77777777" w:rsidR="009E42D8" w:rsidRPr="00F71523" w:rsidRDefault="009E42D8" w:rsidP="009E42D8">
      <w:pPr>
        <w:pStyle w:val="BodyBullet1"/>
      </w:pPr>
      <w:r w:rsidRPr="00F71523">
        <w:t xml:space="preserve">Incident investigation outcomes </w:t>
      </w:r>
    </w:p>
    <w:p w14:paraId="543131E0" w14:textId="77777777" w:rsidR="009E42D8" w:rsidRPr="00F71523" w:rsidRDefault="009E42D8" w:rsidP="009E42D8">
      <w:pPr>
        <w:pStyle w:val="BodyBullet1"/>
      </w:pPr>
      <w:r w:rsidRPr="00F71523">
        <w:t xml:space="preserve">Previous audit outcomes </w:t>
      </w:r>
    </w:p>
    <w:p w14:paraId="7E5332D1" w14:textId="77777777" w:rsidR="009E42D8" w:rsidRPr="00F71523" w:rsidRDefault="009E42D8" w:rsidP="009E42D8">
      <w:pPr>
        <w:pStyle w:val="BodyBullet1"/>
      </w:pPr>
      <w:r w:rsidRPr="00F71523">
        <w:t xml:space="preserve">Management review outcomes. </w:t>
      </w:r>
    </w:p>
    <w:p w14:paraId="58D170F6" w14:textId="332E65D8" w:rsidR="009E42D8" w:rsidRPr="00F71523" w:rsidRDefault="009E42D8" w:rsidP="009E42D8">
      <w:pPr>
        <w:pStyle w:val="BodyText"/>
      </w:pPr>
      <w:r w:rsidRPr="00F71523">
        <w:t xml:space="preserve">Conformance </w:t>
      </w:r>
      <w:r w:rsidR="004A24BF">
        <w:t>would</w:t>
      </w:r>
      <w:r w:rsidR="004A24BF" w:rsidRPr="00F71523">
        <w:t xml:space="preserve"> </w:t>
      </w:r>
      <w:r w:rsidRPr="00F71523">
        <w:t xml:space="preserve">be assessed through observation of project activities, interviews and review of records. Records </w:t>
      </w:r>
      <w:r w:rsidR="004A24BF">
        <w:t>would</w:t>
      </w:r>
      <w:r w:rsidR="004A24BF" w:rsidRPr="00F71523">
        <w:t xml:space="preserve"> </w:t>
      </w:r>
      <w:r w:rsidRPr="00F71523">
        <w:t>include the following:</w:t>
      </w:r>
    </w:p>
    <w:p w14:paraId="75E78314" w14:textId="77777777" w:rsidR="009E42D8" w:rsidRPr="00F71523" w:rsidRDefault="009E42D8" w:rsidP="009E42D8">
      <w:pPr>
        <w:pStyle w:val="BodyBullet1"/>
      </w:pPr>
      <w:r w:rsidRPr="00F71523">
        <w:t>Environmental monitoring, process monitoring and management performance monitoring results</w:t>
      </w:r>
    </w:p>
    <w:p w14:paraId="4D9C7DD1" w14:textId="77777777" w:rsidR="009E42D8" w:rsidRPr="00F71523" w:rsidRDefault="009E42D8" w:rsidP="009E42D8">
      <w:pPr>
        <w:pStyle w:val="BodyBullet1"/>
      </w:pPr>
      <w:r w:rsidRPr="00F71523">
        <w:t>Inspection and audit reports</w:t>
      </w:r>
    </w:p>
    <w:p w14:paraId="079395F8" w14:textId="77777777" w:rsidR="009E42D8" w:rsidRPr="00F71523" w:rsidRDefault="009E42D8" w:rsidP="009E42D8">
      <w:pPr>
        <w:pStyle w:val="BodyBullet1"/>
      </w:pPr>
      <w:r w:rsidRPr="00F71523">
        <w:t>Soil and waste management records</w:t>
      </w:r>
    </w:p>
    <w:p w14:paraId="43ECF2CE" w14:textId="77777777" w:rsidR="009E42D8" w:rsidRPr="00F71523" w:rsidRDefault="009E42D8" w:rsidP="009E42D8">
      <w:pPr>
        <w:pStyle w:val="BodyBullet1"/>
      </w:pPr>
      <w:r w:rsidRPr="00F71523">
        <w:t>Surveys</w:t>
      </w:r>
    </w:p>
    <w:p w14:paraId="742BAD03" w14:textId="77777777" w:rsidR="009E42D8" w:rsidRPr="00F71523" w:rsidRDefault="009E42D8" w:rsidP="009E42D8">
      <w:pPr>
        <w:pStyle w:val="BodyBullet1"/>
      </w:pPr>
      <w:r w:rsidRPr="00F71523">
        <w:t>Meeting minutes.</w:t>
      </w:r>
    </w:p>
    <w:p w14:paraId="4A9946AC" w14:textId="77777777" w:rsidR="009E42D8" w:rsidRPr="00F71523" w:rsidRDefault="009E42D8" w:rsidP="009631F9">
      <w:pPr>
        <w:pStyle w:val="BodyText"/>
        <w:ind w:right="-113"/>
      </w:pPr>
      <w:r w:rsidRPr="00F71523">
        <w:t xml:space="preserve">As a minimum, internal audits would be scheduled to coincide with the commencement of key activities and the use of key equipment, and on a quarterly basis (and more frequently where necessary) through the delivery of each work package. External audits would be scheduled on a quarterly basis (and more frequently where necessary) through the delivery of each work package. </w:t>
      </w:r>
    </w:p>
    <w:p w14:paraId="7539149D" w14:textId="77777777" w:rsidR="009E42D8" w:rsidRDefault="009E42D8" w:rsidP="009E42D8">
      <w:pPr>
        <w:pStyle w:val="BodyText"/>
      </w:pPr>
      <w:r w:rsidRPr="00F71523">
        <w:t>The results of each audit would be presented in an audit report (the template to which will be agreed with MMRA at project commencement).</w:t>
      </w:r>
    </w:p>
    <w:p w14:paraId="78277024" w14:textId="6DDE9A9F" w:rsidR="00E24EA4" w:rsidRDefault="00E24EA4" w:rsidP="009D5805">
      <w:pPr>
        <w:pStyle w:val="Heading2"/>
      </w:pPr>
      <w:bookmarkStart w:id="25" w:name="_Ref450507826"/>
      <w:bookmarkStart w:id="26" w:name="_Toc450895091"/>
      <w:r>
        <w:t>Contingency Measures</w:t>
      </w:r>
      <w:bookmarkEnd w:id="25"/>
      <w:bookmarkEnd w:id="26"/>
    </w:p>
    <w:p w14:paraId="0EFF6DB0" w14:textId="0622DF36" w:rsidR="00E24EA4" w:rsidRDefault="00E24EA4">
      <w:pPr>
        <w:pStyle w:val="BodyText"/>
      </w:pPr>
      <w:r>
        <w:t>The CEMP and OEMP would be required to include appropriate contingency measures to address identified environmental</w:t>
      </w:r>
      <w:r w:rsidR="00746470">
        <w:t>, social and business</w:t>
      </w:r>
      <w:r>
        <w:t xml:space="preserve"> risks during construction and operational phases. Contingency measures may be required to take effect in the event that monitoring or auditing (or any other means) identifies:</w:t>
      </w:r>
    </w:p>
    <w:p w14:paraId="64DBF63F" w14:textId="028AD834" w:rsidR="00E24EA4" w:rsidRDefault="00E24EA4" w:rsidP="009D5805">
      <w:pPr>
        <w:pStyle w:val="BodyBullet1"/>
      </w:pPr>
      <w:r>
        <w:t>U</w:t>
      </w:r>
      <w:r w:rsidRPr="00E24EA4">
        <w:t>nforeseen is</w:t>
      </w:r>
      <w:r w:rsidR="00947F90">
        <w:t>sues;</w:t>
      </w:r>
      <w:r w:rsidRPr="00E24EA4">
        <w:t xml:space="preserve"> or</w:t>
      </w:r>
    </w:p>
    <w:p w14:paraId="4A663520" w14:textId="3471DE1A" w:rsidR="00E24EA4" w:rsidRDefault="00E24EA4" w:rsidP="009D5805">
      <w:pPr>
        <w:pStyle w:val="BodyBullet1"/>
      </w:pPr>
      <w:r>
        <w:t>I</w:t>
      </w:r>
      <w:r w:rsidRPr="00E24EA4">
        <w:t>ssues which are foreseeable but not expected to occur</w:t>
      </w:r>
      <w:r>
        <w:t>;</w:t>
      </w:r>
      <w:r w:rsidRPr="00E24EA4">
        <w:t xml:space="preserve"> or </w:t>
      </w:r>
    </w:p>
    <w:p w14:paraId="63673627" w14:textId="5ABCC5C4" w:rsidR="00E24EA4" w:rsidRDefault="00E24EA4" w:rsidP="009D5805">
      <w:pPr>
        <w:pStyle w:val="BodyBullet1"/>
      </w:pPr>
      <w:r>
        <w:t>I</w:t>
      </w:r>
      <w:r w:rsidRPr="00E24EA4">
        <w:t xml:space="preserve">mpacts which are expected but which </w:t>
      </w:r>
      <w:r w:rsidR="00BF4FA6">
        <w:t>prove greater than anticipated.</w:t>
      </w:r>
    </w:p>
    <w:p w14:paraId="33716E9A" w14:textId="3F55458D" w:rsidR="00F638AE" w:rsidRDefault="00BF4FA6">
      <w:pPr>
        <w:pStyle w:val="BodyText"/>
      </w:pPr>
      <w:r>
        <w:lastRenderedPageBreak/>
        <w:t>Contingency measures</w:t>
      </w:r>
      <w:r w:rsidR="00F638AE">
        <w:t xml:space="preserve"> would be developed to comply with relevant regulations, standards and industry be</w:t>
      </w:r>
      <w:r w:rsidR="00746470">
        <w:t>st practice guidelines.</w:t>
      </w:r>
    </w:p>
    <w:p w14:paraId="75A427F5" w14:textId="1605DD3F" w:rsidR="00E24EA4" w:rsidRPr="00E24EA4" w:rsidRDefault="00BF4FA6" w:rsidP="00BF4FA6">
      <w:pPr>
        <w:pStyle w:val="BodyText"/>
      </w:pPr>
      <w:r w:rsidRPr="00BF4FA6">
        <w:t>Examples of potential contingency measures include protocols for managing the discovery of previously unidentified historical archaeological sites and a plan to address the containment, treatment and disposal of any fuel and chemical spills. Contingency measures will also be a key part of the Cultural Heritage Management Plan for managing the discovery of previously unidentified Aboriginal Heritage sites.</w:t>
      </w:r>
      <w:bookmarkStart w:id="27" w:name="_GoBack"/>
      <w:bookmarkEnd w:id="27"/>
    </w:p>
    <w:sectPr w:rsidR="00E24EA4" w:rsidRPr="00E24EA4" w:rsidSect="002B5936">
      <w:footnotePr>
        <w:numFmt w:val="chicago"/>
        <w:numRestart w:val="eachPage"/>
      </w:footnotePr>
      <w:pgSz w:w="11906" w:h="16838" w:code="9"/>
      <w:pgMar w:top="1701" w:right="1418" w:bottom="1701" w:left="3289" w:header="567" w:footer="567" w:gutter="0"/>
      <w:pgNumType w:chapStyle="1" w:chapSep="enDash"/>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2E95E3" w14:textId="77777777" w:rsidR="00592D5C" w:rsidRDefault="00592D5C" w:rsidP="00A02FC6">
      <w:r>
        <w:separator/>
      </w:r>
    </w:p>
  </w:endnote>
  <w:endnote w:type="continuationSeparator" w:id="0">
    <w:p w14:paraId="1A733BD4" w14:textId="77777777" w:rsidR="00592D5C" w:rsidRDefault="00592D5C" w:rsidP="00A02F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E5F87C" w14:textId="77777777" w:rsidR="00C63B47" w:rsidRPr="00184512" w:rsidRDefault="00C63B47" w:rsidP="00792161">
    <w:pPr>
      <w:pStyle w:val="Footer"/>
      <w:jc w:val="right"/>
    </w:pPr>
    <w:r w:rsidRPr="00293BE9">
      <w:rPr>
        <w:lang w:eastAsia="en-AU"/>
      </w:rPr>
      <mc:AlternateContent>
        <mc:Choice Requires="wps">
          <w:drawing>
            <wp:anchor distT="0" distB="0" distL="114300" distR="114300" simplePos="0" relativeHeight="251691008" behindDoc="0" locked="1" layoutInCell="1" allowOverlap="1" wp14:anchorId="55599DD0" wp14:editId="6A080F00">
              <wp:simplePos x="0" y="0"/>
              <wp:positionH relativeFrom="column">
                <wp:align>left</wp:align>
              </wp:positionH>
              <wp:positionV relativeFrom="paragraph">
                <wp:posOffset>0</wp:posOffset>
              </wp:positionV>
              <wp:extent cx="890270" cy="605790"/>
              <wp:effectExtent l="0" t="0" r="5080" b="10160"/>
              <wp:wrapNone/>
              <wp:docPr id="24" name="Text Box 24"/>
              <wp:cNvGraphicFramePr/>
              <a:graphic xmlns:a="http://schemas.openxmlformats.org/drawingml/2006/main">
                <a:graphicData uri="http://schemas.microsoft.com/office/word/2010/wordprocessingShape">
                  <wps:wsp>
                    <wps:cNvSpPr txBox="1"/>
                    <wps:spPr>
                      <a:xfrm>
                        <a:off x="0" y="0"/>
                        <a:ext cx="890270" cy="605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B0BFAF" w14:textId="77777777" w:rsidR="00C63B47" w:rsidRPr="00671047" w:rsidRDefault="00C63B47" w:rsidP="000E2CE8">
                          <w:pPr>
                            <w:pStyle w:val="PageNo"/>
                            <w:jc w:val="left"/>
                          </w:pPr>
                          <w:r w:rsidRPr="00671047">
                            <w:fldChar w:fldCharType="begin"/>
                          </w:r>
                          <w:r w:rsidRPr="00671047">
                            <w:instrText xml:space="preserve"> PAGE   \* MERGEFORMAT </w:instrText>
                          </w:r>
                          <w:r w:rsidRPr="00671047">
                            <w:fldChar w:fldCharType="separate"/>
                          </w:r>
                          <w:r w:rsidR="00620559">
                            <w:t>23–62</w:t>
                          </w:r>
                          <w:r w:rsidRPr="00671047">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4" o:spid="_x0000_s1076" type="#_x0000_t202" style="position:absolute;left:0;text-align:left;margin-left:0;margin-top:0;width:70.1pt;height:47.7pt;z-index:251691008;visibility:visible;mso-wrap-style:square;mso-width-percent:0;mso-wrap-distance-left:9pt;mso-wrap-distance-top:0;mso-wrap-distance-right:9pt;mso-wrap-distance-bottom:0;mso-position-horizontal:left;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" filled="f" stroked="f" strokeweight=".5pt">
              <v:textbox style="mso-fit-shape-to-text:t" inset="0,0,0,0">
                <w:txbxContent>
                  <w:p w14:paraId="55B0BFAF" w14:textId="77777777" w:rsidR="00C63B47" w:rsidRPr="00671047" w:rsidRDefault="00C63B47" w:rsidP="000E2CE8">
                    <w:pPr>
                      <w:pStyle w:val="PageNo"/>
                      <w:jc w:val="left"/>
                    </w:pPr>
                    <w:r w:rsidRPr="00671047">
                      <w:fldChar w:fldCharType="begin"/>
                    </w:r>
                    <w:r w:rsidRPr="00671047">
                      <w:instrText xml:space="preserve"> PAGE   \* MERGEFORMAT </w:instrText>
                    </w:r>
                    <w:r w:rsidRPr="00671047">
                      <w:fldChar w:fldCharType="separate"/>
                    </w:r>
                    <w:r w:rsidR="00620559">
                      <w:t>23–62</w:t>
                    </w:r>
                    <w:r w:rsidRPr="00671047">
                      <w:fldChar w:fldCharType="end"/>
                    </w:r>
                  </w:p>
                </w:txbxContent>
              </v:textbox>
              <w10:anchorlock/>
            </v:shape>
          </w:pict>
        </mc:Fallback>
      </mc:AlternateContent>
    </w:r>
    <w:r w:rsidRPr="00224918">
      <w:rPr>
        <w:color w:val="008A9E" w:themeColor="text2" w:themeShade="BF"/>
      </w:rPr>
      <w:t>MMRA</w:t>
    </w:r>
    <w:r w:rsidRPr="001A78B0">
      <w:rPr>
        <w:spacing w:val="60"/>
      </w:rPr>
      <w:t xml:space="preserve"> </w:t>
    </w:r>
    <w:r w:rsidRPr="001A78B0">
      <w:rPr>
        <w:color w:val="C9C3BE" w:themeColor="accent3" w:themeTint="99"/>
        <w:spacing w:val="60"/>
      </w:rPr>
      <w:t>|</w:t>
    </w:r>
    <w:r w:rsidRPr="001A78B0">
      <w:rPr>
        <w:spacing w:val="60"/>
      </w:rPr>
      <w:t xml:space="preserve"> </w:t>
    </w:r>
    <w:r>
      <w:rPr>
        <w:color w:val="00BAD4" w:themeColor="text2"/>
      </w:rPr>
      <w:t>Environment Effects Statement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0FF85F" w14:textId="77777777" w:rsidR="008152EB" w:rsidRPr="00184512" w:rsidRDefault="008152EB" w:rsidP="00D80A9E">
    <w:pPr>
      <w:pStyle w:val="Footer"/>
    </w:pPr>
    <w:r w:rsidRPr="00224918">
      <w:rPr>
        <w:color w:val="008A9E" w:themeColor="text2" w:themeShade="BF"/>
      </w:rPr>
      <w:t>MMRA</w:t>
    </w:r>
    <w:r w:rsidRPr="001A78B0">
      <w:rPr>
        <w:spacing w:val="60"/>
      </w:rPr>
      <w:t xml:space="preserve"> </w:t>
    </w:r>
    <w:r w:rsidRPr="001A78B0">
      <w:rPr>
        <w:color w:val="C9C3BE" w:themeColor="accent3" w:themeTint="99"/>
        <w:spacing w:val="60"/>
      </w:rPr>
      <w:t>|</w:t>
    </w:r>
    <w:r w:rsidRPr="001A78B0">
      <w:rPr>
        <w:spacing w:val="60"/>
      </w:rPr>
      <w:t xml:space="preserve"> </w:t>
    </w:r>
    <w:r w:rsidRPr="00293BE9">
      <w:rPr>
        <w:lang w:eastAsia="en-AU"/>
      </w:rPr>
      <mc:AlternateContent>
        <mc:Choice Requires="wps">
          <w:drawing>
            <wp:anchor distT="0" distB="0" distL="114300" distR="114300" simplePos="0" relativeHeight="251693056" behindDoc="0" locked="1" layoutInCell="1" allowOverlap="1" wp14:anchorId="44B8188C" wp14:editId="65928A00">
              <wp:simplePos x="0" y="0"/>
              <wp:positionH relativeFrom="rightMargin">
                <wp:posOffset>-900430</wp:posOffset>
              </wp:positionH>
              <wp:positionV relativeFrom="paragraph">
                <wp:posOffset>0</wp:posOffset>
              </wp:positionV>
              <wp:extent cx="899795" cy="605790"/>
              <wp:effectExtent l="0" t="0" r="14605" b="14605"/>
              <wp:wrapNone/>
              <wp:docPr id="3" name="Text Box 3"/>
              <wp:cNvGraphicFramePr/>
              <a:graphic xmlns:a="http://schemas.openxmlformats.org/drawingml/2006/main">
                <a:graphicData uri="http://schemas.microsoft.com/office/word/2010/wordprocessingShape">
                  <wps:wsp>
                    <wps:cNvSpPr txBox="1"/>
                    <wps:spPr>
                      <a:xfrm>
                        <a:off x="0" y="0"/>
                        <a:ext cx="899795" cy="605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31BC37" w14:textId="77777777" w:rsidR="008152EB" w:rsidRPr="00671047" w:rsidRDefault="008152EB" w:rsidP="00D80A9E">
                          <w:pPr>
                            <w:pStyle w:val="PageNo"/>
                          </w:pPr>
                          <w:r w:rsidRPr="00671047">
                            <w:fldChar w:fldCharType="begin"/>
                          </w:r>
                          <w:r w:rsidRPr="00671047">
                            <w:instrText xml:space="preserve"> PAGE   \* MERGEFORMAT </w:instrText>
                          </w:r>
                          <w:r w:rsidRPr="00671047">
                            <w:fldChar w:fldCharType="separate"/>
                          </w:r>
                          <w:r w:rsidR="00620559">
                            <w:t>23–63</w:t>
                          </w:r>
                          <w:r w:rsidRPr="00671047">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1077" type="#_x0000_t202" style="position:absolute;margin-left:-70.9pt;margin-top:0;width:70.85pt;height:47.7pt;z-index:251693056;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" filled="f" stroked="f" strokeweight=".5pt">
              <v:textbox style="mso-fit-shape-to-text:t" inset="0,0,0,0">
                <w:txbxContent>
                  <w:p w14:paraId="2D31BC37" w14:textId="77777777" w:rsidR="008152EB" w:rsidRPr="00671047" w:rsidRDefault="008152EB" w:rsidP="00D80A9E">
                    <w:pPr>
                      <w:pStyle w:val="PageNo"/>
                    </w:pPr>
                    <w:r w:rsidRPr="00671047">
                      <w:fldChar w:fldCharType="begin"/>
                    </w:r>
                    <w:r w:rsidRPr="00671047">
                      <w:instrText xml:space="preserve"> PAGE   \* MERGEFORMAT </w:instrText>
                    </w:r>
                    <w:r w:rsidRPr="00671047">
                      <w:fldChar w:fldCharType="separate"/>
                    </w:r>
                    <w:r w:rsidR="00620559">
                      <w:t>23–63</w:t>
                    </w:r>
                    <w:r w:rsidRPr="00671047">
                      <w:fldChar w:fldCharType="end"/>
                    </w:r>
                  </w:p>
                </w:txbxContent>
              </v:textbox>
              <w10:wrap anchorx="margin"/>
              <w10:anchorlock/>
            </v:shape>
          </w:pict>
        </mc:Fallback>
      </mc:AlternateContent>
    </w:r>
    <w:r>
      <w:rPr>
        <w:color w:val="00BAD4" w:themeColor="text2"/>
      </w:rPr>
      <w:t>Environment Effects Statement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CC2B8B" w14:textId="77777777" w:rsidR="00C63B47" w:rsidRDefault="00C63B47" w:rsidP="008912F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244223" w14:textId="77777777" w:rsidR="00592D5C" w:rsidRDefault="00592D5C" w:rsidP="0036083B">
      <w:pPr>
        <w:spacing w:before="360"/>
      </w:pPr>
      <w:r>
        <w:separator/>
      </w:r>
    </w:p>
  </w:footnote>
  <w:footnote w:type="continuationSeparator" w:id="0">
    <w:p w14:paraId="555F78C8" w14:textId="77777777" w:rsidR="00592D5C" w:rsidRDefault="00592D5C" w:rsidP="0036083B">
      <w:pPr>
        <w:spacing w:before="360"/>
      </w:pPr>
      <w:r>
        <w:continuationSeparator/>
      </w:r>
    </w:p>
  </w:footnote>
  <w:footnote w:type="continuationNotice" w:id="1">
    <w:p w14:paraId="620DE8CC" w14:textId="77777777" w:rsidR="00592D5C" w:rsidRDefault="00592D5C" w:rsidP="00A02FC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909DF1" w14:textId="77777777" w:rsidR="00C63B47" w:rsidRDefault="00C63B4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0D469FF2"/>
    <w:lvl w:ilvl="0">
      <w:start w:val="1"/>
      <w:numFmt w:val="decimal"/>
      <w:pStyle w:val="ListNumber3"/>
      <w:lvlText w:val="%1."/>
      <w:lvlJc w:val="left"/>
      <w:pPr>
        <w:tabs>
          <w:tab w:val="num" w:pos="926"/>
        </w:tabs>
        <w:ind w:left="926" w:hanging="360"/>
      </w:pPr>
    </w:lvl>
  </w:abstractNum>
  <w:abstractNum w:abstractNumId="1">
    <w:nsid w:val="FFFFFF7F"/>
    <w:multiLevelType w:val="singleLevel"/>
    <w:tmpl w:val="0F3CC254"/>
    <w:lvl w:ilvl="0">
      <w:start w:val="1"/>
      <w:numFmt w:val="decimal"/>
      <w:pStyle w:val="ListNumber2"/>
      <w:lvlText w:val="%1."/>
      <w:lvlJc w:val="left"/>
      <w:pPr>
        <w:tabs>
          <w:tab w:val="num" w:pos="643"/>
        </w:tabs>
        <w:ind w:left="643" w:hanging="360"/>
      </w:pPr>
    </w:lvl>
  </w:abstractNum>
  <w:abstractNum w:abstractNumId="2">
    <w:nsid w:val="FFFFFF88"/>
    <w:multiLevelType w:val="singleLevel"/>
    <w:tmpl w:val="8918F3B2"/>
    <w:lvl w:ilvl="0">
      <w:start w:val="1"/>
      <w:numFmt w:val="decimal"/>
      <w:pStyle w:val="ListNumber"/>
      <w:lvlText w:val="%1."/>
      <w:lvlJc w:val="left"/>
      <w:pPr>
        <w:tabs>
          <w:tab w:val="num" w:pos="360"/>
        </w:tabs>
        <w:ind w:left="360" w:hanging="360"/>
      </w:pPr>
    </w:lvl>
  </w:abstractNum>
  <w:abstractNum w:abstractNumId="3">
    <w:nsid w:val="076E438D"/>
    <w:multiLevelType w:val="multilevel"/>
    <w:tmpl w:val="90D0E03C"/>
    <w:lvl w:ilvl="0">
      <w:start w:val="23"/>
      <w:numFmt w:val="decimal"/>
      <w:pStyle w:val="Heading1"/>
      <w:lvlText w:val="%1"/>
      <w:lvlJc w:val="left"/>
      <w:pPr>
        <w:ind w:left="851" w:hanging="851"/>
      </w:pPr>
      <w:rPr>
        <w:rFonts w:hint="default"/>
        <w:color w:val="E52923" w:themeColor="background2"/>
      </w:rPr>
    </w:lvl>
    <w:lvl w:ilvl="1">
      <w:start w:val="1"/>
      <w:numFmt w:val="decimal"/>
      <w:pStyle w:val="Heading2"/>
      <w:lvlText w:val="%1.%2"/>
      <w:lvlJc w:val="left"/>
      <w:pPr>
        <w:ind w:left="1134" w:hanging="1134"/>
      </w:pPr>
      <w:rPr>
        <w:rFonts w:hint="default"/>
        <w:color w:val="00BAD4" w:themeColor="text2"/>
      </w:rPr>
    </w:lvl>
    <w:lvl w:ilvl="2">
      <w:start w:val="1"/>
      <w:numFmt w:val="decimal"/>
      <w:pStyle w:val="Heading3"/>
      <w:lvlText w:val="%1.%2.%3"/>
      <w:lvlJc w:val="left"/>
      <w:pPr>
        <w:ind w:left="1418" w:hanging="1418"/>
      </w:pPr>
      <w:rPr>
        <w:rFonts w:hint="default"/>
        <w:color w:val="796E65" w:themeColor="accent4"/>
      </w:rPr>
    </w:lvl>
    <w:lvl w:ilvl="3">
      <w:start w:val="1"/>
      <w:numFmt w:val="none"/>
      <w:pStyle w:val="Heading4"/>
      <w:suff w:val="nothing"/>
      <w:lvlText w:val=""/>
      <w:lvlJc w:val="left"/>
      <w:pPr>
        <w:ind w:left="0" w:firstLine="0"/>
      </w:pPr>
      <w:rPr>
        <w:rFonts w:hint="default"/>
        <w:color w:val="796E65" w:themeColor="accent4"/>
      </w:rPr>
    </w:lvl>
    <w:lvl w:ilvl="4">
      <w:start w:val="1"/>
      <w:numFmt w:val="upperLetter"/>
      <w:lvlRestart w:val="1"/>
      <w:pStyle w:val="Heading7"/>
      <w:lvlText w:val="Appendix %5"/>
      <w:lvlJc w:val="left"/>
      <w:pPr>
        <w:ind w:left="2552" w:hanging="2552"/>
      </w:pPr>
      <w:rPr>
        <w:rFonts w:hint="default"/>
        <w:color w:val="E52923" w:themeColor="background2"/>
      </w:rPr>
    </w:lvl>
    <w:lvl w:ilvl="5">
      <w:start w:val="1"/>
      <w:numFmt w:val="decimal"/>
      <w:pStyle w:val="Heading8"/>
      <w:lvlText w:val="%5.%6"/>
      <w:lvlJc w:val="left"/>
      <w:pPr>
        <w:ind w:left="1134" w:hanging="1134"/>
      </w:pPr>
      <w:rPr>
        <w:rFonts w:hint="default"/>
        <w:color w:val="00BAD4" w:themeColor="text2"/>
      </w:rPr>
    </w:lvl>
    <w:lvl w:ilvl="6">
      <w:start w:val="1"/>
      <w:numFmt w:val="decimal"/>
      <w:lvlRestart w:val="0"/>
      <w:pStyle w:val="Heading9"/>
      <w:lvlText w:val="%5.%6.%7"/>
      <w:lvlJc w:val="left"/>
      <w:pPr>
        <w:ind w:left="1134" w:hanging="1134"/>
      </w:pPr>
      <w:rPr>
        <w:rFonts w:hint="default"/>
        <w:color w:val="796E65" w:themeColor="accent4"/>
      </w:rPr>
    </w:lvl>
    <w:lvl w:ilvl="7">
      <w:start w:val="1"/>
      <w:numFmt w:val="none"/>
      <w:lvlRestart w:val="0"/>
      <w:suff w:val="nothing"/>
      <w:lvlText w:val=""/>
      <w:lvlJc w:val="left"/>
      <w:pPr>
        <w:ind w:left="0" w:firstLine="0"/>
      </w:pPr>
      <w:rPr>
        <w:rFonts w:hint="default"/>
        <w:color w:val="00BAD4" w:themeColor="text2"/>
      </w:rPr>
    </w:lvl>
    <w:lvl w:ilvl="8">
      <w:start w:val="1"/>
      <w:numFmt w:val="none"/>
      <w:lvlRestart w:val="0"/>
      <w:suff w:val="nothing"/>
      <w:lvlText w:val=""/>
      <w:lvlJc w:val="left"/>
      <w:pPr>
        <w:ind w:left="0" w:firstLine="0"/>
      </w:pPr>
      <w:rPr>
        <w:rFonts w:hint="default"/>
        <w:color w:val="00BAD4" w:themeColor="text2"/>
      </w:rPr>
    </w:lvl>
  </w:abstractNum>
  <w:abstractNum w:abstractNumId="4">
    <w:nsid w:val="0D7D2843"/>
    <w:multiLevelType w:val="multilevel"/>
    <w:tmpl w:val="7DCEB87C"/>
    <w:lvl w:ilvl="0">
      <w:start w:val="1"/>
      <w:numFmt w:val="bullet"/>
      <w:pStyle w:val="TableBullet1"/>
      <w:lvlText w:val=""/>
      <w:lvlJc w:val="left"/>
      <w:pPr>
        <w:ind w:left="340" w:hanging="340"/>
      </w:pPr>
      <w:rPr>
        <w:rFonts w:ascii="Symbol" w:hAnsi="Symbol" w:hint="default"/>
        <w:b w:val="0"/>
        <w:i w:val="0"/>
        <w:color w:val="000000" w:themeColor="text1"/>
        <w:sz w:val="18"/>
      </w:rPr>
    </w:lvl>
    <w:lvl w:ilvl="1">
      <w:start w:val="1"/>
      <w:numFmt w:val="bullet"/>
      <w:pStyle w:val="TableBullet2"/>
      <w:lvlText w:val="–"/>
      <w:lvlJc w:val="left"/>
      <w:pPr>
        <w:ind w:left="680" w:hanging="340"/>
      </w:pPr>
      <w:rPr>
        <w:rFonts w:hint="default"/>
        <w:b w:val="0"/>
        <w:i w:val="0"/>
        <w:color w:val="000000" w:themeColor="text1"/>
        <w:sz w:val="18"/>
      </w:rPr>
    </w:lvl>
    <w:lvl w:ilvl="2">
      <w:start w:val="1"/>
      <w:numFmt w:val="bullet"/>
      <w:pStyle w:val="TableBullet3"/>
      <w:lvlText w:val="-"/>
      <w:lvlJc w:val="left"/>
      <w:pPr>
        <w:ind w:left="1020" w:hanging="340"/>
      </w:pPr>
      <w:rPr>
        <w:rFonts w:hint="default"/>
        <w:b w:val="0"/>
        <w:i w:val="0"/>
        <w:color w:val="000000" w:themeColor="text1"/>
        <w:sz w:val="18"/>
      </w:rPr>
    </w:lvl>
    <w:lvl w:ilvl="3">
      <w:start w:val="1"/>
      <w:numFmt w:val="decimal"/>
      <w:pStyle w:val="TableNumbering1"/>
      <w:lvlText w:val="%4"/>
      <w:lvlJc w:val="left"/>
      <w:pPr>
        <w:ind w:left="340" w:hanging="340"/>
      </w:pPr>
      <w:rPr>
        <w:rFonts w:hint="default"/>
        <w:color w:val="000000" w:themeColor="text1"/>
      </w:rPr>
    </w:lvl>
    <w:lvl w:ilvl="4">
      <w:start w:val="1"/>
      <w:numFmt w:val="lowerLetter"/>
      <w:pStyle w:val="TableNumbering2"/>
      <w:lvlText w:val="%5"/>
      <w:lvlJc w:val="left"/>
      <w:pPr>
        <w:ind w:left="680" w:hanging="340"/>
      </w:pPr>
      <w:rPr>
        <w:rFonts w:hint="default"/>
        <w:color w:val="000000" w:themeColor="text1"/>
      </w:rPr>
    </w:lvl>
    <w:lvl w:ilvl="5">
      <w:start w:val="1"/>
      <w:numFmt w:val="lowerRoman"/>
      <w:pStyle w:val="TableNumbering3"/>
      <w:lvlText w:val="%6"/>
      <w:lvlJc w:val="left"/>
      <w:pPr>
        <w:ind w:left="1021" w:hanging="341"/>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5">
    <w:nsid w:val="146F0A77"/>
    <w:multiLevelType w:val="multilevel"/>
    <w:tmpl w:val="F3908CAE"/>
    <w:lvl w:ilvl="0">
      <w:start w:val="1"/>
      <w:numFmt w:val="bullet"/>
      <w:pStyle w:val="ListBullet"/>
      <w:lvlText w:val=""/>
      <w:lvlJc w:val="left"/>
      <w:pPr>
        <w:ind w:left="340" w:hanging="340"/>
      </w:pPr>
      <w:rPr>
        <w:rFonts w:ascii="Symbol" w:hAnsi="Symbol" w:hint="default"/>
        <w:b w:val="0"/>
        <w:i w:val="0"/>
        <w:color w:val="auto"/>
      </w:rPr>
    </w:lvl>
    <w:lvl w:ilvl="1">
      <w:start w:val="1"/>
      <w:numFmt w:val="bullet"/>
      <w:pStyle w:val="ListBullet2"/>
      <w:lvlText w:val=""/>
      <w:lvlJc w:val="left"/>
      <w:pPr>
        <w:ind w:left="680" w:hanging="340"/>
      </w:pPr>
      <w:rPr>
        <w:rFonts w:ascii="Symbol" w:hAnsi="Symbol" w:hint="default"/>
        <w:b w:val="0"/>
        <w:i w:val="0"/>
        <w:color w:val="auto"/>
      </w:rPr>
    </w:lvl>
    <w:lvl w:ilvl="2">
      <w:start w:val="1"/>
      <w:numFmt w:val="bullet"/>
      <w:pStyle w:val="ListBullet3"/>
      <w:lvlText w:val=""/>
      <w:lvlJc w:val="left"/>
      <w:pPr>
        <w:ind w:left="1021" w:hanging="341"/>
      </w:pPr>
      <w:rPr>
        <w:rFonts w:ascii="Symbol" w:hAnsi="Symbol" w:hint="default"/>
        <w:b w:val="0"/>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694B3042"/>
    <w:multiLevelType w:val="multilevel"/>
    <w:tmpl w:val="023E70F8"/>
    <w:lvl w:ilvl="0">
      <w:start w:val="1"/>
      <w:numFmt w:val="none"/>
      <w:pStyle w:val="TableText"/>
      <w:suff w:val="nothing"/>
      <w:lvlText w:val=""/>
      <w:lvlJc w:val="left"/>
      <w:pPr>
        <w:ind w:left="0" w:firstLine="0"/>
      </w:pPr>
      <w:rPr>
        <w:rFonts w:hint="default"/>
      </w:rPr>
    </w:lvl>
    <w:lvl w:ilvl="1">
      <w:start w:val="1"/>
      <w:numFmt w:val="decimal"/>
      <w:lvlText w:val="%2"/>
      <w:lvlJc w:val="left"/>
      <w:pPr>
        <w:ind w:left="340" w:hanging="340"/>
      </w:pPr>
      <w:rPr>
        <w:rFonts w:hint="default"/>
        <w:color w:val="C4D92E" w:themeColor="accent1"/>
      </w:rPr>
    </w:lvl>
    <w:lvl w:ilvl="2">
      <w:start w:val="1"/>
      <w:numFmt w:val="lowerLetter"/>
      <w:lvlText w:val="%3"/>
      <w:lvlJc w:val="left"/>
      <w:pPr>
        <w:ind w:left="680" w:hanging="340"/>
      </w:pPr>
      <w:rPr>
        <w:rFonts w:hint="default"/>
        <w:color w:val="C4D92E" w:themeColor="accent1"/>
      </w:rPr>
    </w:lvl>
    <w:lvl w:ilvl="3">
      <w:start w:val="1"/>
      <w:numFmt w:val="lowerRoman"/>
      <w:lvlText w:val="%4"/>
      <w:lvlJc w:val="left"/>
      <w:pPr>
        <w:ind w:left="1021" w:hanging="341"/>
      </w:pPr>
      <w:rPr>
        <w:rFonts w:hint="default"/>
        <w:color w:val="C4D92E" w:themeColor="accent1"/>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7">
    <w:nsid w:val="6FF67ADD"/>
    <w:multiLevelType w:val="multilevel"/>
    <w:tmpl w:val="4D88C828"/>
    <w:lvl w:ilvl="0">
      <w:start w:val="1"/>
      <w:numFmt w:val="bullet"/>
      <w:pStyle w:val="BodyBullet1"/>
      <w:lvlText w:val=""/>
      <w:lvlJc w:val="left"/>
      <w:pPr>
        <w:ind w:left="340" w:hanging="340"/>
      </w:pPr>
      <w:rPr>
        <w:rFonts w:ascii="Symbol" w:hAnsi="Symbol" w:hint="default"/>
        <w:b w:val="0"/>
        <w:i w:val="0"/>
        <w:color w:val="000000" w:themeColor="text1"/>
        <w:sz w:val="22"/>
      </w:rPr>
    </w:lvl>
    <w:lvl w:ilvl="1">
      <w:start w:val="1"/>
      <w:numFmt w:val="bullet"/>
      <w:pStyle w:val="BodyBullet2"/>
      <w:lvlText w:val="–"/>
      <w:lvlJc w:val="left"/>
      <w:pPr>
        <w:ind w:left="680" w:hanging="340"/>
      </w:pPr>
      <w:rPr>
        <w:rFonts w:hint="default"/>
        <w:b w:val="0"/>
        <w:i w:val="0"/>
        <w:color w:val="000000" w:themeColor="text1"/>
        <w:sz w:val="22"/>
      </w:rPr>
    </w:lvl>
    <w:lvl w:ilvl="2">
      <w:start w:val="1"/>
      <w:numFmt w:val="bullet"/>
      <w:pStyle w:val="BodyBullet3"/>
      <w:lvlText w:val="-"/>
      <w:lvlJc w:val="left"/>
      <w:pPr>
        <w:ind w:left="1020" w:hanging="340"/>
      </w:pPr>
      <w:rPr>
        <w:rFonts w:hint="default"/>
        <w:b w:val="0"/>
        <w:i w:val="0"/>
        <w:color w:val="000000" w:themeColor="text1"/>
        <w:sz w:val="22"/>
        <w:szCs w:val="28"/>
      </w:rPr>
    </w:lvl>
    <w:lvl w:ilvl="3">
      <w:start w:val="1"/>
      <w:numFmt w:val="decimal"/>
      <w:pStyle w:val="BodyNumbering1"/>
      <w:lvlText w:val="%4"/>
      <w:lvlJc w:val="left"/>
      <w:pPr>
        <w:ind w:left="340" w:hanging="340"/>
      </w:pPr>
      <w:rPr>
        <w:rFonts w:hint="default"/>
        <w:color w:val="000000" w:themeColor="text1"/>
      </w:rPr>
    </w:lvl>
    <w:lvl w:ilvl="4">
      <w:start w:val="1"/>
      <w:numFmt w:val="lowerLetter"/>
      <w:pStyle w:val="BodyNumbering2"/>
      <w:lvlText w:val="%5"/>
      <w:lvlJc w:val="left"/>
      <w:pPr>
        <w:ind w:left="680" w:hanging="340"/>
      </w:pPr>
      <w:rPr>
        <w:rFonts w:hint="default"/>
        <w:color w:val="000000" w:themeColor="text1"/>
      </w:rPr>
    </w:lvl>
    <w:lvl w:ilvl="5">
      <w:start w:val="1"/>
      <w:numFmt w:val="lowerRoman"/>
      <w:pStyle w:val="BodyNumbering3"/>
      <w:lvlText w:val="%6%1"/>
      <w:lvlJc w:val="left"/>
      <w:pPr>
        <w:ind w:left="1021" w:hanging="341"/>
      </w:pPr>
      <w:rPr>
        <w:rFonts w:hint="default"/>
        <w:color w:val="000000" w:themeColor="text1"/>
      </w:rPr>
    </w:lvl>
    <w:lvl w:ilvl="6">
      <w:start w:val="1"/>
      <w:numFmt w:val="none"/>
      <w:suff w:val="nothing"/>
      <w:lvlText w:val=""/>
      <w:lvlJc w:val="left"/>
      <w:pPr>
        <w:ind w:left="0" w:firstLine="0"/>
      </w:pPr>
      <w:rPr>
        <w:rFonts w:hint="default"/>
        <w:color w:val="C4D92E" w:themeColor="accent1"/>
      </w:rPr>
    </w:lvl>
    <w:lvl w:ilvl="7">
      <w:start w:val="1"/>
      <w:numFmt w:val="none"/>
      <w:suff w:val="nothing"/>
      <w:lvlText w:val="%1"/>
      <w:lvlJc w:val="left"/>
      <w:pPr>
        <w:ind w:left="0" w:firstLine="0"/>
      </w:pPr>
      <w:rPr>
        <w:rFonts w:hint="default"/>
      </w:rPr>
    </w:lvl>
    <w:lvl w:ilvl="8">
      <w:start w:val="1"/>
      <w:numFmt w:val="none"/>
      <w:suff w:val="nothing"/>
      <w:lvlText w:val="%1"/>
      <w:lvlJc w:val="left"/>
      <w:pPr>
        <w:ind w:left="0" w:firstLine="0"/>
      </w:pPr>
      <w:rPr>
        <w:rFonts w:hint="default"/>
      </w:rPr>
    </w:lvl>
  </w:abstractNum>
  <w:abstractNum w:abstractNumId="8">
    <w:nsid w:val="7BD330F1"/>
    <w:multiLevelType w:val="multilevel"/>
    <w:tmpl w:val="108ABEBA"/>
    <w:lvl w:ilvl="0">
      <w:start w:val="1"/>
      <w:numFmt w:val="bullet"/>
      <w:pStyle w:val="Tablebullet10"/>
      <w:lvlText w:val=""/>
      <w:lvlJc w:val="left"/>
      <w:pPr>
        <w:ind w:left="360" w:hanging="360"/>
      </w:pPr>
      <w:rPr>
        <w:rFonts w:ascii="Symbol" w:hAnsi="Symbol" w:hint="default"/>
        <w:color w:val="00BAD4" w:themeColor="text2"/>
        <w:position w:val="-3"/>
        <w:sz w:val="20"/>
      </w:rPr>
    </w:lvl>
    <w:lvl w:ilvl="1">
      <w:start w:val="1"/>
      <w:numFmt w:val="bullet"/>
      <w:lvlText w:val=""/>
      <w:lvlJc w:val="left"/>
      <w:pPr>
        <w:ind w:left="454" w:hanging="227"/>
      </w:pPr>
      <w:rPr>
        <w:rFonts w:ascii="Symbol" w:hAnsi="Symbol" w:hint="default"/>
        <w:color w:val="FFE72E" w:themeColor="accent2"/>
      </w:rPr>
    </w:lvl>
    <w:lvl w:ilvl="2">
      <w:start w:val="1"/>
      <w:numFmt w:val="bullet"/>
      <w:lvlText w:val=""/>
      <w:lvlJc w:val="left"/>
      <w:pPr>
        <w:ind w:left="681" w:hanging="227"/>
      </w:pPr>
      <w:rPr>
        <w:rFonts w:ascii="Wingdings" w:hAnsi="Wingdings" w:hint="default"/>
        <w:color w:val="969D91"/>
        <w:position w:val="-3"/>
        <w:sz w:val="28"/>
      </w:rPr>
    </w:lvl>
    <w:lvl w:ilvl="3">
      <w:start w:val="1"/>
      <w:numFmt w:val="none"/>
      <w:lvlText w:val=""/>
      <w:lvlJc w:val="left"/>
      <w:pPr>
        <w:ind w:left="908" w:hanging="227"/>
      </w:pPr>
    </w:lvl>
    <w:lvl w:ilvl="4">
      <w:start w:val="1"/>
      <w:numFmt w:val="none"/>
      <w:lvlText w:val=""/>
      <w:lvlJc w:val="left"/>
      <w:pPr>
        <w:ind w:left="1135" w:hanging="227"/>
      </w:pPr>
    </w:lvl>
    <w:lvl w:ilvl="5">
      <w:start w:val="1"/>
      <w:numFmt w:val="none"/>
      <w:lvlText w:val=""/>
      <w:lvlJc w:val="left"/>
      <w:pPr>
        <w:ind w:left="1362" w:hanging="227"/>
      </w:pPr>
    </w:lvl>
    <w:lvl w:ilvl="6">
      <w:start w:val="1"/>
      <w:numFmt w:val="none"/>
      <w:lvlText w:val=""/>
      <w:lvlJc w:val="left"/>
      <w:pPr>
        <w:ind w:left="1589" w:hanging="227"/>
      </w:pPr>
    </w:lvl>
    <w:lvl w:ilvl="7">
      <w:start w:val="1"/>
      <w:numFmt w:val="none"/>
      <w:lvlText w:val=""/>
      <w:lvlJc w:val="left"/>
      <w:pPr>
        <w:ind w:left="1816" w:hanging="227"/>
      </w:pPr>
    </w:lvl>
    <w:lvl w:ilvl="8">
      <w:start w:val="1"/>
      <w:numFmt w:val="none"/>
      <w:lvlText w:val=""/>
      <w:lvlJc w:val="left"/>
      <w:pPr>
        <w:ind w:left="2043" w:hanging="227"/>
      </w:pPr>
    </w:lvl>
  </w:abstractNum>
  <w:num w:numId="1">
    <w:abstractNumId w:val="6"/>
  </w:num>
  <w:num w:numId="2">
    <w:abstractNumId w:val="4"/>
  </w:num>
  <w:num w:numId="3">
    <w:abstractNumId w:val="7"/>
  </w:num>
  <w:num w:numId="4">
    <w:abstractNumId w:val="3"/>
  </w:num>
  <w:num w:numId="5">
    <w:abstractNumId w:val="5"/>
  </w:num>
  <w:num w:numId="6">
    <w:abstractNumId w:val="2"/>
  </w:num>
  <w:num w:numId="7">
    <w:abstractNumId w:val="1"/>
  </w:num>
  <w:num w:numId="8">
    <w:abstractNumId w:val="0"/>
  </w:num>
  <w:num w:numId="9">
    <w:abstractNumId w:val="6"/>
  </w:num>
  <w:num w:numId="10">
    <w:abstractNumId w:val="4"/>
  </w:num>
  <w:num w:numId="11">
    <w:abstractNumId w:val="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4"/>
  </w:num>
  <w:num w:numId="16">
    <w:abstractNumId w:val="6"/>
  </w:num>
  <w:num w:numId="17">
    <w:abstractNumId w:val="8"/>
  </w:num>
  <w:num w:numId="18">
    <w:abstractNumId w:val="6"/>
  </w:num>
  <w:num w:numId="19">
    <w:abstractNumId w:val="4"/>
  </w:num>
  <w:num w:numId="20">
    <w:abstractNumId w:val="6"/>
  </w:num>
  <w:num w:numId="21">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SortMethod w:val="0000"/>
  <w:styleLockTheme/>
  <w:styleLockQFSet/>
  <w:defaultTabStop w:val="720"/>
  <w:evenAndOddHeaders/>
  <w:characterSpacingControl w:val="doNotCompress"/>
  <w:hdrShapeDefaults>
    <o:shapedefaults v:ext="edit" spidmax="2049"/>
  </w:hdrShapeDefaults>
  <w:footnotePr>
    <w:numFmt w:val="chicago"/>
    <w:numRestart w:val="eachPage"/>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543D"/>
    <w:rsid w:val="00003622"/>
    <w:rsid w:val="00003F9E"/>
    <w:rsid w:val="000053B0"/>
    <w:rsid w:val="00010E04"/>
    <w:rsid w:val="000120F2"/>
    <w:rsid w:val="00013C24"/>
    <w:rsid w:val="00014A01"/>
    <w:rsid w:val="00017047"/>
    <w:rsid w:val="00021CEC"/>
    <w:rsid w:val="00023787"/>
    <w:rsid w:val="0002437A"/>
    <w:rsid w:val="000253F5"/>
    <w:rsid w:val="00025963"/>
    <w:rsid w:val="00025B7C"/>
    <w:rsid w:val="00025F17"/>
    <w:rsid w:val="000267FC"/>
    <w:rsid w:val="00027AFC"/>
    <w:rsid w:val="00030198"/>
    <w:rsid w:val="000303C6"/>
    <w:rsid w:val="0003698F"/>
    <w:rsid w:val="00036C14"/>
    <w:rsid w:val="00037A93"/>
    <w:rsid w:val="00037D07"/>
    <w:rsid w:val="0004094D"/>
    <w:rsid w:val="00040FF1"/>
    <w:rsid w:val="00043808"/>
    <w:rsid w:val="00044695"/>
    <w:rsid w:val="000452EF"/>
    <w:rsid w:val="0004776D"/>
    <w:rsid w:val="00047F4F"/>
    <w:rsid w:val="000506F3"/>
    <w:rsid w:val="00050881"/>
    <w:rsid w:val="000508B7"/>
    <w:rsid w:val="00050AF0"/>
    <w:rsid w:val="00053ED4"/>
    <w:rsid w:val="00054C66"/>
    <w:rsid w:val="00055AB3"/>
    <w:rsid w:val="000639E5"/>
    <w:rsid w:val="00064AA5"/>
    <w:rsid w:val="00070A2B"/>
    <w:rsid w:val="000743FB"/>
    <w:rsid w:val="00075D96"/>
    <w:rsid w:val="0007669C"/>
    <w:rsid w:val="00080123"/>
    <w:rsid w:val="00081396"/>
    <w:rsid w:val="000823DB"/>
    <w:rsid w:val="00083077"/>
    <w:rsid w:val="00083764"/>
    <w:rsid w:val="00084197"/>
    <w:rsid w:val="000928E4"/>
    <w:rsid w:val="00095E7F"/>
    <w:rsid w:val="00096257"/>
    <w:rsid w:val="00097274"/>
    <w:rsid w:val="000A1A98"/>
    <w:rsid w:val="000A247E"/>
    <w:rsid w:val="000A4BD7"/>
    <w:rsid w:val="000A4DFB"/>
    <w:rsid w:val="000A661C"/>
    <w:rsid w:val="000A6A5B"/>
    <w:rsid w:val="000A7489"/>
    <w:rsid w:val="000B34A2"/>
    <w:rsid w:val="000B4150"/>
    <w:rsid w:val="000B422A"/>
    <w:rsid w:val="000B5B9F"/>
    <w:rsid w:val="000B5D48"/>
    <w:rsid w:val="000B5E04"/>
    <w:rsid w:val="000B63E6"/>
    <w:rsid w:val="000B7555"/>
    <w:rsid w:val="000B763C"/>
    <w:rsid w:val="000C0031"/>
    <w:rsid w:val="000C1988"/>
    <w:rsid w:val="000C1995"/>
    <w:rsid w:val="000C2DBD"/>
    <w:rsid w:val="000C3B1C"/>
    <w:rsid w:val="000C40F9"/>
    <w:rsid w:val="000C4409"/>
    <w:rsid w:val="000C5AB3"/>
    <w:rsid w:val="000C6688"/>
    <w:rsid w:val="000C7280"/>
    <w:rsid w:val="000C7A90"/>
    <w:rsid w:val="000D0DB0"/>
    <w:rsid w:val="000D16A5"/>
    <w:rsid w:val="000D255B"/>
    <w:rsid w:val="000D4829"/>
    <w:rsid w:val="000D498C"/>
    <w:rsid w:val="000D4CE8"/>
    <w:rsid w:val="000D6CA5"/>
    <w:rsid w:val="000D709B"/>
    <w:rsid w:val="000D7776"/>
    <w:rsid w:val="000E0B71"/>
    <w:rsid w:val="000E1DAB"/>
    <w:rsid w:val="000E1E6F"/>
    <w:rsid w:val="000E2CE8"/>
    <w:rsid w:val="000E3AD8"/>
    <w:rsid w:val="000E498C"/>
    <w:rsid w:val="000E7F67"/>
    <w:rsid w:val="000F2147"/>
    <w:rsid w:val="000F3515"/>
    <w:rsid w:val="000F4680"/>
    <w:rsid w:val="000F5477"/>
    <w:rsid w:val="000F65AF"/>
    <w:rsid w:val="000F7F64"/>
    <w:rsid w:val="00100D55"/>
    <w:rsid w:val="00105D1D"/>
    <w:rsid w:val="0010683F"/>
    <w:rsid w:val="001078E8"/>
    <w:rsid w:val="0011027D"/>
    <w:rsid w:val="00111A8D"/>
    <w:rsid w:val="001130DB"/>
    <w:rsid w:val="0011570F"/>
    <w:rsid w:val="00116DDF"/>
    <w:rsid w:val="001179BB"/>
    <w:rsid w:val="00117B0A"/>
    <w:rsid w:val="00120813"/>
    <w:rsid w:val="00120DF1"/>
    <w:rsid w:val="00122FCC"/>
    <w:rsid w:val="00123006"/>
    <w:rsid w:val="00123162"/>
    <w:rsid w:val="001234E9"/>
    <w:rsid w:val="00124A1C"/>
    <w:rsid w:val="0012791D"/>
    <w:rsid w:val="00127D39"/>
    <w:rsid w:val="001320D7"/>
    <w:rsid w:val="0013218F"/>
    <w:rsid w:val="00132E97"/>
    <w:rsid w:val="001331C9"/>
    <w:rsid w:val="00134B91"/>
    <w:rsid w:val="00136B81"/>
    <w:rsid w:val="00140283"/>
    <w:rsid w:val="00142291"/>
    <w:rsid w:val="00143C7D"/>
    <w:rsid w:val="00144BBA"/>
    <w:rsid w:val="001469F1"/>
    <w:rsid w:val="00147A19"/>
    <w:rsid w:val="00147E56"/>
    <w:rsid w:val="00150E13"/>
    <w:rsid w:val="00150F46"/>
    <w:rsid w:val="001527F0"/>
    <w:rsid w:val="00153CF5"/>
    <w:rsid w:val="001574D4"/>
    <w:rsid w:val="00157ECB"/>
    <w:rsid w:val="00163CED"/>
    <w:rsid w:val="00165176"/>
    <w:rsid w:val="001668AB"/>
    <w:rsid w:val="00170864"/>
    <w:rsid w:val="00172168"/>
    <w:rsid w:val="00173811"/>
    <w:rsid w:val="00174B84"/>
    <w:rsid w:val="00174C76"/>
    <w:rsid w:val="00174E12"/>
    <w:rsid w:val="001779F5"/>
    <w:rsid w:val="00181925"/>
    <w:rsid w:val="00181A7E"/>
    <w:rsid w:val="0018300B"/>
    <w:rsid w:val="001834F1"/>
    <w:rsid w:val="00184512"/>
    <w:rsid w:val="00184CEC"/>
    <w:rsid w:val="00192F51"/>
    <w:rsid w:val="0019472B"/>
    <w:rsid w:val="00196EC8"/>
    <w:rsid w:val="00197197"/>
    <w:rsid w:val="001976D2"/>
    <w:rsid w:val="001A181E"/>
    <w:rsid w:val="001A56F8"/>
    <w:rsid w:val="001A741F"/>
    <w:rsid w:val="001A75E1"/>
    <w:rsid w:val="001A76AF"/>
    <w:rsid w:val="001A78B0"/>
    <w:rsid w:val="001B1B73"/>
    <w:rsid w:val="001B30F7"/>
    <w:rsid w:val="001B33EC"/>
    <w:rsid w:val="001B5D17"/>
    <w:rsid w:val="001C1A26"/>
    <w:rsid w:val="001C1CBE"/>
    <w:rsid w:val="001C1E5B"/>
    <w:rsid w:val="001C1FE6"/>
    <w:rsid w:val="001C372C"/>
    <w:rsid w:val="001C5EC2"/>
    <w:rsid w:val="001C6171"/>
    <w:rsid w:val="001C62F7"/>
    <w:rsid w:val="001D25DA"/>
    <w:rsid w:val="001D3204"/>
    <w:rsid w:val="001D3B17"/>
    <w:rsid w:val="001D531D"/>
    <w:rsid w:val="001D5354"/>
    <w:rsid w:val="001D594A"/>
    <w:rsid w:val="001D5F37"/>
    <w:rsid w:val="001D6464"/>
    <w:rsid w:val="001D6821"/>
    <w:rsid w:val="001D6F2D"/>
    <w:rsid w:val="001E013A"/>
    <w:rsid w:val="001E11E4"/>
    <w:rsid w:val="001E2899"/>
    <w:rsid w:val="001E2CD6"/>
    <w:rsid w:val="001E2D15"/>
    <w:rsid w:val="001E7FC7"/>
    <w:rsid w:val="001F2971"/>
    <w:rsid w:val="001F2A5E"/>
    <w:rsid w:val="001F3F88"/>
    <w:rsid w:val="001F571B"/>
    <w:rsid w:val="001F6AA8"/>
    <w:rsid w:val="001F6DF9"/>
    <w:rsid w:val="001F76EB"/>
    <w:rsid w:val="00201DD5"/>
    <w:rsid w:val="002021BF"/>
    <w:rsid w:val="00203929"/>
    <w:rsid w:val="0020399A"/>
    <w:rsid w:val="00204431"/>
    <w:rsid w:val="00204EE2"/>
    <w:rsid w:val="00207206"/>
    <w:rsid w:val="0021028A"/>
    <w:rsid w:val="002114BE"/>
    <w:rsid w:val="00212BA8"/>
    <w:rsid w:val="00213EDF"/>
    <w:rsid w:val="00214211"/>
    <w:rsid w:val="00217987"/>
    <w:rsid w:val="00220CDD"/>
    <w:rsid w:val="00222DEB"/>
    <w:rsid w:val="00224918"/>
    <w:rsid w:val="00224E65"/>
    <w:rsid w:val="002254D9"/>
    <w:rsid w:val="00225548"/>
    <w:rsid w:val="00226DB5"/>
    <w:rsid w:val="00227FF0"/>
    <w:rsid w:val="00233D99"/>
    <w:rsid w:val="00237A77"/>
    <w:rsid w:val="0024199C"/>
    <w:rsid w:val="00242BF9"/>
    <w:rsid w:val="00243FC7"/>
    <w:rsid w:val="00244F60"/>
    <w:rsid w:val="002469F2"/>
    <w:rsid w:val="0024722C"/>
    <w:rsid w:val="0025023D"/>
    <w:rsid w:val="00250B7A"/>
    <w:rsid w:val="00251860"/>
    <w:rsid w:val="00252B98"/>
    <w:rsid w:val="00253B4A"/>
    <w:rsid w:val="0025542C"/>
    <w:rsid w:val="002561AD"/>
    <w:rsid w:val="0025787E"/>
    <w:rsid w:val="002609FD"/>
    <w:rsid w:val="00260BAD"/>
    <w:rsid w:val="00261C74"/>
    <w:rsid w:val="00264D6B"/>
    <w:rsid w:val="00265073"/>
    <w:rsid w:val="0026679D"/>
    <w:rsid w:val="0027245C"/>
    <w:rsid w:val="002728E6"/>
    <w:rsid w:val="00272AE3"/>
    <w:rsid w:val="00273E4A"/>
    <w:rsid w:val="002811F9"/>
    <w:rsid w:val="00281BBF"/>
    <w:rsid w:val="00282B57"/>
    <w:rsid w:val="00283B87"/>
    <w:rsid w:val="002847E0"/>
    <w:rsid w:val="002867A7"/>
    <w:rsid w:val="00286C67"/>
    <w:rsid w:val="002878CC"/>
    <w:rsid w:val="0029167A"/>
    <w:rsid w:val="00291D99"/>
    <w:rsid w:val="00292A4F"/>
    <w:rsid w:val="00292D2A"/>
    <w:rsid w:val="0029345C"/>
    <w:rsid w:val="00293BE9"/>
    <w:rsid w:val="002948A8"/>
    <w:rsid w:val="00294914"/>
    <w:rsid w:val="0029614E"/>
    <w:rsid w:val="002975AC"/>
    <w:rsid w:val="002A05B1"/>
    <w:rsid w:val="002A1342"/>
    <w:rsid w:val="002A327D"/>
    <w:rsid w:val="002A494C"/>
    <w:rsid w:val="002A4AF1"/>
    <w:rsid w:val="002A7320"/>
    <w:rsid w:val="002B282F"/>
    <w:rsid w:val="002B4B77"/>
    <w:rsid w:val="002B5936"/>
    <w:rsid w:val="002B65E9"/>
    <w:rsid w:val="002B6EF0"/>
    <w:rsid w:val="002B7759"/>
    <w:rsid w:val="002C1713"/>
    <w:rsid w:val="002C2990"/>
    <w:rsid w:val="002C555F"/>
    <w:rsid w:val="002C5708"/>
    <w:rsid w:val="002D0DF5"/>
    <w:rsid w:val="002D20B1"/>
    <w:rsid w:val="002D22B9"/>
    <w:rsid w:val="002D25A9"/>
    <w:rsid w:val="002D310F"/>
    <w:rsid w:val="002D3A61"/>
    <w:rsid w:val="002D44B6"/>
    <w:rsid w:val="002D5278"/>
    <w:rsid w:val="002D5909"/>
    <w:rsid w:val="002E0392"/>
    <w:rsid w:val="002E07FE"/>
    <w:rsid w:val="002E0BB9"/>
    <w:rsid w:val="002E2A82"/>
    <w:rsid w:val="002E2BC7"/>
    <w:rsid w:val="002E3267"/>
    <w:rsid w:val="002E3CC5"/>
    <w:rsid w:val="002E3E20"/>
    <w:rsid w:val="002E5183"/>
    <w:rsid w:val="002E6F57"/>
    <w:rsid w:val="002F05B7"/>
    <w:rsid w:val="002F12AE"/>
    <w:rsid w:val="002F1C5F"/>
    <w:rsid w:val="002F30E8"/>
    <w:rsid w:val="002F3E9C"/>
    <w:rsid w:val="002F4826"/>
    <w:rsid w:val="002F5366"/>
    <w:rsid w:val="00302352"/>
    <w:rsid w:val="0030354A"/>
    <w:rsid w:val="00306A8A"/>
    <w:rsid w:val="003103FD"/>
    <w:rsid w:val="003108F5"/>
    <w:rsid w:val="003109B3"/>
    <w:rsid w:val="00311B09"/>
    <w:rsid w:val="00312040"/>
    <w:rsid w:val="0031364F"/>
    <w:rsid w:val="00315FBA"/>
    <w:rsid w:val="00316278"/>
    <w:rsid w:val="00320991"/>
    <w:rsid w:val="00320D25"/>
    <w:rsid w:val="00320F05"/>
    <w:rsid w:val="00321B47"/>
    <w:rsid w:val="00323E9D"/>
    <w:rsid w:val="0032503A"/>
    <w:rsid w:val="003253B0"/>
    <w:rsid w:val="00325F4E"/>
    <w:rsid w:val="00330302"/>
    <w:rsid w:val="003312F3"/>
    <w:rsid w:val="0033435B"/>
    <w:rsid w:val="003360E4"/>
    <w:rsid w:val="003365C1"/>
    <w:rsid w:val="003401A7"/>
    <w:rsid w:val="00340699"/>
    <w:rsid w:val="0034583A"/>
    <w:rsid w:val="003461B7"/>
    <w:rsid w:val="00347560"/>
    <w:rsid w:val="00350D91"/>
    <w:rsid w:val="00350DA6"/>
    <w:rsid w:val="003519F0"/>
    <w:rsid w:val="003524A6"/>
    <w:rsid w:val="00353BBB"/>
    <w:rsid w:val="003547B8"/>
    <w:rsid w:val="003547C0"/>
    <w:rsid w:val="00355BCD"/>
    <w:rsid w:val="003565B0"/>
    <w:rsid w:val="00356F63"/>
    <w:rsid w:val="0036083B"/>
    <w:rsid w:val="00362EB3"/>
    <w:rsid w:val="003630DC"/>
    <w:rsid w:val="00363CD8"/>
    <w:rsid w:val="00367547"/>
    <w:rsid w:val="00370C55"/>
    <w:rsid w:val="003727C6"/>
    <w:rsid w:val="00372D8F"/>
    <w:rsid w:val="003759DA"/>
    <w:rsid w:val="00376061"/>
    <w:rsid w:val="0037677C"/>
    <w:rsid w:val="00377F14"/>
    <w:rsid w:val="00380F3F"/>
    <w:rsid w:val="00383BEB"/>
    <w:rsid w:val="00386873"/>
    <w:rsid w:val="00387119"/>
    <w:rsid w:val="0038795A"/>
    <w:rsid w:val="00390E2D"/>
    <w:rsid w:val="00393047"/>
    <w:rsid w:val="003975FE"/>
    <w:rsid w:val="003A2575"/>
    <w:rsid w:val="003A3039"/>
    <w:rsid w:val="003A3A68"/>
    <w:rsid w:val="003A707D"/>
    <w:rsid w:val="003B1121"/>
    <w:rsid w:val="003B2660"/>
    <w:rsid w:val="003B34B4"/>
    <w:rsid w:val="003B46D7"/>
    <w:rsid w:val="003B561F"/>
    <w:rsid w:val="003B6B56"/>
    <w:rsid w:val="003C175B"/>
    <w:rsid w:val="003C5558"/>
    <w:rsid w:val="003C65F6"/>
    <w:rsid w:val="003C6B0B"/>
    <w:rsid w:val="003C76D5"/>
    <w:rsid w:val="003D0C21"/>
    <w:rsid w:val="003D10B7"/>
    <w:rsid w:val="003D266F"/>
    <w:rsid w:val="003D303F"/>
    <w:rsid w:val="003D7E5A"/>
    <w:rsid w:val="003E1380"/>
    <w:rsid w:val="003E1CBD"/>
    <w:rsid w:val="003E3E12"/>
    <w:rsid w:val="003F1CA7"/>
    <w:rsid w:val="003F420F"/>
    <w:rsid w:val="003F47AB"/>
    <w:rsid w:val="003F65A2"/>
    <w:rsid w:val="003F6A1C"/>
    <w:rsid w:val="003F7894"/>
    <w:rsid w:val="003F7E5E"/>
    <w:rsid w:val="00400111"/>
    <w:rsid w:val="0040161C"/>
    <w:rsid w:val="00402509"/>
    <w:rsid w:val="00402D0A"/>
    <w:rsid w:val="00402D84"/>
    <w:rsid w:val="0040469E"/>
    <w:rsid w:val="00406CA3"/>
    <w:rsid w:val="00406CDC"/>
    <w:rsid w:val="00410104"/>
    <w:rsid w:val="00410E90"/>
    <w:rsid w:val="00410F90"/>
    <w:rsid w:val="00416914"/>
    <w:rsid w:val="00417616"/>
    <w:rsid w:val="00423031"/>
    <w:rsid w:val="0042310B"/>
    <w:rsid w:val="004242AE"/>
    <w:rsid w:val="00424A7C"/>
    <w:rsid w:val="00424CC8"/>
    <w:rsid w:val="00426DFE"/>
    <w:rsid w:val="00427A22"/>
    <w:rsid w:val="0043123A"/>
    <w:rsid w:val="00431510"/>
    <w:rsid w:val="004318B9"/>
    <w:rsid w:val="00432957"/>
    <w:rsid w:val="00433B20"/>
    <w:rsid w:val="00433EEF"/>
    <w:rsid w:val="00436780"/>
    <w:rsid w:val="00437F68"/>
    <w:rsid w:val="00440A29"/>
    <w:rsid w:val="00442CFF"/>
    <w:rsid w:val="00443446"/>
    <w:rsid w:val="00443CB0"/>
    <w:rsid w:val="00444EF7"/>
    <w:rsid w:val="00445489"/>
    <w:rsid w:val="00445D4E"/>
    <w:rsid w:val="004466F3"/>
    <w:rsid w:val="00446BA2"/>
    <w:rsid w:val="00446F35"/>
    <w:rsid w:val="0044779F"/>
    <w:rsid w:val="00451F67"/>
    <w:rsid w:val="0045239B"/>
    <w:rsid w:val="00452575"/>
    <w:rsid w:val="00452C01"/>
    <w:rsid w:val="00453D99"/>
    <w:rsid w:val="00455F4F"/>
    <w:rsid w:val="00456013"/>
    <w:rsid w:val="00457BDE"/>
    <w:rsid w:val="00461CCE"/>
    <w:rsid w:val="00462270"/>
    <w:rsid w:val="00464C1F"/>
    <w:rsid w:val="00464C87"/>
    <w:rsid w:val="0046551E"/>
    <w:rsid w:val="004655E6"/>
    <w:rsid w:val="00466BBB"/>
    <w:rsid w:val="004678B9"/>
    <w:rsid w:val="004700A2"/>
    <w:rsid w:val="004733D1"/>
    <w:rsid w:val="00473B20"/>
    <w:rsid w:val="00473FF8"/>
    <w:rsid w:val="0047403B"/>
    <w:rsid w:val="00475283"/>
    <w:rsid w:val="004769EC"/>
    <w:rsid w:val="00476D3E"/>
    <w:rsid w:val="00477850"/>
    <w:rsid w:val="0048004A"/>
    <w:rsid w:val="00482AE4"/>
    <w:rsid w:val="00482C13"/>
    <w:rsid w:val="00482EE3"/>
    <w:rsid w:val="00483363"/>
    <w:rsid w:val="004837F4"/>
    <w:rsid w:val="00483B6C"/>
    <w:rsid w:val="00483C20"/>
    <w:rsid w:val="00485503"/>
    <w:rsid w:val="00485C9D"/>
    <w:rsid w:val="004864A1"/>
    <w:rsid w:val="00486F0E"/>
    <w:rsid w:val="00491EB3"/>
    <w:rsid w:val="0049318C"/>
    <w:rsid w:val="0049571F"/>
    <w:rsid w:val="004958FD"/>
    <w:rsid w:val="00495B17"/>
    <w:rsid w:val="00495BA3"/>
    <w:rsid w:val="00496F2F"/>
    <w:rsid w:val="00497842"/>
    <w:rsid w:val="00497E3C"/>
    <w:rsid w:val="004A1755"/>
    <w:rsid w:val="004A1A93"/>
    <w:rsid w:val="004A24BF"/>
    <w:rsid w:val="004A25A9"/>
    <w:rsid w:val="004A32BF"/>
    <w:rsid w:val="004A4D5E"/>
    <w:rsid w:val="004A505C"/>
    <w:rsid w:val="004A5331"/>
    <w:rsid w:val="004A55F8"/>
    <w:rsid w:val="004A6037"/>
    <w:rsid w:val="004A71F6"/>
    <w:rsid w:val="004B02C2"/>
    <w:rsid w:val="004B127C"/>
    <w:rsid w:val="004B1BDF"/>
    <w:rsid w:val="004B2558"/>
    <w:rsid w:val="004B35EB"/>
    <w:rsid w:val="004B40C2"/>
    <w:rsid w:val="004B452D"/>
    <w:rsid w:val="004B6B78"/>
    <w:rsid w:val="004C0087"/>
    <w:rsid w:val="004C1CD1"/>
    <w:rsid w:val="004C3157"/>
    <w:rsid w:val="004C3C0E"/>
    <w:rsid w:val="004C4DC9"/>
    <w:rsid w:val="004C5028"/>
    <w:rsid w:val="004C5C39"/>
    <w:rsid w:val="004C6EBF"/>
    <w:rsid w:val="004C72D8"/>
    <w:rsid w:val="004C7C8E"/>
    <w:rsid w:val="004D1463"/>
    <w:rsid w:val="004D2352"/>
    <w:rsid w:val="004D4A0A"/>
    <w:rsid w:val="004D5078"/>
    <w:rsid w:val="004D7600"/>
    <w:rsid w:val="004D7D28"/>
    <w:rsid w:val="004D7E0B"/>
    <w:rsid w:val="004E010D"/>
    <w:rsid w:val="004E3A1F"/>
    <w:rsid w:val="004E4B85"/>
    <w:rsid w:val="004E78F0"/>
    <w:rsid w:val="004F3D4B"/>
    <w:rsid w:val="004F57BE"/>
    <w:rsid w:val="004F6FF0"/>
    <w:rsid w:val="004F7D42"/>
    <w:rsid w:val="00500976"/>
    <w:rsid w:val="00501622"/>
    <w:rsid w:val="00504BC3"/>
    <w:rsid w:val="00505DE8"/>
    <w:rsid w:val="00506AF3"/>
    <w:rsid w:val="00507661"/>
    <w:rsid w:val="00512F08"/>
    <w:rsid w:val="00514F08"/>
    <w:rsid w:val="005151D9"/>
    <w:rsid w:val="005166B2"/>
    <w:rsid w:val="00517996"/>
    <w:rsid w:val="005210AD"/>
    <w:rsid w:val="005217F5"/>
    <w:rsid w:val="005248A1"/>
    <w:rsid w:val="00526195"/>
    <w:rsid w:val="00526B45"/>
    <w:rsid w:val="00526CCC"/>
    <w:rsid w:val="00530CE8"/>
    <w:rsid w:val="00534382"/>
    <w:rsid w:val="005408C6"/>
    <w:rsid w:val="00540BD8"/>
    <w:rsid w:val="00540F06"/>
    <w:rsid w:val="00541E1F"/>
    <w:rsid w:val="005469E6"/>
    <w:rsid w:val="00546B16"/>
    <w:rsid w:val="00546B28"/>
    <w:rsid w:val="00547932"/>
    <w:rsid w:val="00547BF4"/>
    <w:rsid w:val="00553022"/>
    <w:rsid w:val="005535D1"/>
    <w:rsid w:val="005554F8"/>
    <w:rsid w:val="00555842"/>
    <w:rsid w:val="00560C70"/>
    <w:rsid w:val="00561179"/>
    <w:rsid w:val="0056128E"/>
    <w:rsid w:val="00561EE9"/>
    <w:rsid w:val="00562578"/>
    <w:rsid w:val="00562F1E"/>
    <w:rsid w:val="00564803"/>
    <w:rsid w:val="005726F5"/>
    <w:rsid w:val="0057406C"/>
    <w:rsid w:val="0057465A"/>
    <w:rsid w:val="00574CEB"/>
    <w:rsid w:val="00575963"/>
    <w:rsid w:val="005769EB"/>
    <w:rsid w:val="00576E67"/>
    <w:rsid w:val="00577E17"/>
    <w:rsid w:val="005822DE"/>
    <w:rsid w:val="00582FF8"/>
    <w:rsid w:val="00583133"/>
    <w:rsid w:val="00584114"/>
    <w:rsid w:val="005871F1"/>
    <w:rsid w:val="00592D5C"/>
    <w:rsid w:val="00593B97"/>
    <w:rsid w:val="0059442A"/>
    <w:rsid w:val="00597F28"/>
    <w:rsid w:val="005A1F81"/>
    <w:rsid w:val="005A4ABD"/>
    <w:rsid w:val="005A4F3A"/>
    <w:rsid w:val="005A50FE"/>
    <w:rsid w:val="005A54BA"/>
    <w:rsid w:val="005A5B52"/>
    <w:rsid w:val="005A70AD"/>
    <w:rsid w:val="005A75BF"/>
    <w:rsid w:val="005B0134"/>
    <w:rsid w:val="005B1096"/>
    <w:rsid w:val="005B4698"/>
    <w:rsid w:val="005B588E"/>
    <w:rsid w:val="005B796D"/>
    <w:rsid w:val="005C0108"/>
    <w:rsid w:val="005C0ABF"/>
    <w:rsid w:val="005C2F2C"/>
    <w:rsid w:val="005C3424"/>
    <w:rsid w:val="005C3FF1"/>
    <w:rsid w:val="005C40D6"/>
    <w:rsid w:val="005C44B4"/>
    <w:rsid w:val="005C50AF"/>
    <w:rsid w:val="005C54B5"/>
    <w:rsid w:val="005C65BD"/>
    <w:rsid w:val="005C6D01"/>
    <w:rsid w:val="005D0470"/>
    <w:rsid w:val="005D0C21"/>
    <w:rsid w:val="005D0C80"/>
    <w:rsid w:val="005D15E1"/>
    <w:rsid w:val="005D2EDD"/>
    <w:rsid w:val="005D4B62"/>
    <w:rsid w:val="005D57B1"/>
    <w:rsid w:val="005D6F64"/>
    <w:rsid w:val="005D6F71"/>
    <w:rsid w:val="005D77BF"/>
    <w:rsid w:val="005E3C64"/>
    <w:rsid w:val="005E3F1B"/>
    <w:rsid w:val="005E4B51"/>
    <w:rsid w:val="005F0552"/>
    <w:rsid w:val="005F06E7"/>
    <w:rsid w:val="005F0C25"/>
    <w:rsid w:val="005F2004"/>
    <w:rsid w:val="005F21D1"/>
    <w:rsid w:val="005F45CD"/>
    <w:rsid w:val="005F4F6C"/>
    <w:rsid w:val="005F50A4"/>
    <w:rsid w:val="00601739"/>
    <w:rsid w:val="00601E2A"/>
    <w:rsid w:val="00602D49"/>
    <w:rsid w:val="00603D6F"/>
    <w:rsid w:val="0060421B"/>
    <w:rsid w:val="006049A7"/>
    <w:rsid w:val="00604CC1"/>
    <w:rsid w:val="00605FAA"/>
    <w:rsid w:val="00606B19"/>
    <w:rsid w:val="00606FD4"/>
    <w:rsid w:val="00607713"/>
    <w:rsid w:val="00607B81"/>
    <w:rsid w:val="00612922"/>
    <w:rsid w:val="00615C9A"/>
    <w:rsid w:val="006162DA"/>
    <w:rsid w:val="00616446"/>
    <w:rsid w:val="006165E2"/>
    <w:rsid w:val="00616BFE"/>
    <w:rsid w:val="006174CB"/>
    <w:rsid w:val="00617D69"/>
    <w:rsid w:val="00620023"/>
    <w:rsid w:val="00620559"/>
    <w:rsid w:val="00622B87"/>
    <w:rsid w:val="00624A1A"/>
    <w:rsid w:val="0062709B"/>
    <w:rsid w:val="00627466"/>
    <w:rsid w:val="006274A2"/>
    <w:rsid w:val="006278EE"/>
    <w:rsid w:val="006325C7"/>
    <w:rsid w:val="00634292"/>
    <w:rsid w:val="006349D4"/>
    <w:rsid w:val="00634A00"/>
    <w:rsid w:val="00637175"/>
    <w:rsid w:val="00640C2D"/>
    <w:rsid w:val="0064197D"/>
    <w:rsid w:val="0064316D"/>
    <w:rsid w:val="00644D15"/>
    <w:rsid w:val="006459FD"/>
    <w:rsid w:val="00646BE7"/>
    <w:rsid w:val="00646ECA"/>
    <w:rsid w:val="0065051B"/>
    <w:rsid w:val="006515EA"/>
    <w:rsid w:val="00653D67"/>
    <w:rsid w:val="00654459"/>
    <w:rsid w:val="00654F81"/>
    <w:rsid w:val="00655CD5"/>
    <w:rsid w:val="00656E3A"/>
    <w:rsid w:val="0066216E"/>
    <w:rsid w:val="006631EA"/>
    <w:rsid w:val="00664A9C"/>
    <w:rsid w:val="00664B54"/>
    <w:rsid w:val="00664BB6"/>
    <w:rsid w:val="0066659B"/>
    <w:rsid w:val="00666820"/>
    <w:rsid w:val="00667E68"/>
    <w:rsid w:val="006706F1"/>
    <w:rsid w:val="00671047"/>
    <w:rsid w:val="0067178E"/>
    <w:rsid w:val="00672A94"/>
    <w:rsid w:val="0067362F"/>
    <w:rsid w:val="0067445A"/>
    <w:rsid w:val="00674D85"/>
    <w:rsid w:val="0068007D"/>
    <w:rsid w:val="00681821"/>
    <w:rsid w:val="00681F21"/>
    <w:rsid w:val="00685655"/>
    <w:rsid w:val="006873EF"/>
    <w:rsid w:val="0069118A"/>
    <w:rsid w:val="00691B15"/>
    <w:rsid w:val="00691E3B"/>
    <w:rsid w:val="006920C8"/>
    <w:rsid w:val="006921CF"/>
    <w:rsid w:val="006953AF"/>
    <w:rsid w:val="006A1273"/>
    <w:rsid w:val="006A2994"/>
    <w:rsid w:val="006A32BE"/>
    <w:rsid w:val="006A39BE"/>
    <w:rsid w:val="006A5BC5"/>
    <w:rsid w:val="006A616C"/>
    <w:rsid w:val="006A76CA"/>
    <w:rsid w:val="006B1732"/>
    <w:rsid w:val="006B24AA"/>
    <w:rsid w:val="006B2A87"/>
    <w:rsid w:val="006B310A"/>
    <w:rsid w:val="006B3ED6"/>
    <w:rsid w:val="006B475B"/>
    <w:rsid w:val="006B4EBB"/>
    <w:rsid w:val="006B5506"/>
    <w:rsid w:val="006C3300"/>
    <w:rsid w:val="006C3864"/>
    <w:rsid w:val="006C3C2E"/>
    <w:rsid w:val="006C6A18"/>
    <w:rsid w:val="006C6A97"/>
    <w:rsid w:val="006D1AD8"/>
    <w:rsid w:val="006D28B3"/>
    <w:rsid w:val="006D2A06"/>
    <w:rsid w:val="006D307D"/>
    <w:rsid w:val="006D62CF"/>
    <w:rsid w:val="006E0CB6"/>
    <w:rsid w:val="006E1AA6"/>
    <w:rsid w:val="006E2B12"/>
    <w:rsid w:val="006E31AD"/>
    <w:rsid w:val="006E3512"/>
    <w:rsid w:val="006E353F"/>
    <w:rsid w:val="006E6FF6"/>
    <w:rsid w:val="006E79B8"/>
    <w:rsid w:val="006E7C63"/>
    <w:rsid w:val="006F5AEB"/>
    <w:rsid w:val="006F6430"/>
    <w:rsid w:val="006F7967"/>
    <w:rsid w:val="00700070"/>
    <w:rsid w:val="0070018E"/>
    <w:rsid w:val="00701E63"/>
    <w:rsid w:val="00702EE7"/>
    <w:rsid w:val="00702F7E"/>
    <w:rsid w:val="007034A5"/>
    <w:rsid w:val="0070496E"/>
    <w:rsid w:val="00707EDE"/>
    <w:rsid w:val="00710B59"/>
    <w:rsid w:val="00711873"/>
    <w:rsid w:val="00711895"/>
    <w:rsid w:val="00713D80"/>
    <w:rsid w:val="00715BAA"/>
    <w:rsid w:val="00722ADF"/>
    <w:rsid w:val="007234F3"/>
    <w:rsid w:val="00725095"/>
    <w:rsid w:val="00725229"/>
    <w:rsid w:val="00730ADD"/>
    <w:rsid w:val="00730D26"/>
    <w:rsid w:val="007310BC"/>
    <w:rsid w:val="0073173A"/>
    <w:rsid w:val="0073510C"/>
    <w:rsid w:val="007355DF"/>
    <w:rsid w:val="00735CC2"/>
    <w:rsid w:val="00741C47"/>
    <w:rsid w:val="007429D5"/>
    <w:rsid w:val="00743987"/>
    <w:rsid w:val="00744A65"/>
    <w:rsid w:val="00746470"/>
    <w:rsid w:val="00746949"/>
    <w:rsid w:val="007471BB"/>
    <w:rsid w:val="00750425"/>
    <w:rsid w:val="007505D3"/>
    <w:rsid w:val="00750C65"/>
    <w:rsid w:val="007571B9"/>
    <w:rsid w:val="007606DC"/>
    <w:rsid w:val="00761A4B"/>
    <w:rsid w:val="00763310"/>
    <w:rsid w:val="00765D6A"/>
    <w:rsid w:val="0076637A"/>
    <w:rsid w:val="00766EE7"/>
    <w:rsid w:val="007704B8"/>
    <w:rsid w:val="00770981"/>
    <w:rsid w:val="0077190A"/>
    <w:rsid w:val="00771B5B"/>
    <w:rsid w:val="00771FF4"/>
    <w:rsid w:val="00776776"/>
    <w:rsid w:val="007767A6"/>
    <w:rsid w:val="00780259"/>
    <w:rsid w:val="00780E00"/>
    <w:rsid w:val="007812FA"/>
    <w:rsid w:val="0078236F"/>
    <w:rsid w:val="007830DB"/>
    <w:rsid w:val="007838AF"/>
    <w:rsid w:val="007849B4"/>
    <w:rsid w:val="00785C7A"/>
    <w:rsid w:val="00786C91"/>
    <w:rsid w:val="00787E68"/>
    <w:rsid w:val="007913F5"/>
    <w:rsid w:val="00792161"/>
    <w:rsid w:val="007931FE"/>
    <w:rsid w:val="00793760"/>
    <w:rsid w:val="00793BE0"/>
    <w:rsid w:val="007A4768"/>
    <w:rsid w:val="007A4B3B"/>
    <w:rsid w:val="007A63FE"/>
    <w:rsid w:val="007A6909"/>
    <w:rsid w:val="007A708E"/>
    <w:rsid w:val="007B1248"/>
    <w:rsid w:val="007B1C66"/>
    <w:rsid w:val="007B1E8D"/>
    <w:rsid w:val="007B3237"/>
    <w:rsid w:val="007B35DB"/>
    <w:rsid w:val="007B56D2"/>
    <w:rsid w:val="007B76AD"/>
    <w:rsid w:val="007C022F"/>
    <w:rsid w:val="007C20B1"/>
    <w:rsid w:val="007C45F9"/>
    <w:rsid w:val="007C4D71"/>
    <w:rsid w:val="007D167B"/>
    <w:rsid w:val="007D7AC7"/>
    <w:rsid w:val="007E1530"/>
    <w:rsid w:val="007E157D"/>
    <w:rsid w:val="007E3478"/>
    <w:rsid w:val="007E3877"/>
    <w:rsid w:val="007E669A"/>
    <w:rsid w:val="007E68F4"/>
    <w:rsid w:val="007E6CAC"/>
    <w:rsid w:val="007E71B2"/>
    <w:rsid w:val="007F008C"/>
    <w:rsid w:val="007F13D0"/>
    <w:rsid w:val="007F1EAC"/>
    <w:rsid w:val="007F5380"/>
    <w:rsid w:val="007F53A0"/>
    <w:rsid w:val="007F5BFE"/>
    <w:rsid w:val="007F7872"/>
    <w:rsid w:val="00800505"/>
    <w:rsid w:val="00801F81"/>
    <w:rsid w:val="008026F0"/>
    <w:rsid w:val="008032B1"/>
    <w:rsid w:val="00804DC5"/>
    <w:rsid w:val="00805A32"/>
    <w:rsid w:val="00806B86"/>
    <w:rsid w:val="00807365"/>
    <w:rsid w:val="00810EF9"/>
    <w:rsid w:val="00811F71"/>
    <w:rsid w:val="0081374A"/>
    <w:rsid w:val="008137C5"/>
    <w:rsid w:val="00813E8B"/>
    <w:rsid w:val="008150C4"/>
    <w:rsid w:val="00815137"/>
    <w:rsid w:val="008152EB"/>
    <w:rsid w:val="00815685"/>
    <w:rsid w:val="00817212"/>
    <w:rsid w:val="008206F9"/>
    <w:rsid w:val="008207E8"/>
    <w:rsid w:val="008213EB"/>
    <w:rsid w:val="008218A4"/>
    <w:rsid w:val="00821F0A"/>
    <w:rsid w:val="00824A79"/>
    <w:rsid w:val="00824E4B"/>
    <w:rsid w:val="00825B8D"/>
    <w:rsid w:val="008268C4"/>
    <w:rsid w:val="008277B6"/>
    <w:rsid w:val="00830076"/>
    <w:rsid w:val="008300D1"/>
    <w:rsid w:val="008313BC"/>
    <w:rsid w:val="00831AD1"/>
    <w:rsid w:val="0083253B"/>
    <w:rsid w:val="00833DC8"/>
    <w:rsid w:val="00835370"/>
    <w:rsid w:val="0083670B"/>
    <w:rsid w:val="00836D66"/>
    <w:rsid w:val="00836EA3"/>
    <w:rsid w:val="00837E29"/>
    <w:rsid w:val="0084174D"/>
    <w:rsid w:val="0084205A"/>
    <w:rsid w:val="0084307D"/>
    <w:rsid w:val="008445FF"/>
    <w:rsid w:val="0084698F"/>
    <w:rsid w:val="00847316"/>
    <w:rsid w:val="00847523"/>
    <w:rsid w:val="00851BB7"/>
    <w:rsid w:val="00851D06"/>
    <w:rsid w:val="0085261C"/>
    <w:rsid w:val="00853623"/>
    <w:rsid w:val="00853807"/>
    <w:rsid w:val="00855449"/>
    <w:rsid w:val="00855C9B"/>
    <w:rsid w:val="008632CB"/>
    <w:rsid w:val="00863314"/>
    <w:rsid w:val="00864C2A"/>
    <w:rsid w:val="0086558A"/>
    <w:rsid w:val="0086608F"/>
    <w:rsid w:val="008660CE"/>
    <w:rsid w:val="00873926"/>
    <w:rsid w:val="0087697F"/>
    <w:rsid w:val="0087749B"/>
    <w:rsid w:val="00877736"/>
    <w:rsid w:val="0088198F"/>
    <w:rsid w:val="008821C2"/>
    <w:rsid w:val="00884D21"/>
    <w:rsid w:val="00891245"/>
    <w:rsid w:val="008912F0"/>
    <w:rsid w:val="00892080"/>
    <w:rsid w:val="00892BBD"/>
    <w:rsid w:val="0089374D"/>
    <w:rsid w:val="00893FC7"/>
    <w:rsid w:val="00895AF1"/>
    <w:rsid w:val="0089785B"/>
    <w:rsid w:val="008978E0"/>
    <w:rsid w:val="008A18A2"/>
    <w:rsid w:val="008A2DA7"/>
    <w:rsid w:val="008A4223"/>
    <w:rsid w:val="008A4B0D"/>
    <w:rsid w:val="008A4CC3"/>
    <w:rsid w:val="008A6602"/>
    <w:rsid w:val="008A6688"/>
    <w:rsid w:val="008A66E5"/>
    <w:rsid w:val="008A6729"/>
    <w:rsid w:val="008A7A62"/>
    <w:rsid w:val="008B0140"/>
    <w:rsid w:val="008B14FC"/>
    <w:rsid w:val="008B15B0"/>
    <w:rsid w:val="008B2733"/>
    <w:rsid w:val="008B7544"/>
    <w:rsid w:val="008B7C2E"/>
    <w:rsid w:val="008C22A7"/>
    <w:rsid w:val="008C4729"/>
    <w:rsid w:val="008D14E7"/>
    <w:rsid w:val="008D15B6"/>
    <w:rsid w:val="008D1A44"/>
    <w:rsid w:val="008D1B5A"/>
    <w:rsid w:val="008D235B"/>
    <w:rsid w:val="008D2F19"/>
    <w:rsid w:val="008D32F6"/>
    <w:rsid w:val="008D5412"/>
    <w:rsid w:val="008E2B6E"/>
    <w:rsid w:val="008E3694"/>
    <w:rsid w:val="008E536D"/>
    <w:rsid w:val="008E5E4F"/>
    <w:rsid w:val="008E687E"/>
    <w:rsid w:val="008E746F"/>
    <w:rsid w:val="008F0161"/>
    <w:rsid w:val="008F23F7"/>
    <w:rsid w:val="008F3EDC"/>
    <w:rsid w:val="008F6AD5"/>
    <w:rsid w:val="008F6C75"/>
    <w:rsid w:val="008F705C"/>
    <w:rsid w:val="009027ED"/>
    <w:rsid w:val="00902DB7"/>
    <w:rsid w:val="0090365A"/>
    <w:rsid w:val="00903886"/>
    <w:rsid w:val="0090405B"/>
    <w:rsid w:val="00904FBC"/>
    <w:rsid w:val="0090765B"/>
    <w:rsid w:val="0091031B"/>
    <w:rsid w:val="009105B7"/>
    <w:rsid w:val="009109C1"/>
    <w:rsid w:val="00910D45"/>
    <w:rsid w:val="0091119A"/>
    <w:rsid w:val="00912409"/>
    <w:rsid w:val="00913058"/>
    <w:rsid w:val="0091346B"/>
    <w:rsid w:val="009140A8"/>
    <w:rsid w:val="0091417F"/>
    <w:rsid w:val="0092027E"/>
    <w:rsid w:val="009237E7"/>
    <w:rsid w:val="00923F3E"/>
    <w:rsid w:val="00924122"/>
    <w:rsid w:val="00924D46"/>
    <w:rsid w:val="009252B0"/>
    <w:rsid w:val="009252D9"/>
    <w:rsid w:val="009255E3"/>
    <w:rsid w:val="00927582"/>
    <w:rsid w:val="00930539"/>
    <w:rsid w:val="00931512"/>
    <w:rsid w:val="009315E1"/>
    <w:rsid w:val="00933B98"/>
    <w:rsid w:val="00935367"/>
    <w:rsid w:val="00936083"/>
    <w:rsid w:val="0093609B"/>
    <w:rsid w:val="0093683E"/>
    <w:rsid w:val="009372CC"/>
    <w:rsid w:val="0094319F"/>
    <w:rsid w:val="00943408"/>
    <w:rsid w:val="00944625"/>
    <w:rsid w:val="00945112"/>
    <w:rsid w:val="00945BEE"/>
    <w:rsid w:val="009468A1"/>
    <w:rsid w:val="00946D02"/>
    <w:rsid w:val="00947F42"/>
    <w:rsid w:val="00947F90"/>
    <w:rsid w:val="00951EB7"/>
    <w:rsid w:val="00953369"/>
    <w:rsid w:val="00953922"/>
    <w:rsid w:val="00954F9A"/>
    <w:rsid w:val="0095520B"/>
    <w:rsid w:val="009560F7"/>
    <w:rsid w:val="0096036F"/>
    <w:rsid w:val="00962732"/>
    <w:rsid w:val="009631F9"/>
    <w:rsid w:val="00963E90"/>
    <w:rsid w:val="00965C20"/>
    <w:rsid w:val="0096644F"/>
    <w:rsid w:val="0097006C"/>
    <w:rsid w:val="00970474"/>
    <w:rsid w:val="00971D9E"/>
    <w:rsid w:val="009731D8"/>
    <w:rsid w:val="009744A1"/>
    <w:rsid w:val="00974944"/>
    <w:rsid w:val="009754A5"/>
    <w:rsid w:val="00975971"/>
    <w:rsid w:val="00976035"/>
    <w:rsid w:val="009775A5"/>
    <w:rsid w:val="00980C1F"/>
    <w:rsid w:val="00982F42"/>
    <w:rsid w:val="009831DE"/>
    <w:rsid w:val="009845C4"/>
    <w:rsid w:val="00990209"/>
    <w:rsid w:val="00990593"/>
    <w:rsid w:val="00991215"/>
    <w:rsid w:val="0099509E"/>
    <w:rsid w:val="0099529E"/>
    <w:rsid w:val="009A0854"/>
    <w:rsid w:val="009A2890"/>
    <w:rsid w:val="009A378A"/>
    <w:rsid w:val="009A3A36"/>
    <w:rsid w:val="009A44C4"/>
    <w:rsid w:val="009B282F"/>
    <w:rsid w:val="009B3EF1"/>
    <w:rsid w:val="009B47A1"/>
    <w:rsid w:val="009B48B7"/>
    <w:rsid w:val="009B5232"/>
    <w:rsid w:val="009C05F7"/>
    <w:rsid w:val="009C0696"/>
    <w:rsid w:val="009C0DE0"/>
    <w:rsid w:val="009C1260"/>
    <w:rsid w:val="009C1824"/>
    <w:rsid w:val="009C54EC"/>
    <w:rsid w:val="009C5B39"/>
    <w:rsid w:val="009C5CA6"/>
    <w:rsid w:val="009C739D"/>
    <w:rsid w:val="009C7B60"/>
    <w:rsid w:val="009D283F"/>
    <w:rsid w:val="009D3E2C"/>
    <w:rsid w:val="009D4306"/>
    <w:rsid w:val="009D5805"/>
    <w:rsid w:val="009D7703"/>
    <w:rsid w:val="009E0578"/>
    <w:rsid w:val="009E3121"/>
    <w:rsid w:val="009E34A7"/>
    <w:rsid w:val="009E42D8"/>
    <w:rsid w:val="009E7EA5"/>
    <w:rsid w:val="009F183C"/>
    <w:rsid w:val="009F1D4F"/>
    <w:rsid w:val="009F2A6B"/>
    <w:rsid w:val="009F2E9A"/>
    <w:rsid w:val="009F472C"/>
    <w:rsid w:val="009F59A0"/>
    <w:rsid w:val="009F5A57"/>
    <w:rsid w:val="009F69AD"/>
    <w:rsid w:val="009F78AF"/>
    <w:rsid w:val="00A00706"/>
    <w:rsid w:val="00A00F62"/>
    <w:rsid w:val="00A0110B"/>
    <w:rsid w:val="00A02194"/>
    <w:rsid w:val="00A0220B"/>
    <w:rsid w:val="00A02FC6"/>
    <w:rsid w:val="00A04D30"/>
    <w:rsid w:val="00A058C4"/>
    <w:rsid w:val="00A072A4"/>
    <w:rsid w:val="00A10B7E"/>
    <w:rsid w:val="00A11179"/>
    <w:rsid w:val="00A11626"/>
    <w:rsid w:val="00A11774"/>
    <w:rsid w:val="00A12388"/>
    <w:rsid w:val="00A12627"/>
    <w:rsid w:val="00A145AF"/>
    <w:rsid w:val="00A15D84"/>
    <w:rsid w:val="00A208E2"/>
    <w:rsid w:val="00A224A4"/>
    <w:rsid w:val="00A22B98"/>
    <w:rsid w:val="00A25A03"/>
    <w:rsid w:val="00A26315"/>
    <w:rsid w:val="00A301A5"/>
    <w:rsid w:val="00A3121A"/>
    <w:rsid w:val="00A314DC"/>
    <w:rsid w:val="00A31788"/>
    <w:rsid w:val="00A31D20"/>
    <w:rsid w:val="00A3357E"/>
    <w:rsid w:val="00A33B99"/>
    <w:rsid w:val="00A3469A"/>
    <w:rsid w:val="00A373C6"/>
    <w:rsid w:val="00A37DA2"/>
    <w:rsid w:val="00A40126"/>
    <w:rsid w:val="00A4015E"/>
    <w:rsid w:val="00A40693"/>
    <w:rsid w:val="00A41067"/>
    <w:rsid w:val="00A422CD"/>
    <w:rsid w:val="00A43503"/>
    <w:rsid w:val="00A4391C"/>
    <w:rsid w:val="00A43F61"/>
    <w:rsid w:val="00A45229"/>
    <w:rsid w:val="00A45887"/>
    <w:rsid w:val="00A47194"/>
    <w:rsid w:val="00A53E96"/>
    <w:rsid w:val="00A5596C"/>
    <w:rsid w:val="00A611AC"/>
    <w:rsid w:val="00A621BF"/>
    <w:rsid w:val="00A62A0B"/>
    <w:rsid w:val="00A63798"/>
    <w:rsid w:val="00A642EE"/>
    <w:rsid w:val="00A647ED"/>
    <w:rsid w:val="00A64B27"/>
    <w:rsid w:val="00A653D2"/>
    <w:rsid w:val="00A655BC"/>
    <w:rsid w:val="00A65917"/>
    <w:rsid w:val="00A663BD"/>
    <w:rsid w:val="00A66905"/>
    <w:rsid w:val="00A72141"/>
    <w:rsid w:val="00A724C2"/>
    <w:rsid w:val="00A7603F"/>
    <w:rsid w:val="00A76A2E"/>
    <w:rsid w:val="00A8109E"/>
    <w:rsid w:val="00A81785"/>
    <w:rsid w:val="00A821E5"/>
    <w:rsid w:val="00A82CC6"/>
    <w:rsid w:val="00A86B9C"/>
    <w:rsid w:val="00A909CA"/>
    <w:rsid w:val="00A90AA4"/>
    <w:rsid w:val="00A915AF"/>
    <w:rsid w:val="00A92091"/>
    <w:rsid w:val="00A930EC"/>
    <w:rsid w:val="00A93C5B"/>
    <w:rsid w:val="00A94885"/>
    <w:rsid w:val="00A9581A"/>
    <w:rsid w:val="00AA0467"/>
    <w:rsid w:val="00AA0686"/>
    <w:rsid w:val="00AA19B7"/>
    <w:rsid w:val="00AA2126"/>
    <w:rsid w:val="00AA23D0"/>
    <w:rsid w:val="00AA2C45"/>
    <w:rsid w:val="00AA2DBD"/>
    <w:rsid w:val="00AA3AFE"/>
    <w:rsid w:val="00AA412A"/>
    <w:rsid w:val="00AA4FCD"/>
    <w:rsid w:val="00AA59D2"/>
    <w:rsid w:val="00AA73EF"/>
    <w:rsid w:val="00AA7405"/>
    <w:rsid w:val="00AB0381"/>
    <w:rsid w:val="00AB44FD"/>
    <w:rsid w:val="00AC10F7"/>
    <w:rsid w:val="00AC177A"/>
    <w:rsid w:val="00AC1D86"/>
    <w:rsid w:val="00AC205A"/>
    <w:rsid w:val="00AC2BA8"/>
    <w:rsid w:val="00AC55BD"/>
    <w:rsid w:val="00AC6DDB"/>
    <w:rsid w:val="00AD2646"/>
    <w:rsid w:val="00AD2928"/>
    <w:rsid w:val="00AD2C81"/>
    <w:rsid w:val="00AD3E8C"/>
    <w:rsid w:val="00AD5889"/>
    <w:rsid w:val="00AD6EC0"/>
    <w:rsid w:val="00AE1F6B"/>
    <w:rsid w:val="00AE5794"/>
    <w:rsid w:val="00AE5928"/>
    <w:rsid w:val="00AE60DC"/>
    <w:rsid w:val="00AE7158"/>
    <w:rsid w:val="00AE7C9A"/>
    <w:rsid w:val="00AF186F"/>
    <w:rsid w:val="00AF3A2D"/>
    <w:rsid w:val="00AF493B"/>
    <w:rsid w:val="00AF53C2"/>
    <w:rsid w:val="00AF6F27"/>
    <w:rsid w:val="00AF6FF1"/>
    <w:rsid w:val="00AF6FF7"/>
    <w:rsid w:val="00AF70E2"/>
    <w:rsid w:val="00B015E1"/>
    <w:rsid w:val="00B02E61"/>
    <w:rsid w:val="00B0327D"/>
    <w:rsid w:val="00B0331B"/>
    <w:rsid w:val="00B03B71"/>
    <w:rsid w:val="00B076FF"/>
    <w:rsid w:val="00B11BFA"/>
    <w:rsid w:val="00B17076"/>
    <w:rsid w:val="00B170BB"/>
    <w:rsid w:val="00B17C79"/>
    <w:rsid w:val="00B17F7F"/>
    <w:rsid w:val="00B20B0F"/>
    <w:rsid w:val="00B2118E"/>
    <w:rsid w:val="00B22782"/>
    <w:rsid w:val="00B237F4"/>
    <w:rsid w:val="00B30404"/>
    <w:rsid w:val="00B31244"/>
    <w:rsid w:val="00B312BD"/>
    <w:rsid w:val="00B31931"/>
    <w:rsid w:val="00B33C0C"/>
    <w:rsid w:val="00B374A9"/>
    <w:rsid w:val="00B3796B"/>
    <w:rsid w:val="00B40934"/>
    <w:rsid w:val="00B414DB"/>
    <w:rsid w:val="00B42286"/>
    <w:rsid w:val="00B4291F"/>
    <w:rsid w:val="00B42B03"/>
    <w:rsid w:val="00B42C77"/>
    <w:rsid w:val="00B43A54"/>
    <w:rsid w:val="00B44102"/>
    <w:rsid w:val="00B442AD"/>
    <w:rsid w:val="00B460E4"/>
    <w:rsid w:val="00B46926"/>
    <w:rsid w:val="00B503DC"/>
    <w:rsid w:val="00B50D5D"/>
    <w:rsid w:val="00B558CD"/>
    <w:rsid w:val="00B55B2F"/>
    <w:rsid w:val="00B55DE3"/>
    <w:rsid w:val="00B567A5"/>
    <w:rsid w:val="00B665E5"/>
    <w:rsid w:val="00B66732"/>
    <w:rsid w:val="00B6699C"/>
    <w:rsid w:val="00B66BAE"/>
    <w:rsid w:val="00B67B63"/>
    <w:rsid w:val="00B7041F"/>
    <w:rsid w:val="00B71618"/>
    <w:rsid w:val="00B71C7C"/>
    <w:rsid w:val="00B74694"/>
    <w:rsid w:val="00B77254"/>
    <w:rsid w:val="00B8001A"/>
    <w:rsid w:val="00B80556"/>
    <w:rsid w:val="00B8244D"/>
    <w:rsid w:val="00B82686"/>
    <w:rsid w:val="00B826DD"/>
    <w:rsid w:val="00B8517F"/>
    <w:rsid w:val="00B87A59"/>
    <w:rsid w:val="00B9163A"/>
    <w:rsid w:val="00B91C36"/>
    <w:rsid w:val="00B96108"/>
    <w:rsid w:val="00B968DA"/>
    <w:rsid w:val="00B976EE"/>
    <w:rsid w:val="00BA10E3"/>
    <w:rsid w:val="00BA2CC4"/>
    <w:rsid w:val="00BA3CB2"/>
    <w:rsid w:val="00BA5031"/>
    <w:rsid w:val="00BA576B"/>
    <w:rsid w:val="00BA6383"/>
    <w:rsid w:val="00BA7FD7"/>
    <w:rsid w:val="00BB001C"/>
    <w:rsid w:val="00BB07CE"/>
    <w:rsid w:val="00BB1B4D"/>
    <w:rsid w:val="00BB23F4"/>
    <w:rsid w:val="00BB35C0"/>
    <w:rsid w:val="00BB476A"/>
    <w:rsid w:val="00BB5CE8"/>
    <w:rsid w:val="00BB66E0"/>
    <w:rsid w:val="00BB69A8"/>
    <w:rsid w:val="00BB7411"/>
    <w:rsid w:val="00BB7AC4"/>
    <w:rsid w:val="00BC1690"/>
    <w:rsid w:val="00BC1789"/>
    <w:rsid w:val="00BC18B1"/>
    <w:rsid w:val="00BC1A24"/>
    <w:rsid w:val="00BC4C43"/>
    <w:rsid w:val="00BC59F3"/>
    <w:rsid w:val="00BC6752"/>
    <w:rsid w:val="00BD01DC"/>
    <w:rsid w:val="00BD126F"/>
    <w:rsid w:val="00BD1EB4"/>
    <w:rsid w:val="00BD4684"/>
    <w:rsid w:val="00BD530F"/>
    <w:rsid w:val="00BD5C44"/>
    <w:rsid w:val="00BD7B1F"/>
    <w:rsid w:val="00BE00B4"/>
    <w:rsid w:val="00BE1A3E"/>
    <w:rsid w:val="00BE3230"/>
    <w:rsid w:val="00BE48C6"/>
    <w:rsid w:val="00BE7298"/>
    <w:rsid w:val="00BF4334"/>
    <w:rsid w:val="00BF4FA6"/>
    <w:rsid w:val="00BF5E03"/>
    <w:rsid w:val="00BF76FE"/>
    <w:rsid w:val="00C017E3"/>
    <w:rsid w:val="00C02937"/>
    <w:rsid w:val="00C03FBD"/>
    <w:rsid w:val="00C045B6"/>
    <w:rsid w:val="00C079C3"/>
    <w:rsid w:val="00C10E0E"/>
    <w:rsid w:val="00C13C69"/>
    <w:rsid w:val="00C146FB"/>
    <w:rsid w:val="00C15EFF"/>
    <w:rsid w:val="00C219C7"/>
    <w:rsid w:val="00C24B54"/>
    <w:rsid w:val="00C257CE"/>
    <w:rsid w:val="00C26C2F"/>
    <w:rsid w:val="00C26D10"/>
    <w:rsid w:val="00C3182B"/>
    <w:rsid w:val="00C32352"/>
    <w:rsid w:val="00C33647"/>
    <w:rsid w:val="00C361B3"/>
    <w:rsid w:val="00C36F07"/>
    <w:rsid w:val="00C37580"/>
    <w:rsid w:val="00C40841"/>
    <w:rsid w:val="00C4084D"/>
    <w:rsid w:val="00C4493C"/>
    <w:rsid w:val="00C44A77"/>
    <w:rsid w:val="00C46480"/>
    <w:rsid w:val="00C47080"/>
    <w:rsid w:val="00C50E16"/>
    <w:rsid w:val="00C518D7"/>
    <w:rsid w:val="00C52836"/>
    <w:rsid w:val="00C53B85"/>
    <w:rsid w:val="00C6162E"/>
    <w:rsid w:val="00C6187C"/>
    <w:rsid w:val="00C622BF"/>
    <w:rsid w:val="00C62B71"/>
    <w:rsid w:val="00C62EA3"/>
    <w:rsid w:val="00C63B47"/>
    <w:rsid w:val="00C6404B"/>
    <w:rsid w:val="00C707B0"/>
    <w:rsid w:val="00C712B8"/>
    <w:rsid w:val="00C71F85"/>
    <w:rsid w:val="00C72158"/>
    <w:rsid w:val="00C72A16"/>
    <w:rsid w:val="00C72B3A"/>
    <w:rsid w:val="00C73FCC"/>
    <w:rsid w:val="00C749CF"/>
    <w:rsid w:val="00C76305"/>
    <w:rsid w:val="00C83CC9"/>
    <w:rsid w:val="00C85043"/>
    <w:rsid w:val="00C85590"/>
    <w:rsid w:val="00C85E67"/>
    <w:rsid w:val="00C9033A"/>
    <w:rsid w:val="00C91264"/>
    <w:rsid w:val="00C95375"/>
    <w:rsid w:val="00C96C5C"/>
    <w:rsid w:val="00CA1502"/>
    <w:rsid w:val="00CB0512"/>
    <w:rsid w:val="00CB066E"/>
    <w:rsid w:val="00CB1871"/>
    <w:rsid w:val="00CB1C25"/>
    <w:rsid w:val="00CB1EE3"/>
    <w:rsid w:val="00CB4665"/>
    <w:rsid w:val="00CB5811"/>
    <w:rsid w:val="00CC1119"/>
    <w:rsid w:val="00CC2F28"/>
    <w:rsid w:val="00CC34A3"/>
    <w:rsid w:val="00CD11BF"/>
    <w:rsid w:val="00CD120F"/>
    <w:rsid w:val="00CD15BB"/>
    <w:rsid w:val="00CD22EB"/>
    <w:rsid w:val="00CD2D6E"/>
    <w:rsid w:val="00CD3351"/>
    <w:rsid w:val="00CD717E"/>
    <w:rsid w:val="00CD7E31"/>
    <w:rsid w:val="00CE2600"/>
    <w:rsid w:val="00CE43CB"/>
    <w:rsid w:val="00CE4C0A"/>
    <w:rsid w:val="00CE6DE0"/>
    <w:rsid w:val="00CF058D"/>
    <w:rsid w:val="00CF0ED3"/>
    <w:rsid w:val="00CF2FBA"/>
    <w:rsid w:val="00CF4053"/>
    <w:rsid w:val="00CF420A"/>
    <w:rsid w:val="00CF5F56"/>
    <w:rsid w:val="00CF7D0F"/>
    <w:rsid w:val="00D00307"/>
    <w:rsid w:val="00D0045F"/>
    <w:rsid w:val="00D01359"/>
    <w:rsid w:val="00D035F4"/>
    <w:rsid w:val="00D05E04"/>
    <w:rsid w:val="00D064F5"/>
    <w:rsid w:val="00D10C81"/>
    <w:rsid w:val="00D1194B"/>
    <w:rsid w:val="00D13FC1"/>
    <w:rsid w:val="00D16013"/>
    <w:rsid w:val="00D171C1"/>
    <w:rsid w:val="00D17D99"/>
    <w:rsid w:val="00D208C0"/>
    <w:rsid w:val="00D30AB8"/>
    <w:rsid w:val="00D3233E"/>
    <w:rsid w:val="00D356F0"/>
    <w:rsid w:val="00D36A22"/>
    <w:rsid w:val="00D377B9"/>
    <w:rsid w:val="00D40BED"/>
    <w:rsid w:val="00D40DE8"/>
    <w:rsid w:val="00D41B83"/>
    <w:rsid w:val="00D420A3"/>
    <w:rsid w:val="00D428D4"/>
    <w:rsid w:val="00D44910"/>
    <w:rsid w:val="00D47176"/>
    <w:rsid w:val="00D51252"/>
    <w:rsid w:val="00D514CE"/>
    <w:rsid w:val="00D51805"/>
    <w:rsid w:val="00D51F79"/>
    <w:rsid w:val="00D53835"/>
    <w:rsid w:val="00D552DD"/>
    <w:rsid w:val="00D55AD0"/>
    <w:rsid w:val="00D55ED4"/>
    <w:rsid w:val="00D55F56"/>
    <w:rsid w:val="00D5626F"/>
    <w:rsid w:val="00D56964"/>
    <w:rsid w:val="00D5712B"/>
    <w:rsid w:val="00D57DCB"/>
    <w:rsid w:val="00D6019B"/>
    <w:rsid w:val="00D6069A"/>
    <w:rsid w:val="00D606B9"/>
    <w:rsid w:val="00D63B9D"/>
    <w:rsid w:val="00D63E2C"/>
    <w:rsid w:val="00D64C73"/>
    <w:rsid w:val="00D65455"/>
    <w:rsid w:val="00D674DB"/>
    <w:rsid w:val="00D67676"/>
    <w:rsid w:val="00D67A35"/>
    <w:rsid w:val="00D67BCF"/>
    <w:rsid w:val="00D7090C"/>
    <w:rsid w:val="00D765E3"/>
    <w:rsid w:val="00D77E74"/>
    <w:rsid w:val="00D80906"/>
    <w:rsid w:val="00D80A9E"/>
    <w:rsid w:val="00D80EEF"/>
    <w:rsid w:val="00D8257E"/>
    <w:rsid w:val="00D835DC"/>
    <w:rsid w:val="00D85F45"/>
    <w:rsid w:val="00D869ED"/>
    <w:rsid w:val="00D8735A"/>
    <w:rsid w:val="00D87450"/>
    <w:rsid w:val="00D9174B"/>
    <w:rsid w:val="00D9689F"/>
    <w:rsid w:val="00D96983"/>
    <w:rsid w:val="00DA10CC"/>
    <w:rsid w:val="00DA41C9"/>
    <w:rsid w:val="00DA48B1"/>
    <w:rsid w:val="00DB2917"/>
    <w:rsid w:val="00DB430D"/>
    <w:rsid w:val="00DB4581"/>
    <w:rsid w:val="00DB4758"/>
    <w:rsid w:val="00DB71E4"/>
    <w:rsid w:val="00DB778B"/>
    <w:rsid w:val="00DB7F1B"/>
    <w:rsid w:val="00DC2C6E"/>
    <w:rsid w:val="00DC3AB6"/>
    <w:rsid w:val="00DC65AF"/>
    <w:rsid w:val="00DC6C94"/>
    <w:rsid w:val="00DD4AC3"/>
    <w:rsid w:val="00DD5F7F"/>
    <w:rsid w:val="00DD7808"/>
    <w:rsid w:val="00DE2366"/>
    <w:rsid w:val="00DE3203"/>
    <w:rsid w:val="00DE3A99"/>
    <w:rsid w:val="00DE4F55"/>
    <w:rsid w:val="00DE5836"/>
    <w:rsid w:val="00DE5DBE"/>
    <w:rsid w:val="00DE7485"/>
    <w:rsid w:val="00DF15BF"/>
    <w:rsid w:val="00DF37F4"/>
    <w:rsid w:val="00DF3B91"/>
    <w:rsid w:val="00DF56F2"/>
    <w:rsid w:val="00DF7376"/>
    <w:rsid w:val="00DF7D0D"/>
    <w:rsid w:val="00E01B62"/>
    <w:rsid w:val="00E02884"/>
    <w:rsid w:val="00E03C1C"/>
    <w:rsid w:val="00E06837"/>
    <w:rsid w:val="00E10443"/>
    <w:rsid w:val="00E11BD8"/>
    <w:rsid w:val="00E13C03"/>
    <w:rsid w:val="00E1418C"/>
    <w:rsid w:val="00E14688"/>
    <w:rsid w:val="00E14775"/>
    <w:rsid w:val="00E14B71"/>
    <w:rsid w:val="00E164C8"/>
    <w:rsid w:val="00E171FE"/>
    <w:rsid w:val="00E21E1D"/>
    <w:rsid w:val="00E24EA4"/>
    <w:rsid w:val="00E24F7B"/>
    <w:rsid w:val="00E2632C"/>
    <w:rsid w:val="00E27EEB"/>
    <w:rsid w:val="00E30143"/>
    <w:rsid w:val="00E31A95"/>
    <w:rsid w:val="00E32CE3"/>
    <w:rsid w:val="00E34258"/>
    <w:rsid w:val="00E353BA"/>
    <w:rsid w:val="00E3664A"/>
    <w:rsid w:val="00E3762A"/>
    <w:rsid w:val="00E410BE"/>
    <w:rsid w:val="00E417C9"/>
    <w:rsid w:val="00E41D1C"/>
    <w:rsid w:val="00E4320F"/>
    <w:rsid w:val="00E43680"/>
    <w:rsid w:val="00E43A9F"/>
    <w:rsid w:val="00E4406F"/>
    <w:rsid w:val="00E44F30"/>
    <w:rsid w:val="00E50D72"/>
    <w:rsid w:val="00E522C7"/>
    <w:rsid w:val="00E52808"/>
    <w:rsid w:val="00E5378C"/>
    <w:rsid w:val="00E54238"/>
    <w:rsid w:val="00E551D8"/>
    <w:rsid w:val="00E57970"/>
    <w:rsid w:val="00E6021A"/>
    <w:rsid w:val="00E627D5"/>
    <w:rsid w:val="00E63689"/>
    <w:rsid w:val="00E636D7"/>
    <w:rsid w:val="00E63984"/>
    <w:rsid w:val="00E63D65"/>
    <w:rsid w:val="00E6411A"/>
    <w:rsid w:val="00E64CD7"/>
    <w:rsid w:val="00E6554C"/>
    <w:rsid w:val="00E65AB8"/>
    <w:rsid w:val="00E661CA"/>
    <w:rsid w:val="00E67B55"/>
    <w:rsid w:val="00E701BE"/>
    <w:rsid w:val="00E7183A"/>
    <w:rsid w:val="00E721ED"/>
    <w:rsid w:val="00E75ECF"/>
    <w:rsid w:val="00E778D8"/>
    <w:rsid w:val="00E8332F"/>
    <w:rsid w:val="00E8345F"/>
    <w:rsid w:val="00E834A5"/>
    <w:rsid w:val="00E845A2"/>
    <w:rsid w:val="00E8589D"/>
    <w:rsid w:val="00E86BD7"/>
    <w:rsid w:val="00E86E6A"/>
    <w:rsid w:val="00E876CD"/>
    <w:rsid w:val="00E90479"/>
    <w:rsid w:val="00E90A97"/>
    <w:rsid w:val="00E91488"/>
    <w:rsid w:val="00E91EA4"/>
    <w:rsid w:val="00E9453B"/>
    <w:rsid w:val="00E9526C"/>
    <w:rsid w:val="00E96AF4"/>
    <w:rsid w:val="00E974A0"/>
    <w:rsid w:val="00E97B58"/>
    <w:rsid w:val="00EA112B"/>
    <w:rsid w:val="00EA209C"/>
    <w:rsid w:val="00EA3D6B"/>
    <w:rsid w:val="00EA695F"/>
    <w:rsid w:val="00EA6CE1"/>
    <w:rsid w:val="00EA7113"/>
    <w:rsid w:val="00EA7D31"/>
    <w:rsid w:val="00EB0BD6"/>
    <w:rsid w:val="00EB3488"/>
    <w:rsid w:val="00EB39A8"/>
    <w:rsid w:val="00EB3E46"/>
    <w:rsid w:val="00EB43A9"/>
    <w:rsid w:val="00EB4513"/>
    <w:rsid w:val="00EB4521"/>
    <w:rsid w:val="00EB543D"/>
    <w:rsid w:val="00EB6106"/>
    <w:rsid w:val="00EC0BA5"/>
    <w:rsid w:val="00EC1F16"/>
    <w:rsid w:val="00EC3F5C"/>
    <w:rsid w:val="00EC416C"/>
    <w:rsid w:val="00EC41C4"/>
    <w:rsid w:val="00EC51A2"/>
    <w:rsid w:val="00EC7567"/>
    <w:rsid w:val="00EC77F8"/>
    <w:rsid w:val="00EC7CD5"/>
    <w:rsid w:val="00ED1245"/>
    <w:rsid w:val="00EE0090"/>
    <w:rsid w:val="00EE21A6"/>
    <w:rsid w:val="00EE2F7D"/>
    <w:rsid w:val="00EE3176"/>
    <w:rsid w:val="00EE3896"/>
    <w:rsid w:val="00EE46AA"/>
    <w:rsid w:val="00EE495F"/>
    <w:rsid w:val="00EE530C"/>
    <w:rsid w:val="00EE6105"/>
    <w:rsid w:val="00EF5908"/>
    <w:rsid w:val="00EF5E6D"/>
    <w:rsid w:val="00EF65D7"/>
    <w:rsid w:val="00EF660A"/>
    <w:rsid w:val="00EF7BDE"/>
    <w:rsid w:val="00F000CC"/>
    <w:rsid w:val="00F018A9"/>
    <w:rsid w:val="00F0229E"/>
    <w:rsid w:val="00F04956"/>
    <w:rsid w:val="00F053BA"/>
    <w:rsid w:val="00F05CDD"/>
    <w:rsid w:val="00F070A0"/>
    <w:rsid w:val="00F0745E"/>
    <w:rsid w:val="00F07A50"/>
    <w:rsid w:val="00F11BA0"/>
    <w:rsid w:val="00F1235B"/>
    <w:rsid w:val="00F14578"/>
    <w:rsid w:val="00F14910"/>
    <w:rsid w:val="00F149F8"/>
    <w:rsid w:val="00F14A08"/>
    <w:rsid w:val="00F152AB"/>
    <w:rsid w:val="00F15EDF"/>
    <w:rsid w:val="00F15F93"/>
    <w:rsid w:val="00F166B0"/>
    <w:rsid w:val="00F20BA4"/>
    <w:rsid w:val="00F20C47"/>
    <w:rsid w:val="00F22DE6"/>
    <w:rsid w:val="00F232BA"/>
    <w:rsid w:val="00F24070"/>
    <w:rsid w:val="00F2620E"/>
    <w:rsid w:val="00F2776D"/>
    <w:rsid w:val="00F27836"/>
    <w:rsid w:val="00F31335"/>
    <w:rsid w:val="00F325BB"/>
    <w:rsid w:val="00F32D28"/>
    <w:rsid w:val="00F33564"/>
    <w:rsid w:val="00F335D9"/>
    <w:rsid w:val="00F33826"/>
    <w:rsid w:val="00F3643C"/>
    <w:rsid w:val="00F3772F"/>
    <w:rsid w:val="00F3777D"/>
    <w:rsid w:val="00F41A2D"/>
    <w:rsid w:val="00F428BE"/>
    <w:rsid w:val="00F4467A"/>
    <w:rsid w:val="00F449E9"/>
    <w:rsid w:val="00F45FD7"/>
    <w:rsid w:val="00F473FD"/>
    <w:rsid w:val="00F47F1C"/>
    <w:rsid w:val="00F503CA"/>
    <w:rsid w:val="00F50AF6"/>
    <w:rsid w:val="00F540D5"/>
    <w:rsid w:val="00F54D3E"/>
    <w:rsid w:val="00F55B71"/>
    <w:rsid w:val="00F56DB8"/>
    <w:rsid w:val="00F627A5"/>
    <w:rsid w:val="00F638AE"/>
    <w:rsid w:val="00F64FBB"/>
    <w:rsid w:val="00F664CC"/>
    <w:rsid w:val="00F66D7C"/>
    <w:rsid w:val="00F66DF2"/>
    <w:rsid w:val="00F70D1C"/>
    <w:rsid w:val="00F71523"/>
    <w:rsid w:val="00F71F41"/>
    <w:rsid w:val="00F73B05"/>
    <w:rsid w:val="00F7533C"/>
    <w:rsid w:val="00F75DD5"/>
    <w:rsid w:val="00F764FA"/>
    <w:rsid w:val="00F77296"/>
    <w:rsid w:val="00F776F9"/>
    <w:rsid w:val="00F80A47"/>
    <w:rsid w:val="00F81F87"/>
    <w:rsid w:val="00F8238B"/>
    <w:rsid w:val="00F83075"/>
    <w:rsid w:val="00F833ED"/>
    <w:rsid w:val="00F856EC"/>
    <w:rsid w:val="00F864E8"/>
    <w:rsid w:val="00F91783"/>
    <w:rsid w:val="00F9205F"/>
    <w:rsid w:val="00F92394"/>
    <w:rsid w:val="00F92F0B"/>
    <w:rsid w:val="00F95622"/>
    <w:rsid w:val="00F95FF6"/>
    <w:rsid w:val="00F97413"/>
    <w:rsid w:val="00FA3721"/>
    <w:rsid w:val="00FA5B51"/>
    <w:rsid w:val="00FA6E7C"/>
    <w:rsid w:val="00FA7C0A"/>
    <w:rsid w:val="00FA7E90"/>
    <w:rsid w:val="00FB3A31"/>
    <w:rsid w:val="00FB3A3B"/>
    <w:rsid w:val="00FB5AC1"/>
    <w:rsid w:val="00FB6D26"/>
    <w:rsid w:val="00FB7030"/>
    <w:rsid w:val="00FB76CA"/>
    <w:rsid w:val="00FC10EC"/>
    <w:rsid w:val="00FC4C00"/>
    <w:rsid w:val="00FC7288"/>
    <w:rsid w:val="00FC78D9"/>
    <w:rsid w:val="00FD14B7"/>
    <w:rsid w:val="00FD1CC0"/>
    <w:rsid w:val="00FD3805"/>
    <w:rsid w:val="00FD3AF5"/>
    <w:rsid w:val="00FD4AB4"/>
    <w:rsid w:val="00FD6446"/>
    <w:rsid w:val="00FD6755"/>
    <w:rsid w:val="00FD6E01"/>
    <w:rsid w:val="00FE5491"/>
    <w:rsid w:val="00FE6536"/>
    <w:rsid w:val="00FE768C"/>
    <w:rsid w:val="00FF0634"/>
    <w:rsid w:val="00FF0A56"/>
    <w:rsid w:val="00FF18A8"/>
    <w:rsid w:val="00FF2AF8"/>
    <w:rsid w:val="00FF4D41"/>
    <w:rsid w:val="00FF4D98"/>
    <w:rsid w:val="00FF5226"/>
    <w:rsid w:val="00FF561B"/>
    <w:rsid w:val="00FF6EF3"/>
    <w:rsid w:val="00FF76F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2DAF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nhideWhenUsed="0" w:qFormat="1"/>
    <w:lsdException w:name="heading 1" w:semiHidden="0" w:uiPriority="6" w:unhideWhenUsed="0" w:qFormat="1"/>
    <w:lsdException w:name="heading 2" w:semiHidden="0" w:uiPriority="7" w:unhideWhenUsed="0" w:qFormat="1"/>
    <w:lsdException w:name="heading 3" w:semiHidden="0" w:uiPriority="8" w:unhideWhenUsed="0" w:qFormat="1"/>
    <w:lsdException w:name="heading 4" w:uiPriority="9" w:unhideWhenUsed="0" w:qFormat="1"/>
    <w:lsdException w:name="heading 5" w:uiPriority="10" w:unhideWhenUsed="0" w:qFormat="1"/>
    <w:lsdException w:name="heading 6" w:uiPriority="11" w:unhideWhenUsed="0" w:qFormat="1"/>
    <w:lsdException w:name="heading 7" w:uiPriority="12" w:qFormat="1"/>
    <w:lsdException w:name="heading 8" w:uiPriority="12" w:qFormat="1"/>
    <w:lsdException w:name="heading 9" w:uiPriority="12" w:qFormat="1"/>
    <w:lsdException w:name="toc 1" w:uiPriority="39" w:qFormat="1"/>
    <w:lsdException w:name="toc 2" w:uiPriority="39" w:qFormat="1"/>
    <w:lsdException w:name="toc 3" w:uiPriority="39" w:qFormat="1"/>
    <w:lsdException w:name="toc 7" w:uiPriority="39"/>
    <w:lsdException w:name="toc 8" w:uiPriority="39"/>
    <w:lsdException w:name="toc 9" w:uiPriority="39"/>
    <w:lsdException w:name="caption" w:uiPriority="4" w:qFormat="1"/>
    <w:lsdException w:name="footnote reference" w:qFormat="1"/>
    <w:lsdException w:name="annotation reference" w:uiPriority="0"/>
    <w:lsdException w:name="List Number" w:semiHidden="0" w:unhideWhenUsed="0"/>
    <w:lsdException w:name="List 4" w:unhideWhenUsed="0"/>
    <w:lsdException w:name="List 5" w:unhideWhenUsed="0"/>
    <w:lsdException w:name="Title" w:semiHidden="0" w:uiPriority="10" w:unhideWhenUsed="0" w:qFormat="1"/>
    <w:lsdException w:name="Default Paragraph Font" w:uiPriority="1"/>
    <w:lsdException w:name="Body Text" w:uiPriority="0" w:qFormat="1"/>
    <w:lsdException w:name="Subtitle" w:uiPriority="11" w:unhideWhenUsed="0" w:qFormat="1"/>
    <w:lsdException w:name="Salutation" w:unhideWhenUsed="0"/>
    <w:lsdException w:name="Date" w:unhideWhenUsed="0"/>
    <w:lsdException w:name="Body Text First Indent"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locked="1"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uiPriority w:val="99"/>
    <w:qFormat/>
    <w:rsid w:val="00244F60"/>
    <w:pPr>
      <w:spacing w:before="160" w:after="160" w:line="280" w:lineRule="atLeast"/>
    </w:pPr>
    <w:rPr>
      <w:rFonts w:ascii="Arial" w:hAnsi="Arial"/>
      <w:sz w:val="20"/>
    </w:rPr>
  </w:style>
  <w:style w:type="paragraph" w:styleId="Heading1">
    <w:name w:val="heading 1"/>
    <w:basedOn w:val="BodyText"/>
    <w:next w:val="BodyText"/>
    <w:link w:val="Heading1Char"/>
    <w:uiPriority w:val="6"/>
    <w:qFormat/>
    <w:rsid w:val="00244F60"/>
    <w:pPr>
      <w:keepNext/>
      <w:pageBreakBefore/>
      <w:numPr>
        <w:numId w:val="4"/>
      </w:numPr>
      <w:spacing w:before="0" w:after="480"/>
      <w:outlineLvl w:val="0"/>
    </w:pPr>
    <w:rPr>
      <w:rFonts w:eastAsiaTheme="majorEastAsia" w:cstheme="majorBidi"/>
      <w:bCs/>
      <w:color w:val="E52923" w:themeColor="background2"/>
      <w:sz w:val="44"/>
      <w:szCs w:val="40"/>
    </w:rPr>
  </w:style>
  <w:style w:type="paragraph" w:styleId="Heading2">
    <w:name w:val="heading 2"/>
    <w:basedOn w:val="Heading1"/>
    <w:next w:val="BodyText"/>
    <w:link w:val="Heading2Char"/>
    <w:uiPriority w:val="7"/>
    <w:qFormat/>
    <w:rsid w:val="00244F60"/>
    <w:pPr>
      <w:pageBreakBefore w:val="0"/>
      <w:numPr>
        <w:ilvl w:val="1"/>
      </w:numPr>
      <w:spacing w:before="360" w:after="160"/>
      <w:outlineLvl w:val="1"/>
    </w:pPr>
    <w:rPr>
      <w:bCs w:val="0"/>
      <w:color w:val="00BAD4" w:themeColor="text2"/>
      <w:sz w:val="36"/>
      <w:szCs w:val="32"/>
    </w:rPr>
  </w:style>
  <w:style w:type="paragraph" w:styleId="Heading3">
    <w:name w:val="heading 3"/>
    <w:basedOn w:val="Heading2"/>
    <w:next w:val="BodyText"/>
    <w:link w:val="Heading3Char"/>
    <w:uiPriority w:val="8"/>
    <w:qFormat/>
    <w:rsid w:val="00244F60"/>
    <w:pPr>
      <w:numPr>
        <w:ilvl w:val="2"/>
      </w:numPr>
      <w:outlineLvl w:val="2"/>
    </w:pPr>
    <w:rPr>
      <w:bCs/>
      <w:color w:val="796E65" w:themeColor="accent4"/>
      <w:sz w:val="32"/>
      <w:szCs w:val="28"/>
    </w:rPr>
  </w:style>
  <w:style w:type="paragraph" w:styleId="Heading4">
    <w:name w:val="heading 4"/>
    <w:basedOn w:val="Heading3"/>
    <w:next w:val="BodyText"/>
    <w:link w:val="Heading4Char"/>
    <w:uiPriority w:val="9"/>
    <w:qFormat/>
    <w:rsid w:val="00244F60"/>
    <w:pPr>
      <w:numPr>
        <w:ilvl w:val="3"/>
      </w:numPr>
      <w:outlineLvl w:val="3"/>
    </w:pPr>
    <w:rPr>
      <w:bCs w:val="0"/>
      <w:iCs/>
      <w:color w:val="E52923" w:themeColor="background2"/>
      <w:sz w:val="28"/>
    </w:rPr>
  </w:style>
  <w:style w:type="paragraph" w:styleId="Heading5">
    <w:name w:val="heading 5"/>
    <w:aliases w:val="(Main Heading)"/>
    <w:basedOn w:val="Heading4"/>
    <w:next w:val="BodyText"/>
    <w:link w:val="Heading5Char"/>
    <w:uiPriority w:val="10"/>
    <w:qFormat/>
    <w:rsid w:val="00244F60"/>
    <w:pPr>
      <w:numPr>
        <w:ilvl w:val="0"/>
        <w:numId w:val="0"/>
      </w:numPr>
      <w:outlineLvl w:val="4"/>
    </w:pPr>
    <w:rPr>
      <w:rFonts w:cstheme="minorHAnsi"/>
      <w:color w:val="00BAD4" w:themeColor="text2"/>
      <w:sz w:val="24"/>
      <w:szCs w:val="24"/>
    </w:rPr>
  </w:style>
  <w:style w:type="paragraph" w:styleId="Heading6">
    <w:name w:val="heading 6"/>
    <w:aliases w:val="(Subheading)"/>
    <w:basedOn w:val="Heading5"/>
    <w:next w:val="BodyText"/>
    <w:link w:val="Heading6Char"/>
    <w:uiPriority w:val="11"/>
    <w:qFormat/>
    <w:rsid w:val="00244F60"/>
    <w:pPr>
      <w:numPr>
        <w:ilvl w:val="5"/>
      </w:numPr>
      <w:outlineLvl w:val="5"/>
    </w:pPr>
    <w:rPr>
      <w:b/>
      <w:iCs w:val="0"/>
      <w:color w:val="796E65" w:themeColor="accent4"/>
      <w:sz w:val="20"/>
      <w:szCs w:val="22"/>
    </w:rPr>
  </w:style>
  <w:style w:type="paragraph" w:styleId="Heading7">
    <w:name w:val="heading 7"/>
    <w:aliases w:val="(Appendix Heading)"/>
    <w:basedOn w:val="Heading1"/>
    <w:next w:val="BodyText"/>
    <w:link w:val="Heading7Char"/>
    <w:uiPriority w:val="12"/>
    <w:qFormat/>
    <w:rsid w:val="00244F60"/>
    <w:pPr>
      <w:numPr>
        <w:ilvl w:val="4"/>
      </w:numPr>
      <w:tabs>
        <w:tab w:val="left" w:pos="2835"/>
      </w:tabs>
      <w:outlineLvl w:val="6"/>
    </w:pPr>
    <w:rPr>
      <w:iCs/>
    </w:rPr>
  </w:style>
  <w:style w:type="paragraph" w:styleId="Heading8">
    <w:name w:val="heading 8"/>
    <w:basedOn w:val="Heading7"/>
    <w:next w:val="BodyText"/>
    <w:link w:val="Heading8Char"/>
    <w:uiPriority w:val="12"/>
    <w:qFormat/>
    <w:rsid w:val="00244F60"/>
    <w:pPr>
      <w:pageBreakBefore w:val="0"/>
      <w:numPr>
        <w:ilvl w:val="5"/>
      </w:numPr>
      <w:tabs>
        <w:tab w:val="clear" w:pos="2835"/>
      </w:tabs>
      <w:spacing w:before="360" w:after="160"/>
      <w:outlineLvl w:val="7"/>
    </w:pPr>
    <w:rPr>
      <w:rFonts w:asciiTheme="majorHAnsi" w:hAnsiTheme="majorHAnsi"/>
      <w:color w:val="00BAD4" w:themeColor="text2"/>
      <w:sz w:val="36"/>
      <w:szCs w:val="20"/>
    </w:rPr>
  </w:style>
  <w:style w:type="paragraph" w:styleId="Heading9">
    <w:name w:val="heading 9"/>
    <w:basedOn w:val="Heading8"/>
    <w:next w:val="BodyText"/>
    <w:link w:val="Heading9Char"/>
    <w:uiPriority w:val="12"/>
    <w:qFormat/>
    <w:rsid w:val="002B5936"/>
    <w:pPr>
      <w:numPr>
        <w:ilvl w:val="6"/>
      </w:numPr>
      <w:outlineLvl w:val="8"/>
    </w:pPr>
    <w:rPr>
      <w:iCs w:val="0"/>
      <w:color w:val="796E65" w:themeColor="accent4"/>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6"/>
    <w:rsid w:val="00244F60"/>
    <w:rPr>
      <w:rFonts w:ascii="Arial" w:eastAsiaTheme="majorEastAsia" w:hAnsi="Arial" w:cstheme="majorBidi"/>
      <w:bCs/>
      <w:color w:val="E52923" w:themeColor="background2"/>
      <w:sz w:val="44"/>
      <w:szCs w:val="40"/>
    </w:rPr>
  </w:style>
  <w:style w:type="character" w:customStyle="1" w:styleId="Heading2Char">
    <w:name w:val="Heading 2 Char"/>
    <w:basedOn w:val="DefaultParagraphFont"/>
    <w:link w:val="Heading2"/>
    <w:uiPriority w:val="7"/>
    <w:rsid w:val="00244F60"/>
    <w:rPr>
      <w:rFonts w:ascii="Arial" w:eastAsiaTheme="majorEastAsia" w:hAnsi="Arial" w:cstheme="majorBidi"/>
      <w:color w:val="00BAD4" w:themeColor="text2"/>
      <w:sz w:val="36"/>
      <w:szCs w:val="32"/>
    </w:rPr>
  </w:style>
  <w:style w:type="character" w:customStyle="1" w:styleId="Heading3Char">
    <w:name w:val="Heading 3 Char"/>
    <w:basedOn w:val="DefaultParagraphFont"/>
    <w:link w:val="Heading3"/>
    <w:uiPriority w:val="8"/>
    <w:rsid w:val="00244F60"/>
    <w:rPr>
      <w:rFonts w:ascii="Arial" w:eastAsiaTheme="majorEastAsia" w:hAnsi="Arial" w:cstheme="majorBidi"/>
      <w:bCs/>
      <w:color w:val="796E65" w:themeColor="accent4"/>
      <w:sz w:val="32"/>
      <w:szCs w:val="28"/>
    </w:rPr>
  </w:style>
  <w:style w:type="paragraph" w:styleId="Caption">
    <w:name w:val="caption"/>
    <w:basedOn w:val="BodyText"/>
    <w:next w:val="Object"/>
    <w:link w:val="CaptionChar"/>
    <w:uiPriority w:val="4"/>
    <w:qFormat/>
    <w:rsid w:val="00244F60"/>
    <w:pPr>
      <w:keepNext/>
      <w:spacing w:before="360" w:line="240" w:lineRule="auto"/>
      <w:ind w:left="1418" w:hanging="1418"/>
    </w:pPr>
    <w:rPr>
      <w:b/>
      <w:bCs/>
      <w:color w:val="796E65" w:themeColor="accent4"/>
      <w:sz w:val="18"/>
      <w:szCs w:val="20"/>
    </w:rPr>
  </w:style>
  <w:style w:type="paragraph" w:styleId="BodyText">
    <w:name w:val="Body Text"/>
    <w:link w:val="BodyTextChar"/>
    <w:qFormat/>
    <w:rsid w:val="00244F60"/>
    <w:pPr>
      <w:keepLines/>
      <w:spacing w:before="160" w:after="160" w:line="280" w:lineRule="atLeast"/>
    </w:pPr>
    <w:rPr>
      <w:rFonts w:ascii="Arial" w:hAnsi="Arial"/>
      <w:sz w:val="20"/>
    </w:rPr>
  </w:style>
  <w:style w:type="character" w:customStyle="1" w:styleId="BodyTextChar">
    <w:name w:val="Body Text Char"/>
    <w:basedOn w:val="DefaultParagraphFont"/>
    <w:link w:val="BodyText"/>
    <w:rsid w:val="00244F60"/>
    <w:rPr>
      <w:rFonts w:ascii="Arial" w:hAnsi="Arial"/>
      <w:sz w:val="20"/>
    </w:rPr>
  </w:style>
  <w:style w:type="paragraph" w:styleId="TOC1">
    <w:name w:val="toc 1"/>
    <w:basedOn w:val="Normal"/>
    <w:next w:val="BodyText"/>
    <w:uiPriority w:val="39"/>
    <w:qFormat/>
    <w:rsid w:val="00244F60"/>
    <w:pPr>
      <w:keepLines/>
      <w:tabs>
        <w:tab w:val="right" w:pos="7209"/>
      </w:tabs>
      <w:spacing w:after="80"/>
      <w:ind w:left="454" w:right="1245" w:hanging="454"/>
    </w:pPr>
    <w:rPr>
      <w:noProof/>
      <w:sz w:val="22"/>
    </w:rPr>
  </w:style>
  <w:style w:type="paragraph" w:styleId="TOC2">
    <w:name w:val="toc 2"/>
    <w:basedOn w:val="TOC1"/>
    <w:next w:val="BodyText"/>
    <w:uiPriority w:val="39"/>
    <w:qFormat/>
    <w:rsid w:val="00244F60"/>
    <w:pPr>
      <w:spacing w:before="80"/>
      <w:ind w:left="1134" w:hanging="680"/>
    </w:pPr>
  </w:style>
  <w:style w:type="paragraph" w:styleId="TOC3">
    <w:name w:val="toc 3"/>
    <w:basedOn w:val="TOC2"/>
    <w:next w:val="BodyText"/>
    <w:uiPriority w:val="39"/>
    <w:qFormat/>
    <w:rsid w:val="00244F60"/>
    <w:pPr>
      <w:ind w:left="1985" w:hanging="851"/>
    </w:pPr>
  </w:style>
  <w:style w:type="paragraph" w:styleId="TOC4">
    <w:name w:val="toc 4"/>
    <w:basedOn w:val="TOC1"/>
    <w:next w:val="BodyText"/>
    <w:uiPriority w:val="99"/>
    <w:rsid w:val="00244F60"/>
    <w:pPr>
      <w:spacing w:before="80"/>
      <w:ind w:left="0" w:firstLine="0"/>
    </w:pPr>
  </w:style>
  <w:style w:type="paragraph" w:styleId="TOC5">
    <w:name w:val="toc 5"/>
    <w:basedOn w:val="TOC2"/>
    <w:next w:val="BodyText"/>
    <w:uiPriority w:val="99"/>
    <w:rsid w:val="00244F60"/>
  </w:style>
  <w:style w:type="paragraph" w:styleId="TOC6">
    <w:name w:val="toc 6"/>
    <w:basedOn w:val="TOC3"/>
    <w:next w:val="BodyText"/>
    <w:uiPriority w:val="99"/>
    <w:rsid w:val="00244F60"/>
  </w:style>
  <w:style w:type="character" w:customStyle="1" w:styleId="Heading4Char">
    <w:name w:val="Heading 4 Char"/>
    <w:basedOn w:val="DefaultParagraphFont"/>
    <w:link w:val="Heading4"/>
    <w:uiPriority w:val="9"/>
    <w:rsid w:val="00244F60"/>
    <w:rPr>
      <w:rFonts w:ascii="Arial" w:eastAsiaTheme="majorEastAsia" w:hAnsi="Arial" w:cstheme="majorBidi"/>
      <w:iCs/>
      <w:color w:val="E52923" w:themeColor="background2"/>
      <w:sz w:val="28"/>
      <w:szCs w:val="28"/>
    </w:rPr>
  </w:style>
  <w:style w:type="paragraph" w:styleId="TOC7">
    <w:name w:val="toc 7"/>
    <w:basedOn w:val="TOC1"/>
    <w:next w:val="BodyText"/>
    <w:uiPriority w:val="39"/>
    <w:rsid w:val="00244F60"/>
    <w:pPr>
      <w:ind w:left="1418" w:hanging="1418"/>
    </w:pPr>
  </w:style>
  <w:style w:type="character" w:customStyle="1" w:styleId="Heading5Char">
    <w:name w:val="Heading 5 Char"/>
    <w:aliases w:val="(Main Heading) Char"/>
    <w:basedOn w:val="DefaultParagraphFont"/>
    <w:link w:val="Heading5"/>
    <w:uiPriority w:val="10"/>
    <w:rsid w:val="00244F60"/>
    <w:rPr>
      <w:rFonts w:ascii="Arial" w:eastAsiaTheme="majorEastAsia" w:hAnsi="Arial" w:cstheme="minorHAnsi"/>
      <w:iCs/>
      <w:color w:val="00BAD4" w:themeColor="text2"/>
      <w:sz w:val="24"/>
      <w:szCs w:val="24"/>
    </w:rPr>
  </w:style>
  <w:style w:type="paragraph" w:styleId="TOC8">
    <w:name w:val="toc 8"/>
    <w:basedOn w:val="TOC7"/>
    <w:next w:val="BodyText"/>
    <w:uiPriority w:val="39"/>
    <w:rsid w:val="00244F60"/>
    <w:pPr>
      <w:spacing w:before="80"/>
      <w:ind w:left="1134" w:hanging="680"/>
    </w:pPr>
  </w:style>
  <w:style w:type="character" w:customStyle="1" w:styleId="Heading6Char">
    <w:name w:val="Heading 6 Char"/>
    <w:aliases w:val="(Subheading) Char"/>
    <w:basedOn w:val="DefaultParagraphFont"/>
    <w:link w:val="Heading6"/>
    <w:uiPriority w:val="11"/>
    <w:rsid w:val="00244F60"/>
    <w:rPr>
      <w:rFonts w:ascii="Arial" w:eastAsiaTheme="majorEastAsia" w:hAnsi="Arial" w:cstheme="minorHAnsi"/>
      <w:b/>
      <w:color w:val="796E65" w:themeColor="accent4"/>
      <w:sz w:val="20"/>
    </w:rPr>
  </w:style>
  <w:style w:type="paragraph" w:styleId="TOC9">
    <w:name w:val="toc 9"/>
    <w:basedOn w:val="TOC8"/>
    <w:next w:val="BodyText"/>
    <w:uiPriority w:val="39"/>
    <w:rsid w:val="00244F60"/>
    <w:pPr>
      <w:ind w:left="1985" w:hanging="851"/>
    </w:pPr>
  </w:style>
  <w:style w:type="paragraph" w:styleId="TOCHeading">
    <w:name w:val="TOC Heading"/>
    <w:basedOn w:val="Heading1"/>
    <w:next w:val="BodyText"/>
    <w:uiPriority w:val="99"/>
    <w:qFormat/>
    <w:rsid w:val="00244F60"/>
    <w:pPr>
      <w:numPr>
        <w:numId w:val="0"/>
      </w:numPr>
      <w:outlineLvl w:val="9"/>
    </w:pPr>
  </w:style>
  <w:style w:type="paragraph" w:customStyle="1" w:styleId="BodyIndent2">
    <w:name w:val="Body Indent 2"/>
    <w:basedOn w:val="BodyBullet2"/>
    <w:uiPriority w:val="99"/>
    <w:rsid w:val="00244F60"/>
    <w:pPr>
      <w:numPr>
        <w:ilvl w:val="0"/>
        <w:numId w:val="0"/>
      </w:numPr>
      <w:ind w:left="680"/>
    </w:pPr>
  </w:style>
  <w:style w:type="paragraph" w:customStyle="1" w:styleId="BodyIndent3">
    <w:name w:val="Body Indent 3"/>
    <w:basedOn w:val="BodyBullet3"/>
    <w:uiPriority w:val="99"/>
    <w:rsid w:val="00244F60"/>
    <w:pPr>
      <w:numPr>
        <w:ilvl w:val="0"/>
        <w:numId w:val="0"/>
      </w:numPr>
      <w:ind w:left="1021"/>
    </w:pPr>
  </w:style>
  <w:style w:type="character" w:styleId="EndnoteReference">
    <w:name w:val="endnote reference"/>
    <w:basedOn w:val="DefaultParagraphFont"/>
    <w:uiPriority w:val="99"/>
    <w:rsid w:val="00244F60"/>
    <w:rPr>
      <w:vertAlign w:val="superscript"/>
    </w:rPr>
  </w:style>
  <w:style w:type="paragraph" w:styleId="ListBullet">
    <w:name w:val="List Bullet"/>
    <w:basedOn w:val="BodyText"/>
    <w:uiPriority w:val="99"/>
    <w:semiHidden/>
    <w:rsid w:val="00244F60"/>
    <w:pPr>
      <w:numPr>
        <w:numId w:val="5"/>
      </w:numPr>
      <w:spacing w:before="120" w:after="120"/>
      <w:contextualSpacing/>
    </w:pPr>
  </w:style>
  <w:style w:type="table" w:styleId="TableGrid">
    <w:name w:val="Table Grid"/>
    <w:basedOn w:val="TableNormal"/>
    <w:uiPriority w:val="59"/>
    <w:rsid w:val="00244F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
    <w:name w:val="Source"/>
    <w:basedOn w:val="BodyText"/>
    <w:next w:val="BodyText"/>
    <w:uiPriority w:val="5"/>
    <w:qFormat/>
    <w:rsid w:val="00244F60"/>
    <w:pPr>
      <w:spacing w:after="360" w:line="240" w:lineRule="auto"/>
    </w:pPr>
    <w:rPr>
      <w:color w:val="A59C94" w:themeColor="accent3"/>
      <w:sz w:val="18"/>
      <w:szCs w:val="18"/>
    </w:rPr>
  </w:style>
  <w:style w:type="paragraph" w:styleId="ListBullet2">
    <w:name w:val="List Bullet 2"/>
    <w:basedOn w:val="ListBullet"/>
    <w:uiPriority w:val="99"/>
    <w:semiHidden/>
    <w:rsid w:val="00244F60"/>
    <w:pPr>
      <w:numPr>
        <w:ilvl w:val="1"/>
      </w:numPr>
    </w:pPr>
  </w:style>
  <w:style w:type="paragraph" w:customStyle="1" w:styleId="TableText">
    <w:name w:val="Table Text"/>
    <w:uiPriority w:val="2"/>
    <w:qFormat/>
    <w:rsid w:val="00244F60"/>
    <w:pPr>
      <w:numPr>
        <w:numId w:val="9"/>
      </w:numPr>
      <w:spacing w:before="80" w:after="80" w:line="240" w:lineRule="auto"/>
    </w:pPr>
    <w:rPr>
      <w:rFonts w:ascii="Arial" w:hAnsi="Arial"/>
      <w:sz w:val="18"/>
      <w:szCs w:val="20"/>
    </w:rPr>
  </w:style>
  <w:style w:type="paragraph" w:styleId="EndnoteText">
    <w:name w:val="endnote text"/>
    <w:basedOn w:val="Normal"/>
    <w:link w:val="EndnoteTextChar"/>
    <w:uiPriority w:val="99"/>
    <w:rsid w:val="00244F60"/>
    <w:pPr>
      <w:keepLines/>
      <w:spacing w:line="240" w:lineRule="auto"/>
      <w:ind w:left="340" w:hanging="340"/>
    </w:pPr>
    <w:rPr>
      <w:sz w:val="18"/>
      <w:szCs w:val="18"/>
    </w:rPr>
  </w:style>
  <w:style w:type="paragraph" w:styleId="ListBullet3">
    <w:name w:val="List Bullet 3"/>
    <w:basedOn w:val="ListBullet2"/>
    <w:uiPriority w:val="99"/>
    <w:semiHidden/>
    <w:rsid w:val="00244F60"/>
    <w:pPr>
      <w:numPr>
        <w:ilvl w:val="2"/>
      </w:numPr>
    </w:pPr>
  </w:style>
  <w:style w:type="character" w:customStyle="1" w:styleId="EndnoteTextChar">
    <w:name w:val="Endnote Text Char"/>
    <w:basedOn w:val="DefaultParagraphFont"/>
    <w:link w:val="EndnoteText"/>
    <w:uiPriority w:val="99"/>
    <w:rsid w:val="00244F60"/>
    <w:rPr>
      <w:rFonts w:ascii="Arial" w:hAnsi="Arial"/>
      <w:sz w:val="18"/>
      <w:szCs w:val="18"/>
    </w:rPr>
  </w:style>
  <w:style w:type="paragraph" w:styleId="Footer">
    <w:name w:val="footer"/>
    <w:basedOn w:val="BodyText"/>
    <w:link w:val="FooterChar"/>
    <w:uiPriority w:val="99"/>
    <w:rsid w:val="00244F60"/>
    <w:pPr>
      <w:spacing w:before="600" w:line="240" w:lineRule="auto"/>
    </w:pPr>
    <w:rPr>
      <w:rFonts w:cstheme="minorHAnsi"/>
      <w:noProof/>
      <w:color w:val="000000" w:themeColor="text1"/>
      <w:sz w:val="16"/>
      <w:szCs w:val="18"/>
    </w:rPr>
  </w:style>
  <w:style w:type="character" w:customStyle="1" w:styleId="FooterChar">
    <w:name w:val="Footer Char"/>
    <w:basedOn w:val="DefaultParagraphFont"/>
    <w:link w:val="Footer"/>
    <w:uiPriority w:val="99"/>
    <w:rsid w:val="00244F60"/>
    <w:rPr>
      <w:rFonts w:ascii="Arial" w:hAnsi="Arial" w:cstheme="minorHAnsi"/>
      <w:noProof/>
      <w:color w:val="000000" w:themeColor="text1"/>
      <w:sz w:val="16"/>
      <w:szCs w:val="18"/>
    </w:rPr>
  </w:style>
  <w:style w:type="character" w:styleId="FootnoteReference">
    <w:name w:val="footnote reference"/>
    <w:basedOn w:val="DefaultParagraphFont"/>
    <w:uiPriority w:val="99"/>
    <w:rsid w:val="00244F60"/>
    <w:rPr>
      <w:vertAlign w:val="superscript"/>
    </w:rPr>
  </w:style>
  <w:style w:type="paragraph" w:styleId="FootnoteText">
    <w:name w:val="footnote text"/>
    <w:basedOn w:val="Normal"/>
    <w:link w:val="FootnoteTextChar"/>
    <w:uiPriority w:val="99"/>
    <w:rsid w:val="00244F60"/>
    <w:pPr>
      <w:keepLines/>
      <w:spacing w:line="240" w:lineRule="auto"/>
      <w:ind w:left="340" w:hanging="340"/>
    </w:pPr>
    <w:rPr>
      <w:sz w:val="18"/>
      <w:szCs w:val="18"/>
    </w:rPr>
  </w:style>
  <w:style w:type="character" w:customStyle="1" w:styleId="FootnoteTextChar">
    <w:name w:val="Footnote Text Char"/>
    <w:basedOn w:val="DefaultParagraphFont"/>
    <w:link w:val="FootnoteText"/>
    <w:uiPriority w:val="99"/>
    <w:rsid w:val="00244F60"/>
    <w:rPr>
      <w:rFonts w:ascii="Arial" w:hAnsi="Arial"/>
      <w:sz w:val="18"/>
      <w:szCs w:val="18"/>
    </w:rPr>
  </w:style>
  <w:style w:type="paragraph" w:styleId="Header">
    <w:name w:val="header"/>
    <w:basedOn w:val="BodyText"/>
    <w:link w:val="HeaderChar"/>
    <w:uiPriority w:val="99"/>
    <w:rsid w:val="00244F60"/>
    <w:pPr>
      <w:spacing w:before="0" w:after="840" w:line="240" w:lineRule="auto"/>
    </w:pPr>
    <w:rPr>
      <w:color w:val="00BAD4" w:themeColor="text2"/>
      <w:sz w:val="16"/>
      <w:szCs w:val="18"/>
    </w:rPr>
  </w:style>
  <w:style w:type="character" w:customStyle="1" w:styleId="HeaderChar">
    <w:name w:val="Header Char"/>
    <w:basedOn w:val="DefaultParagraphFont"/>
    <w:link w:val="Header"/>
    <w:uiPriority w:val="99"/>
    <w:rsid w:val="00244F60"/>
    <w:rPr>
      <w:rFonts w:ascii="Arial" w:hAnsi="Arial"/>
      <w:color w:val="00BAD4" w:themeColor="text2"/>
      <w:sz w:val="16"/>
      <w:szCs w:val="18"/>
    </w:rPr>
  </w:style>
  <w:style w:type="character" w:styleId="Hyperlink">
    <w:name w:val="Hyperlink"/>
    <w:basedOn w:val="DefaultParagraphFont"/>
    <w:uiPriority w:val="99"/>
    <w:rsid w:val="00244F60"/>
    <w:rPr>
      <w:color w:val="005C6A" w:themeColor="text2" w:themeShade="80"/>
      <w:u w:val="single"/>
    </w:rPr>
  </w:style>
  <w:style w:type="paragraph" w:styleId="ListNumber">
    <w:name w:val="List Number"/>
    <w:basedOn w:val="BodyText"/>
    <w:uiPriority w:val="99"/>
    <w:semiHidden/>
    <w:rsid w:val="00244F60"/>
    <w:pPr>
      <w:numPr>
        <w:numId w:val="6"/>
      </w:numPr>
      <w:contextualSpacing/>
    </w:pPr>
  </w:style>
  <w:style w:type="paragraph" w:styleId="ListNumber2">
    <w:name w:val="List Number 2"/>
    <w:basedOn w:val="ListNumber"/>
    <w:uiPriority w:val="99"/>
    <w:semiHidden/>
    <w:rsid w:val="00244F60"/>
    <w:pPr>
      <w:numPr>
        <w:numId w:val="7"/>
      </w:numPr>
    </w:pPr>
  </w:style>
  <w:style w:type="paragraph" w:styleId="ListNumber3">
    <w:name w:val="List Number 3"/>
    <w:basedOn w:val="List2"/>
    <w:uiPriority w:val="99"/>
    <w:semiHidden/>
    <w:rsid w:val="00244F60"/>
    <w:pPr>
      <w:numPr>
        <w:numId w:val="8"/>
      </w:numPr>
    </w:pPr>
  </w:style>
  <w:style w:type="character" w:styleId="PageNumber">
    <w:name w:val="page number"/>
    <w:basedOn w:val="DefaultParagraphFont"/>
    <w:uiPriority w:val="99"/>
    <w:semiHidden/>
    <w:rsid w:val="00244F60"/>
  </w:style>
  <w:style w:type="paragraph" w:styleId="List2">
    <w:name w:val="List 2"/>
    <w:basedOn w:val="Normal"/>
    <w:uiPriority w:val="99"/>
    <w:semiHidden/>
    <w:rsid w:val="00244F60"/>
    <w:pPr>
      <w:ind w:left="566" w:hanging="283"/>
      <w:contextualSpacing/>
    </w:pPr>
  </w:style>
  <w:style w:type="paragraph" w:styleId="TableofFigures">
    <w:name w:val="table of figures"/>
    <w:basedOn w:val="TOC1"/>
    <w:next w:val="BodyText"/>
    <w:uiPriority w:val="99"/>
    <w:rsid w:val="00244F60"/>
    <w:pPr>
      <w:spacing w:before="80"/>
    </w:pPr>
    <w:rPr>
      <w:color w:val="000000" w:themeColor="text1"/>
    </w:rPr>
  </w:style>
  <w:style w:type="character" w:customStyle="1" w:styleId="Heading7Char">
    <w:name w:val="Heading 7 Char"/>
    <w:aliases w:val="(Appendix Heading) Char"/>
    <w:basedOn w:val="DefaultParagraphFont"/>
    <w:link w:val="Heading7"/>
    <w:uiPriority w:val="12"/>
    <w:rsid w:val="00244F60"/>
    <w:rPr>
      <w:rFonts w:ascii="Arial" w:eastAsiaTheme="majorEastAsia" w:hAnsi="Arial" w:cstheme="majorBidi"/>
      <w:bCs/>
      <w:iCs/>
      <w:color w:val="E52923" w:themeColor="background2"/>
      <w:sz w:val="44"/>
      <w:szCs w:val="40"/>
    </w:rPr>
  </w:style>
  <w:style w:type="paragraph" w:customStyle="1" w:styleId="TableBullet1">
    <w:name w:val="Table Bullet 1"/>
    <w:basedOn w:val="TableText"/>
    <w:uiPriority w:val="3"/>
    <w:qFormat/>
    <w:rsid w:val="00244F60"/>
    <w:pPr>
      <w:numPr>
        <w:numId w:val="10"/>
      </w:numPr>
    </w:pPr>
  </w:style>
  <w:style w:type="paragraph" w:customStyle="1" w:styleId="TableBullet2">
    <w:name w:val="Table Bullet 2"/>
    <w:basedOn w:val="TableBullet1"/>
    <w:uiPriority w:val="3"/>
    <w:qFormat/>
    <w:rsid w:val="00244F60"/>
    <w:pPr>
      <w:numPr>
        <w:ilvl w:val="1"/>
      </w:numPr>
    </w:pPr>
  </w:style>
  <w:style w:type="paragraph" w:customStyle="1" w:styleId="BodyNumbering1">
    <w:name w:val="Body Numbering 1"/>
    <w:basedOn w:val="BodyBullet1"/>
    <w:uiPriority w:val="7"/>
    <w:qFormat/>
    <w:rsid w:val="00244F60"/>
    <w:pPr>
      <w:numPr>
        <w:ilvl w:val="3"/>
      </w:numPr>
    </w:pPr>
  </w:style>
  <w:style w:type="paragraph" w:customStyle="1" w:styleId="BodyNumbering2">
    <w:name w:val="Body Numbering 2"/>
    <w:basedOn w:val="BodyNumbering1"/>
    <w:uiPriority w:val="7"/>
    <w:qFormat/>
    <w:rsid w:val="00244F60"/>
    <w:pPr>
      <w:numPr>
        <w:ilvl w:val="4"/>
      </w:numPr>
    </w:pPr>
  </w:style>
  <w:style w:type="paragraph" w:customStyle="1" w:styleId="BodyBullet1">
    <w:name w:val="Body Bullet 1"/>
    <w:basedOn w:val="BodyText"/>
    <w:uiPriority w:val="1"/>
    <w:qFormat/>
    <w:rsid w:val="00244F60"/>
    <w:pPr>
      <w:numPr>
        <w:numId w:val="3"/>
      </w:numPr>
    </w:pPr>
  </w:style>
  <w:style w:type="paragraph" w:customStyle="1" w:styleId="BodyBullet2">
    <w:name w:val="Body Bullet 2"/>
    <w:basedOn w:val="BodyBullet1"/>
    <w:uiPriority w:val="1"/>
    <w:qFormat/>
    <w:rsid w:val="00244F60"/>
    <w:pPr>
      <w:numPr>
        <w:ilvl w:val="1"/>
      </w:numPr>
    </w:pPr>
  </w:style>
  <w:style w:type="paragraph" w:customStyle="1" w:styleId="BodyBullet3">
    <w:name w:val="Body Bullet 3"/>
    <w:basedOn w:val="BodyBullet2"/>
    <w:uiPriority w:val="1"/>
    <w:qFormat/>
    <w:rsid w:val="00244F60"/>
    <w:pPr>
      <w:numPr>
        <w:ilvl w:val="2"/>
      </w:numPr>
    </w:pPr>
  </w:style>
  <w:style w:type="paragraph" w:customStyle="1" w:styleId="BodyNumbering3">
    <w:name w:val="Body Numbering 3"/>
    <w:basedOn w:val="BodyNumbering2"/>
    <w:uiPriority w:val="7"/>
    <w:qFormat/>
    <w:rsid w:val="00244F60"/>
    <w:pPr>
      <w:numPr>
        <w:ilvl w:val="5"/>
      </w:numPr>
    </w:pPr>
  </w:style>
  <w:style w:type="paragraph" w:customStyle="1" w:styleId="BodyIndent1">
    <w:name w:val="Body Indent 1"/>
    <w:basedOn w:val="BodyBullet1"/>
    <w:uiPriority w:val="99"/>
    <w:rsid w:val="00244F60"/>
    <w:pPr>
      <w:numPr>
        <w:numId w:val="0"/>
      </w:numPr>
      <w:ind w:left="340"/>
    </w:pPr>
  </w:style>
  <w:style w:type="paragraph" w:customStyle="1" w:styleId="TableBullet3">
    <w:name w:val="Table Bullet 3"/>
    <w:basedOn w:val="TableBullet2"/>
    <w:uiPriority w:val="3"/>
    <w:qFormat/>
    <w:rsid w:val="00244F60"/>
    <w:pPr>
      <w:numPr>
        <w:ilvl w:val="2"/>
      </w:numPr>
    </w:pPr>
  </w:style>
  <w:style w:type="paragraph" w:customStyle="1" w:styleId="TableNumbering1">
    <w:name w:val="Table Numbering 1"/>
    <w:basedOn w:val="TableBullet1"/>
    <w:uiPriority w:val="99"/>
    <w:rsid w:val="00244F60"/>
    <w:pPr>
      <w:numPr>
        <w:ilvl w:val="3"/>
      </w:numPr>
    </w:pPr>
  </w:style>
  <w:style w:type="paragraph" w:customStyle="1" w:styleId="TableNumbering2">
    <w:name w:val="Table Numbering 2"/>
    <w:basedOn w:val="TableNumbering1"/>
    <w:uiPriority w:val="99"/>
    <w:rsid w:val="00244F60"/>
    <w:pPr>
      <w:numPr>
        <w:ilvl w:val="4"/>
      </w:numPr>
    </w:pPr>
  </w:style>
  <w:style w:type="paragraph" w:customStyle="1" w:styleId="TableNumbering3">
    <w:name w:val="Table Numbering 3"/>
    <w:basedOn w:val="TableNumbering2"/>
    <w:uiPriority w:val="99"/>
    <w:rsid w:val="00244F60"/>
    <w:pPr>
      <w:numPr>
        <w:ilvl w:val="5"/>
      </w:numPr>
    </w:pPr>
  </w:style>
  <w:style w:type="paragraph" w:customStyle="1" w:styleId="TableIndent1">
    <w:name w:val="Table Indent 1"/>
    <w:basedOn w:val="TableBullet1"/>
    <w:uiPriority w:val="99"/>
    <w:rsid w:val="00244F60"/>
    <w:pPr>
      <w:numPr>
        <w:numId w:val="0"/>
      </w:numPr>
      <w:ind w:left="340"/>
    </w:pPr>
  </w:style>
  <w:style w:type="paragraph" w:customStyle="1" w:styleId="TableIndent2">
    <w:name w:val="Table Indent 2"/>
    <w:basedOn w:val="TableBullet2"/>
    <w:uiPriority w:val="99"/>
    <w:rsid w:val="00244F60"/>
    <w:pPr>
      <w:numPr>
        <w:ilvl w:val="0"/>
        <w:numId w:val="0"/>
      </w:numPr>
      <w:ind w:left="680"/>
    </w:pPr>
  </w:style>
  <w:style w:type="paragraph" w:customStyle="1" w:styleId="TableIndent3">
    <w:name w:val="Table Indent 3"/>
    <w:basedOn w:val="TableBullet3"/>
    <w:uiPriority w:val="99"/>
    <w:rsid w:val="00244F60"/>
    <w:pPr>
      <w:numPr>
        <w:ilvl w:val="0"/>
        <w:numId w:val="0"/>
      </w:numPr>
      <w:ind w:left="1021"/>
    </w:pPr>
  </w:style>
  <w:style w:type="table" w:customStyle="1" w:styleId="MainTableStyle">
    <w:name w:val="Main Table Style"/>
    <w:basedOn w:val="TableNormal"/>
    <w:uiPriority w:val="99"/>
    <w:rsid w:val="00291D99"/>
    <w:pPr>
      <w:spacing w:after="0" w:line="240" w:lineRule="auto"/>
    </w:pPr>
    <w:rPr>
      <w:sz w:val="20"/>
    </w:rPr>
    <w:tblPr>
      <w:tblBorders>
        <w:top w:val="single" w:sz="4" w:space="0" w:color="A59C94" w:themeColor="accent3"/>
        <w:bottom w:val="single" w:sz="4" w:space="0" w:color="A59C94" w:themeColor="accent3"/>
        <w:insideH w:val="single" w:sz="4" w:space="0" w:color="A59C94" w:themeColor="accent3"/>
        <w:insideV w:val="single" w:sz="4" w:space="0" w:color="A59C94" w:themeColor="accent3"/>
      </w:tblBorders>
    </w:tblPr>
    <w:tblStylePr w:type="firstRow">
      <w:pPr>
        <w:keepNext/>
        <w:keepLines/>
        <w:widowControl/>
        <w:wordWrap/>
        <w:jc w:val="left"/>
      </w:pPr>
      <w:rPr>
        <w:b/>
        <w:color w:val="FFFFFF" w:themeColor="background1"/>
      </w:rPr>
      <w:tblPr/>
      <w:trPr>
        <w:cantSplit/>
        <w:tblHeader/>
      </w:trPr>
      <w:tcPr>
        <w:tcBorders>
          <w:top w:val="single" w:sz="4" w:space="0" w:color="00BAD4" w:themeColor="text2"/>
          <w:left w:val="nil"/>
          <w:bottom w:val="single" w:sz="4" w:space="0" w:color="00BAD4" w:themeColor="text2"/>
          <w:right w:val="nil"/>
          <w:insideH w:val="nil"/>
          <w:insideV w:val="single" w:sz="4" w:space="0" w:color="FFFFFF" w:themeColor="background1"/>
          <w:tl2br w:val="nil"/>
          <w:tr2bl w:val="nil"/>
        </w:tcBorders>
        <w:shd w:val="clear" w:color="auto" w:fill="00BAD4" w:themeFill="text2"/>
        <w:vAlign w:val="bottom"/>
      </w:tcPr>
    </w:tblStylePr>
    <w:tblStylePr w:type="lastRow">
      <w:pPr>
        <w:keepLines/>
        <w:widowControl/>
        <w:wordWrap/>
        <w:jc w:val="left"/>
      </w:pPr>
      <w:rPr>
        <w:b/>
      </w:rPr>
      <w:tblPr/>
      <w:tcPr>
        <w:tcBorders>
          <w:top w:val="single" w:sz="4" w:space="0" w:color="00BAD4" w:themeColor="text2"/>
          <w:left w:val="nil"/>
          <w:bottom w:val="single" w:sz="4" w:space="0" w:color="00BAD4" w:themeColor="text2"/>
          <w:right w:val="nil"/>
          <w:insideH w:val="nil"/>
          <w:insideV w:val="single" w:sz="4" w:space="0" w:color="A59C94" w:themeColor="accent3"/>
          <w:tl2br w:val="nil"/>
          <w:tr2bl w:val="nil"/>
        </w:tcBorders>
        <w:shd w:val="clear" w:color="auto" w:fill="F6F5F4"/>
      </w:tcPr>
    </w:tblStylePr>
    <w:tblStylePr w:type="firstCol">
      <w:rPr>
        <w:color w:val="008A9E" w:themeColor="text2" w:themeShade="BF"/>
      </w:rPr>
      <w:tblPr/>
      <w:tcPr>
        <w:tcBorders>
          <w:top w:val="single" w:sz="4" w:space="0" w:color="A59C94" w:themeColor="accent3"/>
          <w:left w:val="nil"/>
          <w:bottom w:val="single" w:sz="4" w:space="0" w:color="A59C94" w:themeColor="accent3"/>
          <w:right w:val="nil"/>
          <w:insideH w:val="single" w:sz="4" w:space="0" w:color="796E65" w:themeColor="accent4"/>
          <w:insideV w:val="nil"/>
          <w:tl2br w:val="nil"/>
          <w:tr2bl w:val="nil"/>
        </w:tcBorders>
        <w:shd w:val="clear" w:color="auto" w:fill="F6F5F4"/>
      </w:tcPr>
    </w:tblStylePr>
  </w:style>
  <w:style w:type="paragraph" w:customStyle="1" w:styleId="BodyTextSingleSpacing">
    <w:name w:val="Body Text Single Spacing"/>
    <w:basedOn w:val="BodyText"/>
    <w:rsid w:val="00244F60"/>
    <w:pPr>
      <w:spacing w:before="0" w:after="0" w:line="240" w:lineRule="auto"/>
    </w:pPr>
  </w:style>
  <w:style w:type="table" w:customStyle="1" w:styleId="RowMainTableStyle">
    <w:name w:val="Row Main Table Style"/>
    <w:basedOn w:val="TableNormal"/>
    <w:uiPriority w:val="99"/>
    <w:rsid w:val="00244F60"/>
    <w:pPr>
      <w:spacing w:after="0" w:line="240" w:lineRule="auto"/>
    </w:pPr>
    <w:rPr>
      <w:sz w:val="20"/>
    </w:rPr>
    <w:tblPr>
      <w:tblBorders>
        <w:top w:val="single" w:sz="4" w:space="0" w:color="A59C94" w:themeColor="accent3"/>
        <w:bottom w:val="single" w:sz="4" w:space="0" w:color="A59C94" w:themeColor="accent3"/>
        <w:insideH w:val="single" w:sz="4" w:space="0" w:color="A59C94" w:themeColor="accent3"/>
        <w:insideV w:val="single" w:sz="4" w:space="0" w:color="A59C94" w:themeColor="accent3"/>
      </w:tblBorders>
    </w:tblPr>
    <w:tcPr>
      <w:shd w:val="clear" w:color="auto" w:fill="auto"/>
    </w:tcPr>
    <w:tblStylePr w:type="firstRow">
      <w:pPr>
        <w:keepNext/>
        <w:keepLines/>
        <w:widowControl/>
        <w:wordWrap/>
        <w:jc w:val="left"/>
      </w:pPr>
      <w:rPr>
        <w:b w:val="0"/>
        <w:i w:val="0"/>
        <w:color w:val="00BAD4" w:themeColor="text2"/>
      </w:rPr>
      <w:tblPr/>
      <w:trPr>
        <w:cantSplit/>
        <w:tblHeader/>
      </w:trPr>
      <w:tcPr>
        <w:tcBorders>
          <w:top w:val="nil"/>
          <w:left w:val="nil"/>
          <w:bottom w:val="single" w:sz="12" w:space="0" w:color="00BAD4" w:themeColor="text2"/>
          <w:right w:val="nil"/>
          <w:insideH w:val="nil"/>
          <w:insideV w:val="nil"/>
          <w:tl2br w:val="nil"/>
          <w:tr2bl w:val="nil"/>
        </w:tcBorders>
        <w:shd w:val="clear" w:color="auto" w:fill="FFFFFF" w:themeFill="background1"/>
        <w:vAlign w:val="bottom"/>
      </w:tcPr>
    </w:tblStylePr>
    <w:tblStylePr w:type="lastRow">
      <w:pPr>
        <w:keepNext w:val="0"/>
        <w:keepLines/>
        <w:widowControl/>
        <w:wordWrap/>
      </w:pPr>
      <w:rPr>
        <w:b/>
      </w:rPr>
      <w:tblPr/>
      <w:tcPr>
        <w:tcBorders>
          <w:top w:val="single" w:sz="12" w:space="0" w:color="00BAD4" w:themeColor="text2"/>
          <w:left w:val="nil"/>
          <w:bottom w:val="single" w:sz="12" w:space="0" w:color="00BAD4" w:themeColor="text2"/>
          <w:right w:val="nil"/>
          <w:insideH w:val="nil"/>
          <w:insideV w:val="single" w:sz="4" w:space="0" w:color="A59C94" w:themeColor="accent3"/>
          <w:tl2br w:val="nil"/>
          <w:tr2bl w:val="nil"/>
        </w:tcBorders>
        <w:shd w:val="clear" w:color="auto" w:fill="F6F5F4"/>
      </w:tcPr>
    </w:tblStylePr>
    <w:tblStylePr w:type="firstCol">
      <w:pPr>
        <w:keepLines w:val="0"/>
        <w:widowControl/>
        <w:wordWrap/>
      </w:pPr>
      <w:rPr>
        <w:b w:val="0"/>
        <w:i w:val="0"/>
        <w:color w:val="008A9E" w:themeColor="text2" w:themeShade="BF"/>
      </w:rPr>
      <w:tblPr/>
      <w:tcPr>
        <w:tcBorders>
          <w:top w:val="single" w:sz="4" w:space="0" w:color="A59C94" w:themeColor="accent3"/>
          <w:left w:val="nil"/>
          <w:bottom w:val="single" w:sz="4" w:space="0" w:color="A59C94" w:themeColor="accent3"/>
          <w:right w:val="single" w:sz="8" w:space="0" w:color="00BAD4" w:themeColor="text2"/>
          <w:insideH w:val="single" w:sz="4" w:space="0" w:color="00BAD4" w:themeColor="text2"/>
          <w:insideV w:val="nil"/>
          <w:tl2br w:val="nil"/>
          <w:tr2bl w:val="nil"/>
        </w:tcBorders>
        <w:shd w:val="clear" w:color="auto" w:fill="F6F5F4"/>
      </w:tcPr>
    </w:tblStylePr>
  </w:style>
  <w:style w:type="character" w:customStyle="1" w:styleId="CharacterStyle-DarkColour">
    <w:name w:val="Character Style - Dark Colour"/>
    <w:basedOn w:val="DefaultParagraphFont"/>
    <w:uiPriority w:val="11"/>
    <w:qFormat/>
    <w:rsid w:val="00244F60"/>
    <w:rPr>
      <w:color w:val="00BAD4" w:themeColor="text2"/>
    </w:rPr>
  </w:style>
  <w:style w:type="character" w:customStyle="1" w:styleId="CharacterStyle-BrightColour">
    <w:name w:val="Character Style - Bright Colour"/>
    <w:uiPriority w:val="11"/>
    <w:qFormat/>
    <w:rsid w:val="00244F60"/>
    <w:rPr>
      <w:color w:val="E52923" w:themeColor="background2"/>
    </w:rPr>
  </w:style>
  <w:style w:type="paragraph" w:customStyle="1" w:styleId="CoverTitle">
    <w:name w:val="Cover Title"/>
    <w:basedOn w:val="Normal"/>
    <w:next w:val="CoverSubtitle"/>
    <w:rsid w:val="00244F60"/>
    <w:pPr>
      <w:spacing w:before="0" w:after="0"/>
    </w:pPr>
    <w:rPr>
      <w:color w:val="000000" w:themeColor="text1"/>
      <w:sz w:val="40"/>
    </w:rPr>
  </w:style>
  <w:style w:type="paragraph" w:customStyle="1" w:styleId="CoverSubtitle">
    <w:name w:val="Cover Subtitle"/>
    <w:basedOn w:val="BodyText"/>
    <w:next w:val="CoverDate"/>
    <w:rsid w:val="00244F60"/>
    <w:pPr>
      <w:spacing w:before="40"/>
    </w:pPr>
    <w:rPr>
      <w:color w:val="00BAD4" w:themeColor="text2"/>
      <w:sz w:val="36"/>
      <w:szCs w:val="76"/>
    </w:rPr>
  </w:style>
  <w:style w:type="paragraph" w:customStyle="1" w:styleId="CoverDate">
    <w:name w:val="Cover Date"/>
    <w:basedOn w:val="Normal"/>
    <w:next w:val="BodyText"/>
    <w:rsid w:val="00244F60"/>
    <w:rPr>
      <w:color w:val="A59C94" w:themeColor="accent3"/>
      <w:sz w:val="28"/>
      <w:szCs w:val="48"/>
    </w:rPr>
  </w:style>
  <w:style w:type="paragraph" w:customStyle="1" w:styleId="Spacer">
    <w:name w:val="Spacer"/>
    <w:basedOn w:val="BodyTextSingleSpacing"/>
    <w:rsid w:val="00244F60"/>
    <w:pPr>
      <w:spacing w:before="160" w:after="160" w:line="280" w:lineRule="atLeast"/>
    </w:pPr>
  </w:style>
  <w:style w:type="paragraph" w:styleId="BalloonText">
    <w:name w:val="Balloon Text"/>
    <w:basedOn w:val="Normal"/>
    <w:link w:val="BalloonTextChar"/>
    <w:uiPriority w:val="99"/>
    <w:semiHidden/>
    <w:rsid w:val="00244F6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4F60"/>
    <w:rPr>
      <w:rFonts w:ascii="Tahoma" w:hAnsi="Tahoma" w:cs="Tahoma"/>
      <w:sz w:val="16"/>
      <w:szCs w:val="16"/>
    </w:rPr>
  </w:style>
  <w:style w:type="paragraph" w:customStyle="1" w:styleId="Heading1NoNumber">
    <w:name w:val="Heading 1 No Number"/>
    <w:basedOn w:val="Heading1"/>
    <w:next w:val="BodyText"/>
    <w:rsid w:val="00244F60"/>
    <w:pPr>
      <w:numPr>
        <w:numId w:val="0"/>
      </w:numPr>
    </w:pPr>
  </w:style>
  <w:style w:type="paragraph" w:styleId="Date">
    <w:name w:val="Date"/>
    <w:basedOn w:val="BodyText"/>
    <w:next w:val="BodyTextSingleSpacing"/>
    <w:link w:val="DateChar"/>
    <w:uiPriority w:val="99"/>
    <w:semiHidden/>
    <w:rsid w:val="00244F60"/>
    <w:pPr>
      <w:pageBreakBefore/>
      <w:spacing w:after="720"/>
    </w:pPr>
  </w:style>
  <w:style w:type="character" w:customStyle="1" w:styleId="DateChar">
    <w:name w:val="Date Char"/>
    <w:basedOn w:val="DefaultParagraphFont"/>
    <w:link w:val="Date"/>
    <w:uiPriority w:val="99"/>
    <w:semiHidden/>
    <w:rsid w:val="00244F60"/>
    <w:rPr>
      <w:rFonts w:ascii="Arial" w:hAnsi="Arial"/>
      <w:sz w:val="20"/>
    </w:rPr>
  </w:style>
  <w:style w:type="paragraph" w:styleId="Signature">
    <w:name w:val="Signature"/>
    <w:basedOn w:val="BodyText"/>
    <w:next w:val="BodyTextSingleSpacing"/>
    <w:link w:val="SignatureChar"/>
    <w:uiPriority w:val="99"/>
    <w:semiHidden/>
    <w:rsid w:val="00244F60"/>
    <w:pPr>
      <w:keepNext/>
      <w:spacing w:before="360" w:after="360"/>
    </w:pPr>
  </w:style>
  <w:style w:type="character" w:customStyle="1" w:styleId="SignatureChar">
    <w:name w:val="Signature Char"/>
    <w:basedOn w:val="DefaultParagraphFont"/>
    <w:link w:val="Signature"/>
    <w:uiPriority w:val="99"/>
    <w:semiHidden/>
    <w:rsid w:val="00244F60"/>
    <w:rPr>
      <w:rFonts w:ascii="Arial" w:hAnsi="Arial"/>
      <w:sz w:val="20"/>
    </w:rPr>
  </w:style>
  <w:style w:type="paragraph" w:customStyle="1" w:styleId="SubjectLine">
    <w:name w:val="Subject Line"/>
    <w:basedOn w:val="BodyText"/>
    <w:next w:val="BodyText"/>
    <w:semiHidden/>
    <w:rsid w:val="00244F60"/>
    <w:rPr>
      <w:b/>
      <w:caps/>
    </w:rPr>
  </w:style>
  <w:style w:type="paragraph" w:customStyle="1" w:styleId="Yourssincerely">
    <w:name w:val="Yours sincerely"/>
    <w:basedOn w:val="BodyText"/>
    <w:next w:val="Signature"/>
    <w:uiPriority w:val="99"/>
    <w:semiHidden/>
    <w:rsid w:val="00244F60"/>
    <w:pPr>
      <w:keepNext/>
    </w:pPr>
  </w:style>
  <w:style w:type="paragraph" w:customStyle="1" w:styleId="Disclaimer">
    <w:name w:val="Disclaimer"/>
    <w:basedOn w:val="Normal"/>
    <w:next w:val="BodyText"/>
    <w:semiHidden/>
    <w:rsid w:val="00244F60"/>
    <w:pPr>
      <w:spacing w:before="3000" w:line="240" w:lineRule="auto"/>
    </w:pPr>
    <w:rPr>
      <w:sz w:val="16"/>
      <w:szCs w:val="16"/>
    </w:rPr>
  </w:style>
  <w:style w:type="paragraph" w:styleId="TableofAuthorities">
    <w:name w:val="table of authorities"/>
    <w:basedOn w:val="TableofFigures"/>
    <w:next w:val="BodyText"/>
    <w:uiPriority w:val="99"/>
    <w:semiHidden/>
    <w:rsid w:val="00244F60"/>
  </w:style>
  <w:style w:type="paragraph" w:customStyle="1" w:styleId="Citationtext">
    <w:name w:val="Citation text"/>
    <w:basedOn w:val="BodyText"/>
    <w:rsid w:val="00244F60"/>
    <w:pPr>
      <w:spacing w:before="360" w:after="360"/>
    </w:pPr>
    <w:rPr>
      <w:i/>
      <w:color w:val="00BAD4" w:themeColor="text2"/>
      <w:sz w:val="24"/>
    </w:rPr>
  </w:style>
  <w:style w:type="character" w:customStyle="1" w:styleId="Heading8Char">
    <w:name w:val="Heading 8 Char"/>
    <w:basedOn w:val="DefaultParagraphFont"/>
    <w:link w:val="Heading8"/>
    <w:uiPriority w:val="12"/>
    <w:rsid w:val="00244F60"/>
    <w:rPr>
      <w:rFonts w:asciiTheme="majorHAnsi" w:eastAsiaTheme="majorEastAsia" w:hAnsiTheme="majorHAnsi" w:cstheme="majorBidi"/>
      <w:bCs/>
      <w:iCs/>
      <w:color w:val="00BAD4" w:themeColor="text2"/>
      <w:sz w:val="36"/>
      <w:szCs w:val="20"/>
    </w:rPr>
  </w:style>
  <w:style w:type="character" w:customStyle="1" w:styleId="Heading9Char">
    <w:name w:val="Heading 9 Char"/>
    <w:basedOn w:val="DefaultParagraphFont"/>
    <w:link w:val="Heading9"/>
    <w:uiPriority w:val="12"/>
    <w:rsid w:val="002B5936"/>
    <w:rPr>
      <w:rFonts w:asciiTheme="majorHAnsi" w:eastAsiaTheme="majorEastAsia" w:hAnsiTheme="majorHAnsi" w:cstheme="majorBidi"/>
      <w:bCs/>
      <w:color w:val="796E65" w:themeColor="accent4"/>
      <w:sz w:val="32"/>
      <w:szCs w:val="20"/>
    </w:rPr>
  </w:style>
  <w:style w:type="paragraph" w:customStyle="1" w:styleId="Object">
    <w:name w:val="Object"/>
    <w:basedOn w:val="BodyText"/>
    <w:next w:val="BodyText"/>
    <w:uiPriority w:val="4"/>
    <w:qFormat/>
    <w:rsid w:val="00244F60"/>
    <w:pPr>
      <w:spacing w:after="360"/>
    </w:pPr>
  </w:style>
  <w:style w:type="character" w:styleId="PlaceholderText">
    <w:name w:val="Placeholder Text"/>
    <w:basedOn w:val="DefaultParagraphFont"/>
    <w:uiPriority w:val="99"/>
    <w:rsid w:val="00244F60"/>
    <w:rPr>
      <w:color w:val="808080"/>
    </w:rPr>
  </w:style>
  <w:style w:type="paragraph" w:styleId="Quote">
    <w:name w:val="Quote"/>
    <w:basedOn w:val="BodyText"/>
    <w:next w:val="BodyText"/>
    <w:link w:val="QuoteChar"/>
    <w:uiPriority w:val="9"/>
    <w:qFormat/>
    <w:rsid w:val="00244F60"/>
    <w:pPr>
      <w:pBdr>
        <w:left w:val="thinThickSmallGap" w:sz="12" w:space="10" w:color="00B398" w:themeColor="accent5"/>
      </w:pBdr>
      <w:ind w:left="680" w:right="680"/>
    </w:pPr>
    <w:rPr>
      <w:i/>
      <w:iCs/>
      <w:color w:val="00B398" w:themeColor="accent5"/>
    </w:rPr>
  </w:style>
  <w:style w:type="character" w:customStyle="1" w:styleId="QuoteChar">
    <w:name w:val="Quote Char"/>
    <w:basedOn w:val="DefaultParagraphFont"/>
    <w:link w:val="Quote"/>
    <w:uiPriority w:val="9"/>
    <w:rsid w:val="00244F60"/>
    <w:rPr>
      <w:rFonts w:ascii="Arial" w:hAnsi="Arial"/>
      <w:i/>
      <w:iCs/>
      <w:color w:val="00B398" w:themeColor="accent5"/>
      <w:sz w:val="20"/>
    </w:rPr>
  </w:style>
  <w:style w:type="paragraph" w:customStyle="1" w:styleId="PageNo">
    <w:name w:val="Page No"/>
    <w:basedOn w:val="Footer"/>
    <w:link w:val="PageNoChar"/>
    <w:rsid w:val="00244F60"/>
    <w:pPr>
      <w:jc w:val="right"/>
    </w:pPr>
  </w:style>
  <w:style w:type="paragraph" w:customStyle="1" w:styleId="TableHeadingWhiteFont">
    <w:name w:val="Table Heading White Font"/>
    <w:basedOn w:val="TableText"/>
    <w:rsid w:val="00244F60"/>
    <w:pPr>
      <w:numPr>
        <w:numId w:val="0"/>
      </w:numPr>
    </w:pPr>
    <w:rPr>
      <w:color w:val="FFFFFF" w:themeColor="background1"/>
    </w:rPr>
  </w:style>
  <w:style w:type="character" w:customStyle="1" w:styleId="PageNoChar">
    <w:name w:val="Page No Char"/>
    <w:basedOn w:val="FooterChar"/>
    <w:link w:val="PageNo"/>
    <w:rsid w:val="00244F60"/>
    <w:rPr>
      <w:rFonts w:ascii="Arial" w:hAnsi="Arial" w:cstheme="minorHAnsi"/>
      <w:noProof/>
      <w:color w:val="000000" w:themeColor="text1"/>
      <w:sz w:val="16"/>
      <w:szCs w:val="18"/>
    </w:rPr>
  </w:style>
  <w:style w:type="paragraph" w:customStyle="1" w:styleId="IntroText">
    <w:name w:val="Intro Text"/>
    <w:basedOn w:val="BodyText"/>
    <w:rsid w:val="00244F60"/>
    <w:pPr>
      <w:keepNext/>
      <w:spacing w:before="360" w:after="360"/>
    </w:pPr>
    <w:rPr>
      <w:color w:val="A59C94" w:themeColor="accent3"/>
      <w:sz w:val="28"/>
    </w:rPr>
  </w:style>
  <w:style w:type="paragraph" w:customStyle="1" w:styleId="Heading2NoNumber">
    <w:name w:val="Heading 2 No Number"/>
    <w:basedOn w:val="Heading2"/>
    <w:uiPriority w:val="99"/>
    <w:qFormat/>
    <w:rsid w:val="00244F60"/>
    <w:pPr>
      <w:numPr>
        <w:ilvl w:val="0"/>
        <w:numId w:val="0"/>
      </w:numPr>
    </w:pPr>
  </w:style>
  <w:style w:type="paragraph" w:customStyle="1" w:styleId="Heading3NoNumber">
    <w:name w:val="Heading 3 No Number"/>
    <w:basedOn w:val="Heading3"/>
    <w:uiPriority w:val="99"/>
    <w:qFormat/>
    <w:rsid w:val="00244F60"/>
    <w:pPr>
      <w:numPr>
        <w:ilvl w:val="0"/>
        <w:numId w:val="0"/>
      </w:numPr>
    </w:pPr>
  </w:style>
  <w:style w:type="paragraph" w:customStyle="1" w:styleId="Calloutheading">
    <w:name w:val="Callout heading"/>
    <w:basedOn w:val="BodyText"/>
    <w:uiPriority w:val="9"/>
    <w:qFormat/>
    <w:rsid w:val="00244F60"/>
    <w:pPr>
      <w:spacing w:before="0"/>
    </w:pPr>
    <w:rPr>
      <w:b/>
      <w:color w:val="646F14" w:themeColor="accent1" w:themeShade="80"/>
    </w:rPr>
  </w:style>
  <w:style w:type="paragraph" w:customStyle="1" w:styleId="ChapterTitle">
    <w:name w:val="Chapter Title"/>
    <w:basedOn w:val="BodyText"/>
    <w:uiPriority w:val="99"/>
    <w:qFormat/>
    <w:rsid w:val="00244F60"/>
    <w:rPr>
      <w:sz w:val="68"/>
    </w:rPr>
  </w:style>
  <w:style w:type="paragraph" w:customStyle="1" w:styleId="ChapterSubtitle">
    <w:name w:val="Chapter Subtitle"/>
    <w:basedOn w:val="ChapterTitle"/>
    <w:next w:val="BodyText"/>
    <w:uiPriority w:val="99"/>
    <w:qFormat/>
    <w:rsid w:val="00244F60"/>
    <w:rPr>
      <w:color w:val="796E65" w:themeColor="accent4"/>
      <w:sz w:val="56"/>
    </w:rPr>
  </w:style>
  <w:style w:type="character" w:customStyle="1" w:styleId="CharacterStyle-Italic">
    <w:name w:val="Character Style - Italic"/>
    <w:basedOn w:val="CharacterStyle-BrightColour"/>
    <w:uiPriority w:val="1"/>
    <w:qFormat/>
    <w:rsid w:val="00244F60"/>
    <w:rPr>
      <w:i/>
      <w:color w:val="auto"/>
    </w:rPr>
  </w:style>
  <w:style w:type="character" w:customStyle="1" w:styleId="CharacterStyle-Underline">
    <w:name w:val="Character Style - Underline"/>
    <w:basedOn w:val="DefaultParagraphFont"/>
    <w:uiPriority w:val="1"/>
    <w:qFormat/>
    <w:rsid w:val="00244F60"/>
    <w:rPr>
      <w:u w:val="single"/>
    </w:rPr>
  </w:style>
  <w:style w:type="character" w:customStyle="1" w:styleId="CharacterStyle-Bold">
    <w:name w:val="Character Style - Bold"/>
    <w:basedOn w:val="DefaultParagraphFont"/>
    <w:uiPriority w:val="1"/>
    <w:qFormat/>
    <w:rsid w:val="00244F60"/>
    <w:rPr>
      <w:b/>
    </w:rPr>
  </w:style>
  <w:style w:type="character" w:customStyle="1" w:styleId="CharacterStyle-Subscript">
    <w:name w:val="Character Style - Subscript"/>
    <w:basedOn w:val="DefaultParagraphFont"/>
    <w:uiPriority w:val="1"/>
    <w:qFormat/>
    <w:rsid w:val="00244F60"/>
    <w:rPr>
      <w:vertAlign w:val="subscript"/>
    </w:rPr>
  </w:style>
  <w:style w:type="character" w:customStyle="1" w:styleId="CharacterStyle-Superscript">
    <w:name w:val="Character Style - Superscript"/>
    <w:basedOn w:val="DefaultParagraphFont"/>
    <w:uiPriority w:val="1"/>
    <w:qFormat/>
    <w:rsid w:val="00244F60"/>
    <w:rPr>
      <w:vertAlign w:val="superscript"/>
    </w:rPr>
  </w:style>
  <w:style w:type="character" w:customStyle="1" w:styleId="CharacterStyle-Highlight">
    <w:name w:val="Character Style - Highlight"/>
    <w:basedOn w:val="DefaultParagraphFont"/>
    <w:uiPriority w:val="1"/>
    <w:qFormat/>
    <w:rsid w:val="00244F60"/>
    <w:rPr>
      <w:bdr w:val="none" w:sz="0" w:space="0" w:color="auto"/>
      <w:shd w:val="clear" w:color="auto" w:fill="FFE72E" w:themeFill="accent2"/>
    </w:rPr>
  </w:style>
  <w:style w:type="character" w:customStyle="1" w:styleId="CharacterStyle-Strikethrough">
    <w:name w:val="Character Style - Strikethrough"/>
    <w:basedOn w:val="DefaultParagraphFont"/>
    <w:uiPriority w:val="1"/>
    <w:qFormat/>
    <w:rsid w:val="00244F60"/>
    <w:rPr>
      <w:strike/>
      <w:dstrike w:val="0"/>
    </w:rPr>
  </w:style>
  <w:style w:type="paragraph" w:customStyle="1" w:styleId="Callouttext">
    <w:name w:val="Callout text"/>
    <w:basedOn w:val="Calloutheading"/>
    <w:uiPriority w:val="9"/>
    <w:qFormat/>
    <w:rsid w:val="00244F60"/>
    <w:pPr>
      <w:spacing w:before="100" w:after="100" w:line="240" w:lineRule="auto"/>
    </w:pPr>
    <w:rPr>
      <w:b w:val="0"/>
      <w:color w:val="3C3732" w:themeColor="accent4" w:themeShade="80"/>
      <w:sz w:val="18"/>
    </w:rPr>
  </w:style>
  <w:style w:type="character" w:styleId="FollowedHyperlink">
    <w:name w:val="FollowedHyperlink"/>
    <w:basedOn w:val="DefaultParagraphFont"/>
    <w:uiPriority w:val="99"/>
    <w:rsid w:val="00244F60"/>
    <w:rPr>
      <w:color w:val="A59C94" w:themeColor="accent3"/>
      <w:u w:val="single"/>
    </w:rPr>
  </w:style>
  <w:style w:type="character" w:customStyle="1" w:styleId="Callouttextcolour">
    <w:name w:val="Callout text colour"/>
    <w:basedOn w:val="DefaultParagraphFont"/>
    <w:uiPriority w:val="1"/>
    <w:qFormat/>
    <w:rsid w:val="00244F60"/>
    <w:rPr>
      <w:color w:val="3C3732" w:themeColor="accent4" w:themeShade="80"/>
      <w:lang w:val="en-GB"/>
    </w:rPr>
  </w:style>
  <w:style w:type="paragraph" w:styleId="NoSpacing">
    <w:name w:val="No Spacing"/>
    <w:basedOn w:val="Normal"/>
    <w:link w:val="NoSpacingChar"/>
    <w:uiPriority w:val="1"/>
    <w:semiHidden/>
    <w:qFormat/>
    <w:locked/>
    <w:rsid w:val="00CB0512"/>
    <w:pPr>
      <w:spacing w:before="0" w:after="0" w:line="240" w:lineRule="auto"/>
    </w:pPr>
    <w:rPr>
      <w:rFonts w:cs="Arial"/>
      <w:sz w:val="18"/>
      <w:szCs w:val="20"/>
      <w:lang w:val="en-US"/>
    </w:rPr>
  </w:style>
  <w:style w:type="character" w:customStyle="1" w:styleId="NoSpacingChar">
    <w:name w:val="No Spacing Char"/>
    <w:basedOn w:val="DefaultParagraphFont"/>
    <w:link w:val="NoSpacing"/>
    <w:uiPriority w:val="1"/>
    <w:semiHidden/>
    <w:rsid w:val="009D3E2C"/>
    <w:rPr>
      <w:rFonts w:ascii="Arial" w:hAnsi="Arial" w:cs="Arial"/>
      <w:sz w:val="18"/>
      <w:szCs w:val="20"/>
      <w:lang w:val="en-US"/>
    </w:rPr>
  </w:style>
  <w:style w:type="paragraph" w:styleId="DocumentMap">
    <w:name w:val="Document Map"/>
    <w:basedOn w:val="Normal"/>
    <w:link w:val="DocumentMapChar"/>
    <w:uiPriority w:val="99"/>
    <w:semiHidden/>
    <w:unhideWhenUsed/>
    <w:rsid w:val="00CB0512"/>
    <w:pPr>
      <w:spacing w:before="0" w:after="0" w:line="240" w:lineRule="auto"/>
    </w:pPr>
    <w:rPr>
      <w:rFonts w:ascii="Tahoma" w:hAnsi="Tahoma" w:cs="Tahoma"/>
      <w:sz w:val="16"/>
      <w:szCs w:val="16"/>
      <w:lang w:val="en-GB"/>
    </w:rPr>
  </w:style>
  <w:style w:type="character" w:customStyle="1" w:styleId="DocumentMapChar">
    <w:name w:val="Document Map Char"/>
    <w:basedOn w:val="DefaultParagraphFont"/>
    <w:link w:val="DocumentMap"/>
    <w:uiPriority w:val="99"/>
    <w:semiHidden/>
    <w:rsid w:val="00CB0512"/>
    <w:rPr>
      <w:rFonts w:ascii="Tahoma" w:hAnsi="Tahoma" w:cs="Tahoma"/>
      <w:sz w:val="16"/>
      <w:szCs w:val="16"/>
      <w:lang w:val="en-GB"/>
    </w:rPr>
  </w:style>
  <w:style w:type="paragraph" w:customStyle="1" w:styleId="DividerTitle">
    <w:name w:val="Divider Title"/>
    <w:basedOn w:val="Normal"/>
    <w:link w:val="DividerTitleChar"/>
    <w:semiHidden/>
    <w:qFormat/>
    <w:rsid w:val="00CB0512"/>
    <w:pPr>
      <w:keepNext/>
      <w:keepLines/>
      <w:spacing w:before="170" w:after="113" w:line="240" w:lineRule="auto"/>
      <w:ind w:left="567" w:hanging="567"/>
    </w:pPr>
    <w:rPr>
      <w:rFonts w:asciiTheme="majorHAnsi" w:eastAsiaTheme="majorEastAsia" w:hAnsiTheme="majorHAnsi" w:cstheme="majorHAnsi"/>
      <w:bCs/>
      <w:color w:val="FFFFFF" w:themeColor="background1"/>
      <w:spacing w:val="5"/>
      <w:kern w:val="28"/>
      <w:sz w:val="70"/>
      <w:szCs w:val="70"/>
      <w:lang w:val="en-US"/>
    </w:rPr>
  </w:style>
  <w:style w:type="character" w:customStyle="1" w:styleId="DividerTitleChar">
    <w:name w:val="Divider Title Char"/>
    <w:basedOn w:val="DefaultParagraphFont"/>
    <w:link w:val="DividerTitle"/>
    <w:semiHidden/>
    <w:rsid w:val="00CB0512"/>
    <w:rPr>
      <w:rFonts w:asciiTheme="majorHAnsi" w:eastAsiaTheme="majorEastAsia" w:hAnsiTheme="majorHAnsi" w:cstheme="majorHAnsi"/>
      <w:bCs/>
      <w:color w:val="FFFFFF" w:themeColor="background1"/>
      <w:spacing w:val="5"/>
      <w:kern w:val="28"/>
      <w:sz w:val="70"/>
      <w:szCs w:val="70"/>
      <w:lang w:val="en-US"/>
    </w:rPr>
  </w:style>
  <w:style w:type="paragraph" w:customStyle="1" w:styleId="InfoBoxNormal">
    <w:name w:val="InfoBox Normal"/>
    <w:basedOn w:val="Normal"/>
    <w:uiPriority w:val="99"/>
    <w:semiHidden/>
    <w:qFormat/>
    <w:rsid w:val="00CB0512"/>
    <w:pPr>
      <w:spacing w:before="0" w:after="0" w:line="260" w:lineRule="exact"/>
    </w:pPr>
    <w:rPr>
      <w:rFonts w:cs="Arial"/>
      <w:sz w:val="18"/>
      <w:szCs w:val="20"/>
      <w:lang w:val="en-GB"/>
    </w:rPr>
  </w:style>
  <w:style w:type="paragraph" w:customStyle="1" w:styleId="InfoBoxHeading2">
    <w:name w:val="InfoBox Heading 2"/>
    <w:basedOn w:val="InfoBoxNormal"/>
    <w:uiPriority w:val="99"/>
    <w:semiHidden/>
    <w:qFormat/>
    <w:rsid w:val="00CB0512"/>
  </w:style>
  <w:style w:type="paragraph" w:customStyle="1" w:styleId="InfoBoxHeading1">
    <w:name w:val="InfoBox Heading 1"/>
    <w:basedOn w:val="InfoBoxHeading2"/>
    <w:uiPriority w:val="99"/>
    <w:semiHidden/>
    <w:qFormat/>
    <w:rsid w:val="00CB0512"/>
  </w:style>
  <w:style w:type="paragraph" w:customStyle="1" w:styleId="InfoBoxIntroText">
    <w:name w:val="InfoBox Intro Text"/>
    <w:basedOn w:val="Normal"/>
    <w:link w:val="InfoBoxIntroTextChar"/>
    <w:semiHidden/>
    <w:qFormat/>
    <w:rsid w:val="00CB0512"/>
    <w:pPr>
      <w:spacing w:before="0" w:after="113" w:line="280" w:lineRule="exact"/>
    </w:pPr>
    <w:rPr>
      <w:rFonts w:eastAsia="Times New Roman" w:cs="Arial"/>
      <w:color w:val="FFE72E" w:themeColor="accent2"/>
      <w:sz w:val="24"/>
      <w:szCs w:val="24"/>
      <w:lang w:val="en-US"/>
    </w:rPr>
  </w:style>
  <w:style w:type="character" w:customStyle="1" w:styleId="InfoBoxIntroTextChar">
    <w:name w:val="InfoBox Intro Text Char"/>
    <w:basedOn w:val="DefaultParagraphFont"/>
    <w:link w:val="InfoBoxIntroText"/>
    <w:semiHidden/>
    <w:rsid w:val="00CB0512"/>
    <w:rPr>
      <w:rFonts w:ascii="Arial" w:eastAsia="Times New Roman" w:hAnsi="Arial" w:cs="Arial"/>
      <w:color w:val="FFE72E" w:themeColor="accent2"/>
      <w:sz w:val="24"/>
      <w:szCs w:val="24"/>
      <w:lang w:val="en-US"/>
    </w:rPr>
  </w:style>
  <w:style w:type="paragraph" w:customStyle="1" w:styleId="InfoBoxTitle">
    <w:name w:val="InfoBox Title"/>
    <w:basedOn w:val="Normal"/>
    <w:link w:val="InfoBoxTitleChar"/>
    <w:semiHidden/>
    <w:qFormat/>
    <w:rsid w:val="00CB0512"/>
    <w:pPr>
      <w:spacing w:before="0" w:line="240" w:lineRule="auto"/>
    </w:pPr>
    <w:rPr>
      <w:rFonts w:eastAsia="Times New Roman"/>
      <w:b/>
      <w:color w:val="353D30"/>
      <w:sz w:val="40"/>
      <w:szCs w:val="40"/>
      <w:lang w:val="en-GB"/>
    </w:rPr>
  </w:style>
  <w:style w:type="character" w:customStyle="1" w:styleId="InfoBoxTitleChar">
    <w:name w:val="InfoBox Title Char"/>
    <w:basedOn w:val="DefaultParagraphFont"/>
    <w:link w:val="InfoBoxTitle"/>
    <w:semiHidden/>
    <w:rsid w:val="00CB0512"/>
    <w:rPr>
      <w:rFonts w:ascii="Arial" w:eastAsia="Times New Roman" w:hAnsi="Arial"/>
      <w:b/>
      <w:color w:val="353D30"/>
      <w:sz w:val="40"/>
      <w:szCs w:val="40"/>
      <w:lang w:val="en-GB"/>
    </w:rPr>
  </w:style>
  <w:style w:type="paragraph" w:customStyle="1" w:styleId="InfoBoxSubtitle">
    <w:name w:val="InfoBox Subtitle"/>
    <w:basedOn w:val="Normal"/>
    <w:link w:val="InfoBoxSubtitleChar"/>
    <w:semiHidden/>
    <w:qFormat/>
    <w:rsid w:val="00CB0512"/>
    <w:pPr>
      <w:spacing w:before="0" w:line="240" w:lineRule="auto"/>
    </w:pPr>
    <w:rPr>
      <w:rFonts w:eastAsia="Times New Roman"/>
      <w:color w:val="353D30"/>
      <w:sz w:val="40"/>
      <w:szCs w:val="40"/>
      <w:lang w:val="en-GB"/>
    </w:rPr>
  </w:style>
  <w:style w:type="character" w:customStyle="1" w:styleId="InfoBoxSubtitleChar">
    <w:name w:val="InfoBox Subtitle Char"/>
    <w:basedOn w:val="DefaultParagraphFont"/>
    <w:link w:val="InfoBoxSubtitle"/>
    <w:semiHidden/>
    <w:rsid w:val="00CB0512"/>
    <w:rPr>
      <w:rFonts w:ascii="Arial" w:eastAsia="Times New Roman" w:hAnsi="Arial"/>
      <w:color w:val="353D30"/>
      <w:sz w:val="40"/>
      <w:szCs w:val="40"/>
      <w:lang w:val="en-GB"/>
    </w:rPr>
  </w:style>
  <w:style w:type="paragraph" w:customStyle="1" w:styleId="TOFHeading">
    <w:name w:val="TOF Heading"/>
    <w:next w:val="TableofFigures"/>
    <w:uiPriority w:val="99"/>
    <w:semiHidden/>
    <w:rsid w:val="00CB0512"/>
    <w:rPr>
      <w:rFonts w:ascii="Arial" w:eastAsiaTheme="majorEastAsia" w:hAnsi="Arial" w:cstheme="majorBidi"/>
      <w:color w:val="C4D92E" w:themeColor="accent1"/>
      <w:spacing w:val="5"/>
      <w:kern w:val="28"/>
      <w:sz w:val="36"/>
      <w:szCs w:val="36"/>
      <w:lang w:val="en-US"/>
    </w:rPr>
  </w:style>
  <w:style w:type="table" w:styleId="MediumGrid1-Accent5">
    <w:name w:val="Medium Grid 1 Accent 5"/>
    <w:basedOn w:val="TableNormal"/>
    <w:uiPriority w:val="67"/>
    <w:rsid w:val="00CB0512"/>
    <w:pPr>
      <w:spacing w:after="0" w:line="240" w:lineRule="auto"/>
    </w:pPr>
    <w:rPr>
      <w:lang w:val="en-US"/>
    </w:rPr>
    <w:tblPr>
      <w:tblStyleRowBandSize w:val="1"/>
      <w:tblStyleColBandSize w:val="1"/>
      <w:tblBorders>
        <w:top w:val="single" w:sz="8" w:space="0" w:color="07FFD9" w:themeColor="accent5" w:themeTint="BF"/>
        <w:left w:val="single" w:sz="8" w:space="0" w:color="07FFD9" w:themeColor="accent5" w:themeTint="BF"/>
        <w:bottom w:val="single" w:sz="8" w:space="0" w:color="07FFD9" w:themeColor="accent5" w:themeTint="BF"/>
        <w:right w:val="single" w:sz="8" w:space="0" w:color="07FFD9" w:themeColor="accent5" w:themeTint="BF"/>
        <w:insideH w:val="single" w:sz="8" w:space="0" w:color="07FFD9" w:themeColor="accent5" w:themeTint="BF"/>
        <w:insideV w:val="single" w:sz="8" w:space="0" w:color="07FFD9" w:themeColor="accent5" w:themeTint="BF"/>
      </w:tblBorders>
    </w:tblPr>
    <w:tcPr>
      <w:shd w:val="clear" w:color="auto" w:fill="ADFFF2" w:themeFill="accent5" w:themeFillTint="3F"/>
    </w:tcPr>
    <w:tblStylePr w:type="firstRow">
      <w:rPr>
        <w:b/>
        <w:bCs/>
      </w:rPr>
      <w:tblPr/>
      <w:tcPr>
        <w:shd w:val="clear" w:color="auto" w:fill="C4D92E" w:themeFill="accent1"/>
      </w:tcPr>
    </w:tblStylePr>
    <w:tblStylePr w:type="lastRow">
      <w:rPr>
        <w:b/>
        <w:bCs/>
      </w:rPr>
      <w:tblPr/>
      <w:tcPr>
        <w:tcBorders>
          <w:top w:val="single" w:sz="18" w:space="0" w:color="07FFD9" w:themeColor="accent5" w:themeTint="BF"/>
        </w:tcBorders>
      </w:tcPr>
    </w:tblStylePr>
    <w:tblStylePr w:type="firstCol">
      <w:rPr>
        <w:b/>
        <w:bCs/>
      </w:rPr>
    </w:tblStylePr>
    <w:tblStylePr w:type="lastCol">
      <w:rPr>
        <w:b/>
        <w:bCs/>
      </w:rPr>
    </w:tblStylePr>
    <w:tblStylePr w:type="band1Vert">
      <w:tblPr/>
      <w:tcPr>
        <w:shd w:val="clear" w:color="auto" w:fill="5AFFE5" w:themeFill="accent5" w:themeFillTint="7F"/>
      </w:tcPr>
    </w:tblStylePr>
    <w:tblStylePr w:type="band1Horz">
      <w:tblPr/>
      <w:tcPr>
        <w:shd w:val="clear" w:color="auto" w:fill="5AFFE5" w:themeFill="accent5" w:themeFillTint="7F"/>
      </w:tcPr>
    </w:tblStylePr>
  </w:style>
  <w:style w:type="table" w:styleId="ColorfulGrid-Accent5">
    <w:name w:val="Colorful Grid Accent 5"/>
    <w:basedOn w:val="TableNormal"/>
    <w:uiPriority w:val="73"/>
    <w:rsid w:val="00CB0512"/>
    <w:pPr>
      <w:spacing w:after="0" w:line="240" w:lineRule="auto"/>
    </w:pPr>
    <w:rPr>
      <w:color w:val="000000" w:themeColor="text1"/>
      <w:lang w:val="en-US"/>
    </w:rPr>
    <w:tblPr>
      <w:tblStyleRowBandSize w:val="1"/>
      <w:tblStyleColBandSize w:val="1"/>
      <w:tblBorders>
        <w:insideH w:val="single" w:sz="4" w:space="0" w:color="FFFFFF" w:themeColor="background1"/>
      </w:tblBorders>
    </w:tblPr>
    <w:tcPr>
      <w:shd w:val="clear" w:color="auto" w:fill="BCFFF4" w:themeFill="accent5" w:themeFillTint="33"/>
    </w:tcPr>
    <w:tblStylePr w:type="firstRow">
      <w:rPr>
        <w:b/>
        <w:bCs/>
      </w:rPr>
      <w:tblPr/>
      <w:tcPr>
        <w:shd w:val="clear" w:color="auto" w:fill="7AFFEA" w:themeFill="accent5" w:themeFillTint="66"/>
      </w:tcPr>
    </w:tblStylePr>
    <w:tblStylePr w:type="lastRow">
      <w:rPr>
        <w:b/>
        <w:bCs/>
        <w:color w:val="000000" w:themeColor="text1"/>
      </w:rPr>
      <w:tblPr/>
      <w:tcPr>
        <w:shd w:val="clear" w:color="auto" w:fill="7AFFEA" w:themeFill="accent5" w:themeFillTint="66"/>
      </w:tcPr>
    </w:tblStylePr>
    <w:tblStylePr w:type="firstCol">
      <w:rPr>
        <w:color w:val="FFFFFF" w:themeColor="background1"/>
      </w:rPr>
      <w:tblPr/>
      <w:tcPr>
        <w:shd w:val="clear" w:color="auto" w:fill="008671" w:themeFill="accent5" w:themeFillShade="BF"/>
      </w:tcPr>
    </w:tblStylePr>
    <w:tblStylePr w:type="lastCol">
      <w:rPr>
        <w:color w:val="FFFFFF" w:themeColor="background1"/>
      </w:rPr>
      <w:tblPr/>
      <w:tcPr>
        <w:shd w:val="clear" w:color="auto" w:fill="008671" w:themeFill="accent5" w:themeFillShade="BF"/>
      </w:tcPr>
    </w:tblStylePr>
    <w:tblStylePr w:type="band1Vert">
      <w:tblPr/>
      <w:tcPr>
        <w:shd w:val="clear" w:color="auto" w:fill="5AFFE5" w:themeFill="accent5" w:themeFillTint="7F"/>
      </w:tcPr>
    </w:tblStylePr>
    <w:tblStylePr w:type="band1Horz">
      <w:tblPr/>
      <w:tcPr>
        <w:shd w:val="clear" w:color="auto" w:fill="5AFFE5" w:themeFill="accent5" w:themeFillTint="7F"/>
      </w:tcPr>
    </w:tblStylePr>
  </w:style>
  <w:style w:type="table" w:styleId="LightShading-Accent4">
    <w:name w:val="Light Shading Accent 4"/>
    <w:basedOn w:val="TableNormal"/>
    <w:uiPriority w:val="60"/>
    <w:rsid w:val="00CB0512"/>
    <w:pPr>
      <w:spacing w:after="0" w:line="240" w:lineRule="auto"/>
    </w:pPr>
    <w:rPr>
      <w:color w:val="5A524B" w:themeColor="accent4" w:themeShade="BF"/>
      <w:lang w:val="en-US"/>
    </w:rPr>
    <w:tblPr>
      <w:tblStyleRowBandSize w:val="1"/>
      <w:tblStyleColBandSize w:val="1"/>
      <w:tblBorders>
        <w:top w:val="single" w:sz="8" w:space="0" w:color="796E65" w:themeColor="accent4"/>
        <w:bottom w:val="single" w:sz="8" w:space="0" w:color="796E65" w:themeColor="accent4"/>
      </w:tblBorders>
    </w:tblPr>
    <w:tblStylePr w:type="firstRow">
      <w:pPr>
        <w:spacing w:before="0" w:after="0" w:line="240" w:lineRule="auto"/>
      </w:pPr>
      <w:rPr>
        <w:b/>
        <w:bCs/>
      </w:rPr>
      <w:tblPr/>
      <w:tcPr>
        <w:tcBorders>
          <w:top w:val="single" w:sz="8" w:space="0" w:color="796E65" w:themeColor="accent4"/>
          <w:left w:val="nil"/>
          <w:bottom w:val="single" w:sz="8" w:space="0" w:color="796E65" w:themeColor="accent4"/>
          <w:right w:val="nil"/>
          <w:insideH w:val="nil"/>
          <w:insideV w:val="nil"/>
        </w:tcBorders>
      </w:tcPr>
    </w:tblStylePr>
    <w:tblStylePr w:type="lastRow">
      <w:pPr>
        <w:spacing w:before="0" w:after="0" w:line="240" w:lineRule="auto"/>
      </w:pPr>
      <w:rPr>
        <w:b/>
        <w:bCs/>
      </w:rPr>
      <w:tblPr/>
      <w:tcPr>
        <w:tcBorders>
          <w:top w:val="single" w:sz="8" w:space="0" w:color="796E65" w:themeColor="accent4"/>
          <w:left w:val="nil"/>
          <w:bottom w:val="single" w:sz="8" w:space="0" w:color="796E6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DAD8" w:themeFill="accent4" w:themeFillTint="3F"/>
      </w:tcPr>
    </w:tblStylePr>
    <w:tblStylePr w:type="band1Horz">
      <w:tblPr/>
      <w:tcPr>
        <w:tcBorders>
          <w:left w:val="nil"/>
          <w:right w:val="nil"/>
          <w:insideH w:val="nil"/>
          <w:insideV w:val="nil"/>
        </w:tcBorders>
        <w:shd w:val="clear" w:color="auto" w:fill="DEDAD8" w:themeFill="accent4" w:themeFillTint="3F"/>
      </w:tcPr>
    </w:tblStylePr>
  </w:style>
  <w:style w:type="paragraph" w:customStyle="1" w:styleId="AppendixChapterHeading">
    <w:name w:val="Appendix Chapter Heading"/>
    <w:basedOn w:val="Normal"/>
    <w:link w:val="AppendixChapterHeadingChar"/>
    <w:semiHidden/>
    <w:rsid w:val="0093683E"/>
    <w:pPr>
      <w:spacing w:before="0" w:after="300" w:line="240" w:lineRule="auto"/>
      <w:contextualSpacing/>
    </w:pPr>
    <w:rPr>
      <w:rFonts w:eastAsiaTheme="majorEastAsia" w:cstheme="majorBidi"/>
      <w:bCs/>
      <w:color w:val="C4D92E" w:themeColor="accent1"/>
      <w:spacing w:val="5"/>
      <w:kern w:val="28"/>
      <w:sz w:val="70"/>
      <w:szCs w:val="52"/>
      <w:lang w:val="en-US"/>
    </w:rPr>
  </w:style>
  <w:style w:type="character" w:customStyle="1" w:styleId="AppendixChapterHeadingChar">
    <w:name w:val="Appendix Chapter Heading Char"/>
    <w:basedOn w:val="DefaultParagraphFont"/>
    <w:link w:val="AppendixChapterHeading"/>
    <w:semiHidden/>
    <w:rsid w:val="00CB0512"/>
    <w:rPr>
      <w:rFonts w:ascii="Arial" w:eastAsiaTheme="majorEastAsia" w:hAnsi="Arial" w:cstheme="majorBidi"/>
      <w:bCs/>
      <w:color w:val="C4D92E" w:themeColor="accent1"/>
      <w:spacing w:val="5"/>
      <w:kern w:val="28"/>
      <w:sz w:val="70"/>
      <w:szCs w:val="52"/>
      <w:lang w:val="en-US"/>
    </w:rPr>
  </w:style>
  <w:style w:type="paragraph" w:customStyle="1" w:styleId="Subject">
    <w:name w:val="Subject"/>
    <w:basedOn w:val="Normal"/>
    <w:link w:val="SubjectChar"/>
    <w:semiHidden/>
    <w:rsid w:val="00CB0512"/>
    <w:pPr>
      <w:spacing w:before="0" w:after="0" w:line="240" w:lineRule="auto"/>
    </w:pPr>
    <w:rPr>
      <w:rFonts w:cs="Arial"/>
      <w:b/>
      <w:caps/>
      <w:color w:val="C4D92E" w:themeColor="accent1"/>
      <w:sz w:val="18"/>
      <w:szCs w:val="20"/>
      <w:lang w:val="en-GB"/>
    </w:rPr>
  </w:style>
  <w:style w:type="character" w:customStyle="1" w:styleId="SubjectChar">
    <w:name w:val="Subject Char"/>
    <w:basedOn w:val="DefaultParagraphFont"/>
    <w:link w:val="Subject"/>
    <w:semiHidden/>
    <w:rsid w:val="00CB0512"/>
    <w:rPr>
      <w:rFonts w:ascii="Arial" w:hAnsi="Arial" w:cs="Arial"/>
      <w:b/>
      <w:caps/>
      <w:color w:val="C4D92E" w:themeColor="accent1"/>
      <w:sz w:val="18"/>
      <w:szCs w:val="20"/>
      <w:lang w:val="en-GB"/>
    </w:rPr>
  </w:style>
  <w:style w:type="table" w:styleId="LightShading-Accent1">
    <w:name w:val="Light Shading Accent 1"/>
    <w:basedOn w:val="TableNormal"/>
    <w:uiPriority w:val="60"/>
    <w:rsid w:val="00CB0512"/>
    <w:pPr>
      <w:spacing w:after="0" w:line="240" w:lineRule="auto"/>
    </w:pPr>
    <w:rPr>
      <w:color w:val="95A61E" w:themeColor="accent1" w:themeShade="BF"/>
      <w:lang w:val="en-US"/>
    </w:rPr>
    <w:tblPr>
      <w:tblStyleRowBandSize w:val="1"/>
      <w:tblStyleColBandSize w:val="1"/>
      <w:tblBorders>
        <w:top w:val="single" w:sz="8" w:space="0" w:color="C4D92E" w:themeColor="accent1"/>
        <w:bottom w:val="single" w:sz="8" w:space="0" w:color="C4D92E" w:themeColor="accent1"/>
      </w:tblBorders>
    </w:tblPr>
    <w:tblStylePr w:type="firstRow">
      <w:pPr>
        <w:spacing w:before="0" w:after="0" w:line="240" w:lineRule="auto"/>
      </w:pPr>
      <w:rPr>
        <w:b/>
        <w:bCs/>
      </w:rPr>
      <w:tblPr/>
      <w:tcPr>
        <w:tcBorders>
          <w:top w:val="single" w:sz="8" w:space="0" w:color="C4D92E" w:themeColor="accent1"/>
          <w:left w:val="nil"/>
          <w:bottom w:val="single" w:sz="8" w:space="0" w:color="C4D92E" w:themeColor="accent1"/>
          <w:right w:val="nil"/>
          <w:insideH w:val="nil"/>
          <w:insideV w:val="nil"/>
        </w:tcBorders>
      </w:tcPr>
    </w:tblStylePr>
    <w:tblStylePr w:type="lastRow">
      <w:pPr>
        <w:spacing w:before="0" w:after="0" w:line="240" w:lineRule="auto"/>
      </w:pPr>
      <w:rPr>
        <w:b/>
        <w:bCs/>
      </w:rPr>
      <w:tblPr/>
      <w:tcPr>
        <w:tcBorders>
          <w:top w:val="single" w:sz="8" w:space="0" w:color="C4D92E" w:themeColor="accent1"/>
          <w:left w:val="nil"/>
          <w:bottom w:val="single" w:sz="8" w:space="0" w:color="C4D92E" w:themeColor="accent1"/>
          <w:right w:val="nil"/>
          <w:insideH w:val="nil"/>
          <w:insideV w:val="nil"/>
        </w:tcBorders>
      </w:tcPr>
    </w:tblStylePr>
    <w:tblStylePr w:type="firstCol">
      <w:rPr>
        <w:b/>
        <w:bCs/>
      </w:rPr>
    </w:tblStylePr>
    <w:tblStylePr w:type="lastCol">
      <w:rPr>
        <w:b/>
        <w:bCs/>
      </w:rPr>
    </w:tblStylePr>
    <w:tblStylePr w:type="band1Vert">
      <w:tblPr/>
      <w:tcPr>
        <w:shd w:val="clear" w:color="auto" w:fill="00B398" w:themeFill="accent5"/>
      </w:tcPr>
    </w:tblStylePr>
    <w:tblStylePr w:type="band1Horz">
      <w:tblPr/>
      <w:tcPr>
        <w:shd w:val="clear" w:color="auto" w:fill="00B398" w:themeFill="accent5"/>
      </w:tcPr>
    </w:tblStylePr>
  </w:style>
  <w:style w:type="table" w:styleId="LightList-Accent1">
    <w:name w:val="Light List Accent 1"/>
    <w:basedOn w:val="TableNormal"/>
    <w:uiPriority w:val="61"/>
    <w:rsid w:val="00CB0512"/>
    <w:pPr>
      <w:spacing w:after="0" w:line="240" w:lineRule="auto"/>
    </w:pPr>
    <w:rPr>
      <w:lang w:val="en-US"/>
    </w:rPr>
    <w:tblPr>
      <w:tblStyleRowBandSize w:val="1"/>
      <w:tblStyleColBandSize w:val="1"/>
      <w:tblBorders>
        <w:top w:val="single" w:sz="8" w:space="0" w:color="C4D92E" w:themeColor="accent1"/>
        <w:left w:val="single" w:sz="8" w:space="0" w:color="C4D92E" w:themeColor="accent1"/>
        <w:bottom w:val="single" w:sz="8" w:space="0" w:color="C4D92E" w:themeColor="accent1"/>
        <w:right w:val="single" w:sz="8" w:space="0" w:color="C4D92E" w:themeColor="accent1"/>
      </w:tblBorders>
    </w:tblPr>
    <w:tblStylePr w:type="firstRow">
      <w:pPr>
        <w:spacing w:before="0" w:after="0" w:line="240" w:lineRule="auto"/>
      </w:pPr>
      <w:rPr>
        <w:b/>
        <w:bCs/>
        <w:color w:val="FFFFFF" w:themeColor="background1"/>
      </w:rPr>
      <w:tblPr/>
      <w:tcPr>
        <w:shd w:val="clear" w:color="auto" w:fill="C4D92E" w:themeFill="accent1"/>
      </w:tcPr>
    </w:tblStylePr>
    <w:tblStylePr w:type="lastRow">
      <w:pPr>
        <w:spacing w:before="0" w:after="0" w:line="240" w:lineRule="auto"/>
      </w:pPr>
      <w:rPr>
        <w:b/>
        <w:bCs/>
      </w:rPr>
      <w:tblPr/>
      <w:tcPr>
        <w:tcBorders>
          <w:top w:val="double" w:sz="6" w:space="0" w:color="C4D92E" w:themeColor="accent1"/>
          <w:left w:val="single" w:sz="8" w:space="0" w:color="C4D92E" w:themeColor="accent1"/>
          <w:bottom w:val="single" w:sz="8" w:space="0" w:color="C4D92E" w:themeColor="accent1"/>
          <w:right w:val="single" w:sz="8" w:space="0" w:color="C4D92E" w:themeColor="accent1"/>
        </w:tcBorders>
      </w:tcPr>
    </w:tblStylePr>
    <w:tblStylePr w:type="firstCol">
      <w:rPr>
        <w:b/>
        <w:bCs/>
      </w:rPr>
    </w:tblStylePr>
    <w:tblStylePr w:type="lastCol">
      <w:rPr>
        <w:b/>
        <w:bCs/>
      </w:rPr>
    </w:tblStylePr>
    <w:tblStylePr w:type="band1Vert">
      <w:tblPr/>
      <w:tcPr>
        <w:tcBorders>
          <w:top w:val="single" w:sz="8" w:space="0" w:color="C4D92E" w:themeColor="accent1"/>
          <w:left w:val="single" w:sz="8" w:space="0" w:color="C4D92E" w:themeColor="accent1"/>
          <w:bottom w:val="single" w:sz="8" w:space="0" w:color="C4D92E" w:themeColor="accent1"/>
          <w:right w:val="single" w:sz="8" w:space="0" w:color="C4D92E" w:themeColor="accent1"/>
        </w:tcBorders>
      </w:tcPr>
    </w:tblStylePr>
    <w:tblStylePr w:type="band1Horz">
      <w:tblPr/>
      <w:tcPr>
        <w:tcBorders>
          <w:top w:val="single" w:sz="8" w:space="0" w:color="C4D92E" w:themeColor="accent1"/>
          <w:left w:val="single" w:sz="8" w:space="0" w:color="C4D92E" w:themeColor="accent1"/>
          <w:bottom w:val="single" w:sz="8" w:space="0" w:color="C4D92E" w:themeColor="accent1"/>
          <w:right w:val="single" w:sz="8" w:space="0" w:color="C4D92E" w:themeColor="accent1"/>
        </w:tcBorders>
      </w:tcPr>
    </w:tblStylePr>
  </w:style>
  <w:style w:type="table" w:styleId="LightGrid-Accent1">
    <w:name w:val="Light Grid Accent 1"/>
    <w:basedOn w:val="TableNormal"/>
    <w:uiPriority w:val="62"/>
    <w:rsid w:val="00CB0512"/>
    <w:pPr>
      <w:spacing w:after="0" w:line="240" w:lineRule="auto"/>
    </w:pPr>
    <w:rPr>
      <w:lang w:val="en-US"/>
    </w:rPr>
    <w:tblPr>
      <w:tblStyleRowBandSize w:val="1"/>
      <w:tblStyleColBandSize w:val="1"/>
      <w:tblBorders>
        <w:top w:val="single" w:sz="8" w:space="0" w:color="C4D92E" w:themeColor="accent1"/>
        <w:left w:val="single" w:sz="8" w:space="0" w:color="C4D92E" w:themeColor="accent1"/>
        <w:bottom w:val="single" w:sz="8" w:space="0" w:color="C4D92E" w:themeColor="accent1"/>
        <w:right w:val="single" w:sz="8" w:space="0" w:color="C4D92E" w:themeColor="accent1"/>
        <w:insideH w:val="single" w:sz="8" w:space="0" w:color="C4D92E" w:themeColor="accent1"/>
        <w:insideV w:val="single" w:sz="8" w:space="0" w:color="C4D92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4D92E" w:themeColor="accent1"/>
          <w:left w:val="single" w:sz="8" w:space="0" w:color="C4D92E" w:themeColor="accent1"/>
          <w:bottom w:val="single" w:sz="18" w:space="0" w:color="C4D92E" w:themeColor="accent1"/>
          <w:right w:val="single" w:sz="8" w:space="0" w:color="C4D92E" w:themeColor="accent1"/>
          <w:insideH w:val="nil"/>
          <w:insideV w:val="single" w:sz="8" w:space="0" w:color="C4D92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4D92E" w:themeColor="accent1"/>
          <w:left w:val="single" w:sz="8" w:space="0" w:color="C4D92E" w:themeColor="accent1"/>
          <w:bottom w:val="single" w:sz="8" w:space="0" w:color="C4D92E" w:themeColor="accent1"/>
          <w:right w:val="single" w:sz="8" w:space="0" w:color="C4D92E" w:themeColor="accent1"/>
          <w:insideH w:val="nil"/>
          <w:insideV w:val="single" w:sz="8" w:space="0" w:color="C4D92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4D92E" w:themeColor="accent1"/>
          <w:left w:val="single" w:sz="8" w:space="0" w:color="C4D92E" w:themeColor="accent1"/>
          <w:bottom w:val="single" w:sz="8" w:space="0" w:color="C4D92E" w:themeColor="accent1"/>
          <w:right w:val="single" w:sz="8" w:space="0" w:color="C4D92E" w:themeColor="accent1"/>
        </w:tcBorders>
      </w:tcPr>
    </w:tblStylePr>
    <w:tblStylePr w:type="band1Vert">
      <w:tblPr/>
      <w:tcPr>
        <w:shd w:val="clear" w:color="auto" w:fill="00B398" w:themeFill="accent5"/>
      </w:tcPr>
    </w:tblStylePr>
    <w:tblStylePr w:type="band1Horz">
      <w:tblPr/>
      <w:tcPr>
        <w:shd w:val="clear" w:color="auto" w:fill="00B398" w:themeFill="accent5"/>
      </w:tcPr>
    </w:tblStylePr>
    <w:tblStylePr w:type="band2Horz">
      <w:tblPr/>
      <w:tcPr>
        <w:tcBorders>
          <w:top w:val="single" w:sz="8" w:space="0" w:color="C4D92E" w:themeColor="accent1"/>
          <w:left w:val="single" w:sz="8" w:space="0" w:color="C4D92E" w:themeColor="accent1"/>
          <w:bottom w:val="single" w:sz="8" w:space="0" w:color="C4D92E" w:themeColor="accent1"/>
          <w:right w:val="single" w:sz="8" w:space="0" w:color="C4D92E" w:themeColor="accent1"/>
          <w:insideV w:val="single" w:sz="8" w:space="0" w:color="C4D92E" w:themeColor="accent1"/>
        </w:tcBorders>
      </w:tcPr>
    </w:tblStylePr>
  </w:style>
  <w:style w:type="table" w:styleId="MediumShading1-Accent1">
    <w:name w:val="Medium Shading 1 Accent 1"/>
    <w:basedOn w:val="TableNormal"/>
    <w:uiPriority w:val="63"/>
    <w:rsid w:val="00CB0512"/>
    <w:pPr>
      <w:spacing w:after="0" w:line="240" w:lineRule="auto"/>
    </w:pPr>
    <w:rPr>
      <w:lang w:val="en-US"/>
    </w:rPr>
    <w:tblPr>
      <w:tblStyleRowBandSize w:val="1"/>
      <w:tblStyleColBandSize w:val="1"/>
      <w:tblBorders>
        <w:top w:val="single" w:sz="8" w:space="0" w:color="D2E262" w:themeColor="accent1" w:themeTint="BF"/>
        <w:left w:val="single" w:sz="8" w:space="0" w:color="D2E262" w:themeColor="accent1" w:themeTint="BF"/>
        <w:bottom w:val="single" w:sz="8" w:space="0" w:color="D2E262" w:themeColor="accent1" w:themeTint="BF"/>
        <w:right w:val="single" w:sz="8" w:space="0" w:color="D2E262" w:themeColor="accent1" w:themeTint="BF"/>
        <w:insideH w:val="single" w:sz="8" w:space="0" w:color="D2E262" w:themeColor="accent1" w:themeTint="BF"/>
      </w:tblBorders>
    </w:tblPr>
    <w:tblStylePr w:type="firstRow">
      <w:pPr>
        <w:spacing w:before="0" w:after="0" w:line="240" w:lineRule="auto"/>
      </w:pPr>
      <w:rPr>
        <w:b/>
        <w:bCs/>
        <w:color w:val="au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000000" w:themeFill="text1"/>
      </w:tcPr>
    </w:tblStylePr>
    <w:tblStylePr w:type="lastRow">
      <w:pPr>
        <w:spacing w:before="0" w:after="0" w:line="240" w:lineRule="auto"/>
      </w:pPr>
      <w:rPr>
        <w:b/>
        <w:bCs/>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l2br w:val="nil"/>
          <w:tr2bl w:val="nil"/>
        </w:tcBorders>
      </w:tcPr>
    </w:tblStylePr>
    <w:tblStylePr w:type="firstCol">
      <w:rPr>
        <w:b/>
        <w:bCs/>
      </w:rPr>
    </w:tblStylePr>
    <w:tblStylePr w:type="lastCol">
      <w:rPr>
        <w:b/>
        <w:bCs/>
      </w:rPr>
    </w:tblStylePr>
    <w:tblStylePr w:type="band1Vert">
      <w:tblPr/>
      <w:tcPr>
        <w:tcBorders>
          <w:top w:val="nil"/>
          <w:bottom w:val="single" w:sz="4" w:space="0" w:color="000000" w:themeColor="text1"/>
        </w:tcBorders>
      </w:tcPr>
    </w:tblStylePr>
    <w:tblStylePr w:type="band1Horz">
      <w:tblPr/>
      <w:tcPr>
        <w:tcBorders>
          <w:top w:val="single" w:sz="4" w:space="0" w:color="000000" w:themeColor="text1"/>
          <w:bottom w:val="single" w:sz="4" w:space="0" w:color="000000" w:themeColor="text1"/>
        </w:tcBorders>
        <w:shd w:val="clear" w:color="auto" w:fill="00B398" w:themeFill="accent5"/>
      </w:tcPr>
    </w:tblStylePr>
    <w:tblStylePr w:type="band2Horz">
      <w:tblPr/>
      <w:tcPr>
        <w:tcBorders>
          <w:top w:val="nil"/>
          <w:bottom w:val="nil"/>
          <w:insideH w:val="nil"/>
          <w:insideV w:val="nil"/>
        </w:tcBorders>
      </w:tcPr>
    </w:tblStylePr>
  </w:style>
  <w:style w:type="table" w:styleId="MediumShading2-Accent1">
    <w:name w:val="Medium Shading 2 Accent 1"/>
    <w:basedOn w:val="TableNormal"/>
    <w:uiPriority w:val="64"/>
    <w:rsid w:val="00CB0512"/>
    <w:pPr>
      <w:spacing w:after="0" w:line="240" w:lineRule="auto"/>
    </w:pPr>
    <w:rPr>
      <w:lang w:val="en-US"/>
    </w:rPr>
    <w:tblPr>
      <w:tblStyleRowBandSize w:val="1"/>
      <w:tblStyleColBandSize w:val="1"/>
    </w:tblPr>
    <w:tblStylePr w:type="firstRow">
      <w:pPr>
        <w:spacing w:before="0" w:after="0" w:line="240" w:lineRule="auto"/>
      </w:pPr>
      <w:rPr>
        <w:b/>
        <w:bCs/>
        <w:color w:val="FFFFFF" w:themeColor="background1"/>
      </w:rPr>
      <w:tblPr/>
      <w:tcPr>
        <w:tcBorders>
          <w:top w:val="nil"/>
          <w:left w:val="nil"/>
          <w:bottom w:val="nil"/>
          <w:right w:val="nil"/>
          <w:insideH w:val="nil"/>
          <w:insideV w:val="nil"/>
          <w:tl2br w:val="nil"/>
          <w:tr2bl w:val="nil"/>
        </w:tcBorders>
        <w:shd w:val="clear" w:color="auto" w:fill="C4D92E" w:themeFill="accent1"/>
      </w:tcPr>
    </w:tblStylePr>
    <w:tblStylePr w:type="lastRow">
      <w:pPr>
        <w:spacing w:before="0" w:after="0" w:line="240" w:lineRule="auto"/>
      </w:pPr>
      <w:rPr>
        <w:color w:val="auto"/>
      </w:rPr>
      <w:tblPr/>
      <w:tcPr>
        <w:tcBorders>
          <w:top w:val="nil"/>
          <w:left w:val="nil"/>
          <w:bottom w:val="nil"/>
          <w:right w:val="nil"/>
          <w:insideH w:val="nil"/>
          <w:insideV w:val="nil"/>
          <w:tl2br w:val="nil"/>
          <w:tr2bl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l2br w:val="nil"/>
          <w:tr2bl w:val="nil"/>
        </w:tcBorders>
        <w:shd w:val="clear" w:color="auto" w:fill="C4D92E" w:themeFill="accent1"/>
      </w:tcPr>
    </w:tblStylePr>
    <w:tblStylePr w:type="lastCol">
      <w:rPr>
        <w:b/>
        <w:bCs/>
        <w:color w:val="FFFFFF" w:themeColor="background1"/>
      </w:rPr>
      <w:tblPr/>
      <w:tcPr>
        <w:tcBorders>
          <w:left w:val="nil"/>
          <w:right w:val="nil"/>
          <w:insideH w:val="nil"/>
          <w:insideV w:val="nil"/>
        </w:tcBorders>
        <w:shd w:val="clear" w:color="auto" w:fill="C4D92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nil"/>
          <w:left w:val="nil"/>
          <w:bottom w:val="nil"/>
          <w:right w:val="nil"/>
          <w:insideH w:val="nil"/>
          <w:insideV w:val="nil"/>
          <w:tl2br w:val="nil"/>
          <w:tr2bl w:val="nil"/>
        </w:tcBorders>
      </w:tcPr>
    </w:tblStylePr>
    <w:tblStylePr w:type="nwCell">
      <w:rPr>
        <w:color w:val="FFFFFF" w:themeColor="background1"/>
      </w:rPr>
      <w:tblPr/>
      <w:tcPr>
        <w:tcBorders>
          <w:top w:val="nil"/>
          <w:left w:val="nil"/>
          <w:bottom w:val="nil"/>
          <w:right w:val="nil"/>
          <w:insideH w:val="nil"/>
          <w:insideV w:val="nil"/>
          <w:tl2br w:val="nil"/>
          <w:tr2bl w:val="nil"/>
        </w:tcBorders>
      </w:tcPr>
    </w:tblStylePr>
  </w:style>
  <w:style w:type="table" w:styleId="MediumList1-Accent1">
    <w:name w:val="Medium List 1 Accent 1"/>
    <w:basedOn w:val="TableNormal"/>
    <w:uiPriority w:val="65"/>
    <w:rsid w:val="00CB0512"/>
    <w:pPr>
      <w:spacing w:after="0" w:line="240" w:lineRule="auto"/>
    </w:pPr>
    <w:rPr>
      <w:color w:val="000000" w:themeColor="text1"/>
      <w:lang w:val="en-US"/>
    </w:rPr>
    <w:tblPr>
      <w:tblStyleRowBandSize w:val="1"/>
      <w:tblStyleColBandSize w:val="1"/>
      <w:tblBorders>
        <w:top w:val="single" w:sz="8" w:space="0" w:color="C4D92E" w:themeColor="accent1"/>
        <w:bottom w:val="single" w:sz="8" w:space="0" w:color="C4D92E" w:themeColor="accent1"/>
      </w:tblBorders>
    </w:tblPr>
    <w:tblStylePr w:type="firstRow">
      <w:rPr>
        <w:rFonts w:asciiTheme="majorHAnsi" w:eastAsiaTheme="majorEastAsia" w:hAnsiTheme="majorHAnsi" w:cstheme="majorBidi"/>
      </w:rPr>
      <w:tblPr/>
      <w:tcPr>
        <w:tcBorders>
          <w:top w:val="nil"/>
          <w:bottom w:val="single" w:sz="8" w:space="0" w:color="C4D92E" w:themeColor="accent1"/>
        </w:tcBorders>
      </w:tcPr>
    </w:tblStylePr>
    <w:tblStylePr w:type="lastRow">
      <w:rPr>
        <w:b/>
        <w:bCs/>
        <w:color w:val="00BAD4" w:themeColor="text2"/>
      </w:rPr>
      <w:tblPr/>
      <w:tcPr>
        <w:tcBorders>
          <w:top w:val="single" w:sz="8" w:space="0" w:color="C4D92E" w:themeColor="accent1"/>
          <w:bottom w:val="single" w:sz="8" w:space="0" w:color="C4D92E" w:themeColor="accent1"/>
        </w:tcBorders>
      </w:tcPr>
    </w:tblStylePr>
    <w:tblStylePr w:type="firstCol">
      <w:rPr>
        <w:b/>
        <w:bCs/>
      </w:rPr>
    </w:tblStylePr>
    <w:tblStylePr w:type="lastCol">
      <w:rPr>
        <w:b/>
        <w:bCs/>
      </w:rPr>
      <w:tblPr/>
      <w:tcPr>
        <w:tcBorders>
          <w:top w:val="single" w:sz="8" w:space="0" w:color="C4D92E" w:themeColor="accent1"/>
          <w:bottom w:val="single" w:sz="8" w:space="0" w:color="C4D92E" w:themeColor="accent1"/>
        </w:tcBorders>
      </w:tcPr>
    </w:tblStylePr>
    <w:tblStylePr w:type="band1Vert">
      <w:tblPr/>
      <w:tcPr>
        <w:shd w:val="clear" w:color="auto" w:fill="38FFE0" w:themeFill="accent5" w:themeFillTint="99"/>
      </w:tcPr>
    </w:tblStylePr>
    <w:tblStylePr w:type="band1Horz">
      <w:tblPr/>
      <w:tcPr>
        <w:shd w:val="clear" w:color="auto" w:fill="38FFE0" w:themeFill="accent5" w:themeFillTint="99"/>
      </w:tcPr>
    </w:tblStylePr>
  </w:style>
  <w:style w:type="table" w:styleId="MediumList2-Accent1">
    <w:name w:val="Medium List 2 Accent 1"/>
    <w:basedOn w:val="TableNormal"/>
    <w:uiPriority w:val="66"/>
    <w:rsid w:val="00CB0512"/>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C4D92E" w:themeColor="accent1"/>
        <w:left w:val="single" w:sz="8" w:space="0" w:color="C4D92E" w:themeColor="accent1"/>
        <w:bottom w:val="single" w:sz="8" w:space="0" w:color="C4D92E" w:themeColor="accent1"/>
        <w:right w:val="single" w:sz="8" w:space="0" w:color="C4D92E" w:themeColor="accent1"/>
      </w:tblBorders>
    </w:tblPr>
    <w:tblStylePr w:type="firstRow">
      <w:rPr>
        <w:sz w:val="24"/>
        <w:szCs w:val="24"/>
      </w:rPr>
      <w:tblPr/>
      <w:tcPr>
        <w:tcBorders>
          <w:top w:val="nil"/>
          <w:left w:val="nil"/>
          <w:bottom w:val="single" w:sz="18" w:space="0" w:color="C4D92E" w:themeColor="accent1"/>
          <w:right w:val="nil"/>
          <w:insideH w:val="nil"/>
          <w:insideV w:val="nil"/>
        </w:tcBorders>
        <w:shd w:val="clear" w:color="auto" w:fill="FFFFFF" w:themeFill="background1"/>
      </w:tcPr>
    </w:tblStylePr>
    <w:tblStylePr w:type="lastRow">
      <w:tblPr/>
      <w:tcPr>
        <w:tcBorders>
          <w:top w:val="single" w:sz="8" w:space="0" w:color="C4D92E"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4D92E" w:themeColor="accent1"/>
          <w:insideH w:val="nil"/>
          <w:insideV w:val="nil"/>
        </w:tcBorders>
        <w:shd w:val="clear" w:color="auto" w:fill="FFFFFF" w:themeFill="background1"/>
      </w:tcPr>
    </w:tblStylePr>
    <w:tblStylePr w:type="lastCol">
      <w:tblPr/>
      <w:tcPr>
        <w:tcBorders>
          <w:top w:val="nil"/>
          <w:left w:val="single" w:sz="8" w:space="0" w:color="C4D92E" w:themeColor="accent1"/>
          <w:bottom w:val="nil"/>
          <w:right w:val="nil"/>
          <w:insideH w:val="nil"/>
          <w:insideV w:val="nil"/>
        </w:tcBorders>
        <w:shd w:val="clear" w:color="auto" w:fill="FFFFFF" w:themeFill="background1"/>
      </w:tcPr>
    </w:tblStylePr>
    <w:tblStylePr w:type="band1Vert">
      <w:tblPr/>
      <w:tcPr>
        <w:shd w:val="clear" w:color="auto" w:fill="00B398" w:themeFill="accent5"/>
      </w:tcPr>
    </w:tblStylePr>
    <w:tblStylePr w:type="band1Horz">
      <w:tblPr/>
      <w:tcPr>
        <w:shd w:val="clear" w:color="auto" w:fill="00B398" w:themeFill="accent5"/>
      </w:tcPr>
    </w:tblStylePr>
    <w:tblStylePr w:type="nwCell">
      <w:tblPr/>
      <w:tcPr>
        <w:shd w:val="clear" w:color="auto" w:fill="FFFFFF" w:themeFill="background1"/>
      </w:tcPr>
    </w:tblStylePr>
    <w:tblStylePr w:type="swCell">
      <w:tblPr/>
      <w:tcPr>
        <w:tcBorders>
          <w:top w:val="nil"/>
        </w:tcBorders>
      </w:tcPr>
    </w:tblStylePr>
  </w:style>
  <w:style w:type="table" w:styleId="MediumGrid1-Accent1">
    <w:name w:val="Medium Grid 1 Accent 1"/>
    <w:basedOn w:val="TableNormal"/>
    <w:uiPriority w:val="67"/>
    <w:rsid w:val="00CB0512"/>
    <w:pPr>
      <w:spacing w:after="0" w:line="240" w:lineRule="auto"/>
    </w:pPr>
    <w:rPr>
      <w:lang w:val="en-US"/>
    </w:rPr>
    <w:tblPr>
      <w:tblStyleRowBandSize w:val="1"/>
      <w:tblStyleColBandSize w:val="1"/>
      <w:tblBorders>
        <w:top w:val="single" w:sz="2" w:space="0" w:color="C4D92E" w:themeColor="accent1"/>
        <w:left w:val="single" w:sz="2" w:space="0" w:color="C4D92E" w:themeColor="accent1"/>
        <w:bottom w:val="single" w:sz="2" w:space="0" w:color="C4D92E" w:themeColor="accent1"/>
        <w:right w:val="single" w:sz="2" w:space="0" w:color="C4D92E" w:themeColor="accent1"/>
        <w:insideH w:val="single" w:sz="2" w:space="0" w:color="C4D92E" w:themeColor="accent1"/>
        <w:insideV w:val="single" w:sz="2" w:space="0" w:color="C4D92E" w:themeColor="accent1"/>
      </w:tblBorders>
    </w:tblPr>
    <w:tcPr>
      <w:shd w:val="clear" w:color="auto" w:fill="00B398" w:themeFill="accent5"/>
    </w:tcPr>
    <w:tblStylePr w:type="firstRow">
      <w:rPr>
        <w:b/>
        <w:bCs/>
      </w:rPr>
    </w:tblStylePr>
    <w:tblStylePr w:type="lastRow">
      <w:rPr>
        <w:b/>
        <w:bCs/>
      </w:rPr>
      <w:tblPr/>
      <w:tcPr>
        <w:tcBorders>
          <w:top w:val="single" w:sz="18" w:space="0" w:color="D2E262" w:themeColor="accent1" w:themeTint="BF"/>
        </w:tcBorders>
      </w:tcPr>
    </w:tblStylePr>
    <w:tblStylePr w:type="firstCol">
      <w:rPr>
        <w:b/>
        <w:bCs/>
      </w:rPr>
    </w:tblStylePr>
    <w:tblStylePr w:type="lastCol">
      <w:rPr>
        <w:b/>
        <w:bCs/>
      </w:rPr>
    </w:tblStylePr>
    <w:tblStylePr w:type="band1Vert">
      <w:tblPr/>
      <w:tcPr>
        <w:shd w:val="clear" w:color="auto" w:fill="00B398" w:themeFill="accent5"/>
      </w:tcPr>
    </w:tblStylePr>
    <w:tblStylePr w:type="band1Horz">
      <w:tblPr/>
      <w:tcPr>
        <w:shd w:val="clear" w:color="auto" w:fill="7AFFEA" w:themeFill="accent5" w:themeFillTint="66"/>
      </w:tcPr>
    </w:tblStylePr>
  </w:style>
  <w:style w:type="table" w:styleId="MediumGrid2-Accent1">
    <w:name w:val="Medium Grid 2 Accent 1"/>
    <w:basedOn w:val="TableNormal"/>
    <w:uiPriority w:val="68"/>
    <w:rsid w:val="00CB0512"/>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C4D92E" w:themeColor="accent1"/>
        <w:left w:val="single" w:sz="8" w:space="0" w:color="C4D92E" w:themeColor="accent1"/>
        <w:bottom w:val="single" w:sz="8" w:space="0" w:color="C4D92E" w:themeColor="accent1"/>
        <w:right w:val="single" w:sz="8" w:space="0" w:color="C4D92E" w:themeColor="accent1"/>
        <w:insideH w:val="single" w:sz="8" w:space="0" w:color="C4D92E" w:themeColor="accent1"/>
        <w:insideV w:val="single" w:sz="8" w:space="0" w:color="C4D92E" w:themeColor="accent1"/>
      </w:tblBorders>
    </w:tblPr>
    <w:tcPr>
      <w:shd w:val="clear" w:color="auto" w:fill="FFFFFF" w:themeFill="background1"/>
      <w:vAlign w:val="center"/>
    </w:tcPr>
    <w:tblStylePr w:type="firstRow">
      <w:rPr>
        <w:b/>
        <w:bCs/>
        <w:color w:val="000000" w:themeColor="text1"/>
      </w:rPr>
      <w:tblPr/>
      <w:tcPr>
        <w:shd w:val="clear" w:color="auto" w:fill="7AFFEA" w:themeFill="accent5" w:themeFillTint="66"/>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shd w:val="clear" w:color="auto" w:fill="7AFFEA" w:themeFill="accent5" w:themeFillTint="66"/>
      </w:tcPr>
    </w:tblStylePr>
    <w:tblStylePr w:type="band1Vert">
      <w:tblPr/>
      <w:tcPr>
        <w:shd w:val="clear" w:color="auto" w:fill="00B398" w:themeFill="accent5"/>
      </w:tcPr>
    </w:tblStylePr>
    <w:tblStylePr w:type="band1Horz">
      <w:tblPr/>
      <w:tcPr>
        <w:shd w:val="clear" w:color="auto" w:fill="00B398" w:themeFill="accent5"/>
      </w:tcPr>
    </w:tblStylePr>
    <w:tblStylePr w:type="nwCell">
      <w:tblPr/>
      <w:tcPr>
        <w:shd w:val="clear" w:color="auto" w:fill="FFFFFF" w:themeFill="background1"/>
      </w:tcPr>
    </w:tblStylePr>
  </w:style>
  <w:style w:type="table" w:styleId="MediumGrid3-Accent1">
    <w:name w:val="Medium Grid 3 Accent 1"/>
    <w:basedOn w:val="TableNormal"/>
    <w:uiPriority w:val="69"/>
    <w:rsid w:val="00CB0512"/>
    <w:pPr>
      <w:spacing w:before="40" w:after="40" w:line="240" w:lineRule="auto"/>
    </w:pPr>
    <w:rPr>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F5CB" w:themeFill="accent1" w:themeFillTint="3F"/>
      <w:vAlign w:val="center"/>
    </w:tcPr>
    <w:tblStylePr w:type="firstRow">
      <w:pPr>
        <w:jc w:val="left"/>
      </w:pPr>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D92E" w:themeFill="accent1"/>
        <w:vAlign w:val="center"/>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D92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D92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D92E" w:themeFill="accent1"/>
      </w:tcPr>
    </w:tblStylePr>
    <w:tblStylePr w:type="band1Vert">
      <w:tblPr/>
      <w:tcPr>
        <w:shd w:val="clear" w:color="auto" w:fill="A2D64E"/>
      </w:tcPr>
    </w:tblStylePr>
    <w:tblStylePr w:type="band2Vert">
      <w:tblPr/>
      <w:tcPr>
        <w:shd w:val="clear" w:color="auto" w:fill="00B398" w:themeFill="accent5"/>
      </w:tcPr>
    </w:tblStylePr>
    <w:tblStylePr w:type="band1Horz">
      <w:tblPr/>
      <w:tcPr>
        <w:shd w:val="clear" w:color="auto" w:fill="00B398" w:themeFill="accent5"/>
      </w:tcPr>
    </w:tblStylePr>
  </w:style>
  <w:style w:type="table" w:styleId="ColorfulGrid-Accent1">
    <w:name w:val="Colorful Grid Accent 1"/>
    <w:basedOn w:val="TableNormal"/>
    <w:uiPriority w:val="73"/>
    <w:rsid w:val="00CB0512"/>
    <w:pPr>
      <w:spacing w:after="0" w:line="240" w:lineRule="auto"/>
    </w:pPr>
    <w:rPr>
      <w:color w:val="000000" w:themeColor="text1"/>
      <w:lang w:val="en-US"/>
    </w:rPr>
    <w:tblPr>
      <w:tblStyleRowBandSize w:val="1"/>
      <w:tblStyleColBandSize w:val="1"/>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Pr>
    <w:tcPr>
      <w:shd w:val="clear" w:color="auto" w:fill="FFFFFF" w:themeFill="background1"/>
      <w:vAlign w:val="center"/>
    </w:tcPr>
    <w:tblStylePr w:type="firstRow">
      <w:rPr>
        <w:b/>
        <w:bCs/>
      </w:rPr>
      <w:tblPr/>
      <w:tcPr>
        <w:tcBorders>
          <w:top w:val="nil"/>
          <w:left w:val="nil"/>
          <w:bottom w:val="nil"/>
          <w:right w:val="nil"/>
          <w:insideH w:val="nil"/>
          <w:insideV w:val="nil"/>
        </w:tcBorders>
        <w:shd w:val="clear" w:color="auto" w:fill="FFFFFF" w:themeFill="background1"/>
      </w:tcPr>
    </w:tblStylePr>
    <w:tblStylePr w:type="lastRow">
      <w:rPr>
        <w:b/>
        <w:bCs/>
        <w:color w:val="000000" w:themeColor="text1"/>
      </w:rPr>
      <w:tblPr/>
      <w:tcPr>
        <w:shd w:val="clear" w:color="auto" w:fill="E7EFAB" w:themeFill="accent1" w:themeFillTint="66"/>
      </w:tcPr>
    </w:tblStylePr>
    <w:tblStylePr w:type="firstCol">
      <w:rPr>
        <w:color w:val="C4D92E" w:themeColor="accent1"/>
      </w:rPr>
      <w:tblPr/>
      <w:tcPr>
        <w:shd w:val="clear" w:color="auto" w:fill="C4D92E" w:themeFill="accent1"/>
      </w:tcPr>
    </w:tblStylePr>
    <w:tblStylePr w:type="lastCol">
      <w:rPr>
        <w:color w:val="FFFFFF" w:themeColor="background1"/>
      </w:rPr>
      <w:tblPr/>
      <w:tcPr>
        <w:shd w:val="clear" w:color="auto" w:fill="C4D92E" w:themeFill="accent1"/>
      </w:tcPr>
    </w:tblStylePr>
    <w:tblStylePr w:type="band1Vert">
      <w:tblPr/>
      <w:tcPr>
        <w:shd w:val="clear" w:color="auto" w:fill="00B398" w:themeFill="accent5"/>
      </w:tcPr>
    </w:tblStylePr>
    <w:tblStylePr w:type="band2Vert">
      <w:tblPr/>
      <w:tcPr>
        <w:shd w:val="clear" w:color="auto" w:fill="00B398" w:themeFill="accent5"/>
      </w:tcPr>
    </w:tblStylePr>
    <w:tblStylePr w:type="band1Horz">
      <w:tblPr/>
      <w:tcPr>
        <w:shd w:val="clear" w:color="auto" w:fill="00B398" w:themeFill="accent5"/>
      </w:tcPr>
    </w:tblStylePr>
    <w:tblStylePr w:type="band2Horz">
      <w:tblPr/>
      <w:tcPr>
        <w:shd w:val="clear" w:color="auto" w:fill="00B398" w:themeFill="accent5"/>
      </w:tcPr>
    </w:tblStylePr>
  </w:style>
  <w:style w:type="table" w:styleId="ColorfulList-Accent1">
    <w:name w:val="Colorful List Accent 1"/>
    <w:basedOn w:val="TableNormal"/>
    <w:uiPriority w:val="72"/>
    <w:rsid w:val="00CB0512"/>
    <w:pPr>
      <w:spacing w:after="0" w:line="240" w:lineRule="auto"/>
    </w:pPr>
    <w:rPr>
      <w:color w:val="000000" w:themeColor="text1"/>
      <w:lang w:val="en-US"/>
    </w:rPr>
    <w:tblPr>
      <w:tblStyleRowBandSize w:val="1"/>
      <w:tblStyleColBandSize w:val="1"/>
    </w:tblPr>
    <w:tcPr>
      <w:shd w:val="clear" w:color="auto" w:fill="F9FBEA" w:themeFill="accent1" w:themeFillTint="19"/>
      <w:vAlign w:val="center"/>
    </w:tcPr>
    <w:tblStylePr w:type="firstRow">
      <w:rPr>
        <w:b/>
        <w:bCs/>
        <w:color w:val="FFFFFF" w:themeColor="background1"/>
      </w:rPr>
      <w:tblPr/>
      <w:tcPr>
        <w:shd w:val="clear" w:color="auto" w:fill="C4D92E" w:themeFill="accent1"/>
      </w:tcPr>
    </w:tblStylePr>
    <w:tblStylePr w:type="lastRow">
      <w:rPr>
        <w:b/>
        <w:bCs/>
        <w:color w:val="F0D4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0F5CB" w:themeFill="accent1" w:themeFillTint="3F"/>
      </w:tcPr>
    </w:tblStylePr>
    <w:tblStylePr w:type="band1Horz">
      <w:tblPr/>
      <w:tcPr>
        <w:shd w:val="clear" w:color="auto" w:fill="00B398" w:themeFill="accent5"/>
      </w:tcPr>
    </w:tblStylePr>
    <w:tblStylePr w:type="band2Horz">
      <w:tblPr/>
      <w:tcPr>
        <w:shd w:val="clear" w:color="auto" w:fill="BCFFF4" w:themeFill="accent5" w:themeFillTint="33"/>
      </w:tcPr>
    </w:tblStylePr>
  </w:style>
  <w:style w:type="table" w:styleId="ColorfulShading-Accent1">
    <w:name w:val="Colorful Shading Accent 1"/>
    <w:basedOn w:val="TableNormal"/>
    <w:uiPriority w:val="71"/>
    <w:rsid w:val="00CB0512"/>
    <w:pPr>
      <w:spacing w:after="0" w:line="240" w:lineRule="auto"/>
    </w:pPr>
    <w:rPr>
      <w:color w:val="000000" w:themeColor="text1"/>
      <w:lang w:val="en-US"/>
    </w:rPr>
    <w:tblPr>
      <w:tblStyleRowBandSize w:val="1"/>
      <w:tblStyleColBandSize w:val="1"/>
      <w:tblBorders>
        <w:bottom w:val="single" w:sz="12" w:space="0" w:color="FFE72E" w:themeColor="accent2"/>
      </w:tblBorders>
    </w:tblPr>
    <w:tcPr>
      <w:shd w:val="clear" w:color="auto" w:fill="F9FBEA" w:themeFill="accent1" w:themeFillTint="19"/>
      <w:vAlign w:val="center"/>
    </w:tcPr>
    <w:tblStylePr w:type="firstRow">
      <w:pPr>
        <w:jc w:val="left"/>
      </w:pPr>
      <w:rPr>
        <w:b/>
        <w:bCs/>
      </w:rPr>
      <w:tblPr/>
      <w:tcPr>
        <w:tcBorders>
          <w:top w:val="nil"/>
          <w:left w:val="nil"/>
          <w:bottom w:val="single" w:sz="12" w:space="0" w:color="FFE72E" w:themeColor="accent2"/>
          <w:right w:val="nil"/>
          <w:insideH w:val="nil"/>
          <w:insideV w:val="nil"/>
        </w:tcBorders>
        <w:shd w:val="clear" w:color="auto" w:fill="FFFFFF" w:themeFill="background1"/>
        <w:vAlign w:val="center"/>
      </w:tcPr>
    </w:tblStylePr>
    <w:tblStylePr w:type="lastRow">
      <w:rPr>
        <w:b/>
        <w:bCs/>
        <w:color w:val="FFFFFF" w:themeColor="background1"/>
      </w:rPr>
      <w:tblPr/>
      <w:tcPr>
        <w:tcBorders>
          <w:top w:val="single" w:sz="6" w:space="0" w:color="FFFFFF" w:themeColor="background1"/>
        </w:tcBorders>
        <w:shd w:val="clear" w:color="auto" w:fill="778518" w:themeFill="accent1" w:themeFillShade="99"/>
      </w:tcPr>
    </w:tblStylePr>
    <w:tblStylePr w:type="firstCol">
      <w:rPr>
        <w:color w:val="FFFFFF" w:themeColor="background1"/>
      </w:rPr>
      <w:tblPr/>
      <w:tcPr>
        <w:tcBorders>
          <w:top w:val="nil"/>
          <w:left w:val="nil"/>
          <w:bottom w:val="nil"/>
          <w:right w:val="nil"/>
          <w:insideH w:val="single" w:sz="4" w:space="0" w:color="778518" w:themeColor="accent1" w:themeShade="99"/>
          <w:insideV w:val="nil"/>
        </w:tcBorders>
        <w:shd w:val="clear" w:color="auto" w:fill="77851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778518" w:themeFill="accent1" w:themeFillShade="99"/>
      </w:tcPr>
    </w:tblStylePr>
    <w:tblStylePr w:type="band1Vert">
      <w:tblPr/>
      <w:tcPr>
        <w:shd w:val="clear" w:color="auto" w:fill="00B398" w:themeFill="accent5"/>
      </w:tcPr>
    </w:tblStylePr>
    <w:tblStylePr w:type="band2Vert">
      <w:tblPr/>
      <w:tcPr>
        <w:shd w:val="clear" w:color="auto" w:fill="A2D64E"/>
      </w:tcPr>
    </w:tblStylePr>
    <w:tblStylePr w:type="band1Horz">
      <w:tblPr/>
      <w:tcPr>
        <w:shd w:val="clear" w:color="auto" w:fill="00B398" w:themeFill="accent5"/>
      </w:tcPr>
    </w:tblStylePr>
    <w:tblStylePr w:type="band2Horz">
      <w:tblPr/>
      <w:tcPr>
        <w:shd w:val="clear" w:color="auto" w:fill="A2D64E"/>
      </w:tcPr>
    </w:tblStylePr>
    <w:tblStylePr w:type="neCell">
      <w:rPr>
        <w:color w:val="000000" w:themeColor="text1"/>
      </w:rPr>
    </w:tblStylePr>
    <w:tblStylePr w:type="nwCell">
      <w:rPr>
        <w:color w:val="000000" w:themeColor="text1"/>
      </w:rPr>
    </w:tblStylePr>
  </w:style>
  <w:style w:type="table" w:styleId="DarkList-Accent1">
    <w:name w:val="Dark List Accent 1"/>
    <w:basedOn w:val="TableNormal"/>
    <w:uiPriority w:val="70"/>
    <w:rsid w:val="00CB0512"/>
    <w:pPr>
      <w:spacing w:after="0" w:line="240" w:lineRule="auto"/>
    </w:pPr>
    <w:rPr>
      <w:color w:val="FFFFFF" w:themeColor="background1"/>
      <w:lang w:val="en-US"/>
    </w:rPr>
    <w:tblPr>
      <w:tblStyleRowBandSize w:val="1"/>
      <w:tblStyleColBandSize w:val="1"/>
    </w:tblPr>
    <w:tcPr>
      <w:shd w:val="clear" w:color="auto" w:fill="C4D92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36E1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95A61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95A61E" w:themeFill="accent1" w:themeFillShade="BF"/>
      </w:tcPr>
    </w:tblStylePr>
    <w:tblStylePr w:type="band1Vert">
      <w:tblPr/>
      <w:tcPr>
        <w:tcBorders>
          <w:top w:val="nil"/>
          <w:left w:val="nil"/>
          <w:bottom w:val="nil"/>
          <w:right w:val="nil"/>
          <w:insideH w:val="nil"/>
          <w:insideV w:val="nil"/>
        </w:tcBorders>
        <w:shd w:val="clear" w:color="auto" w:fill="95A61E" w:themeFill="accent1" w:themeFillShade="BF"/>
      </w:tcPr>
    </w:tblStylePr>
    <w:tblStylePr w:type="band1Horz">
      <w:tblPr/>
      <w:tcPr>
        <w:tcBorders>
          <w:top w:val="nil"/>
          <w:left w:val="nil"/>
          <w:bottom w:val="nil"/>
          <w:right w:val="nil"/>
          <w:insideH w:val="nil"/>
          <w:insideV w:val="nil"/>
        </w:tcBorders>
        <w:shd w:val="clear" w:color="auto" w:fill="95A61E" w:themeFill="accent1" w:themeFillShade="BF"/>
      </w:tcPr>
    </w:tblStylePr>
  </w:style>
  <w:style w:type="paragraph" w:customStyle="1" w:styleId="Appendix">
    <w:name w:val="Appendix"/>
    <w:basedOn w:val="Normal"/>
    <w:next w:val="Normal"/>
    <w:link w:val="AppendixChar"/>
    <w:semiHidden/>
    <w:qFormat/>
    <w:rsid w:val="00CB0512"/>
    <w:pPr>
      <w:keepLines/>
      <w:pageBreakBefore/>
      <w:framePr w:w="9072" w:h="3306" w:wrap="notBeside" w:vAnchor="text" w:hAnchor="margin" w:y="1"/>
      <w:spacing w:before="0" w:after="113" w:line="240" w:lineRule="auto"/>
    </w:pPr>
    <w:rPr>
      <w:rFonts w:asciiTheme="majorHAnsi" w:eastAsiaTheme="majorEastAsia" w:hAnsiTheme="majorHAnsi" w:cstheme="majorHAnsi"/>
      <w:b/>
      <w:bCs/>
      <w:color w:val="C4D92E" w:themeColor="accent1"/>
      <w:spacing w:val="5"/>
      <w:kern w:val="28"/>
      <w:sz w:val="70"/>
      <w:szCs w:val="70"/>
      <w:lang w:val="en-US"/>
    </w:rPr>
  </w:style>
  <w:style w:type="character" w:customStyle="1" w:styleId="AppendixChar">
    <w:name w:val="Appendix Char"/>
    <w:basedOn w:val="DefaultParagraphFont"/>
    <w:link w:val="Appendix"/>
    <w:semiHidden/>
    <w:rsid w:val="0093683E"/>
    <w:rPr>
      <w:rFonts w:asciiTheme="majorHAnsi" w:eastAsiaTheme="majorEastAsia" w:hAnsiTheme="majorHAnsi" w:cstheme="majorHAnsi"/>
      <w:b/>
      <w:bCs/>
      <w:color w:val="C4D92E" w:themeColor="accent1"/>
      <w:spacing w:val="5"/>
      <w:kern w:val="28"/>
      <w:sz w:val="70"/>
      <w:szCs w:val="70"/>
      <w:lang w:val="en-US"/>
    </w:rPr>
  </w:style>
  <w:style w:type="paragraph" w:styleId="NormalIndent">
    <w:name w:val="Normal Indent"/>
    <w:basedOn w:val="Normal"/>
    <w:uiPriority w:val="99"/>
    <w:semiHidden/>
    <w:unhideWhenUsed/>
    <w:rsid w:val="00CB0512"/>
    <w:pPr>
      <w:spacing w:before="0" w:after="0" w:line="240" w:lineRule="auto"/>
      <w:ind w:left="720"/>
    </w:pPr>
    <w:rPr>
      <w:rFonts w:cs="Arial"/>
      <w:sz w:val="18"/>
      <w:szCs w:val="20"/>
      <w:lang w:val="en-GB"/>
    </w:rPr>
  </w:style>
  <w:style w:type="table" w:styleId="LightShading">
    <w:name w:val="Light Shading"/>
    <w:basedOn w:val="TableNormal"/>
    <w:uiPriority w:val="60"/>
    <w:rsid w:val="00CB0512"/>
    <w:pPr>
      <w:spacing w:after="0" w:line="240" w:lineRule="auto"/>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ommentSubject">
    <w:name w:val="annotation subject"/>
    <w:basedOn w:val="Normal"/>
    <w:link w:val="CommentSubjectChar"/>
    <w:uiPriority w:val="99"/>
    <w:semiHidden/>
    <w:unhideWhenUsed/>
    <w:rsid w:val="00201DD5"/>
    <w:rPr>
      <w:b/>
      <w:bCs/>
    </w:rPr>
  </w:style>
  <w:style w:type="character" w:customStyle="1" w:styleId="CommentSubjectChar">
    <w:name w:val="Comment Subject Char"/>
    <w:basedOn w:val="DefaultParagraphFont"/>
    <w:link w:val="CommentSubject"/>
    <w:uiPriority w:val="99"/>
    <w:semiHidden/>
    <w:rsid w:val="00201DD5"/>
    <w:rPr>
      <w:rFonts w:ascii="Arial" w:hAnsi="Arial" w:cs="Arial"/>
      <w:b/>
      <w:bCs/>
      <w:sz w:val="20"/>
      <w:szCs w:val="20"/>
      <w:lang w:val="en-GB"/>
    </w:rPr>
  </w:style>
  <w:style w:type="paragraph" w:styleId="Revision">
    <w:name w:val="Revision"/>
    <w:hidden/>
    <w:uiPriority w:val="99"/>
    <w:semiHidden/>
    <w:rsid w:val="00CB0512"/>
    <w:pPr>
      <w:spacing w:after="0" w:line="240" w:lineRule="auto"/>
    </w:pPr>
    <w:rPr>
      <w:rFonts w:ascii="Arial" w:hAnsi="Arial" w:cs="Arial"/>
      <w:sz w:val="18"/>
      <w:szCs w:val="20"/>
      <w:lang w:val="en-GB"/>
    </w:rPr>
  </w:style>
  <w:style w:type="paragraph" w:styleId="NormalWeb">
    <w:name w:val="Normal (Web)"/>
    <w:basedOn w:val="Normal"/>
    <w:uiPriority w:val="99"/>
    <w:semiHidden/>
    <w:unhideWhenUsed/>
    <w:rsid w:val="00CB0512"/>
    <w:pPr>
      <w:spacing w:before="100" w:beforeAutospacing="1" w:after="100" w:afterAutospacing="1" w:line="240" w:lineRule="auto"/>
    </w:pPr>
    <w:rPr>
      <w:rFonts w:ascii="Times New Roman" w:eastAsiaTheme="minorEastAsia" w:hAnsi="Times New Roman" w:cs="Times New Roman"/>
      <w:sz w:val="24"/>
      <w:szCs w:val="24"/>
      <w:lang w:eastAsia="en-AU"/>
    </w:rPr>
  </w:style>
  <w:style w:type="numbering" w:customStyle="1" w:styleId="NoList1">
    <w:name w:val="No List1"/>
    <w:next w:val="NoList"/>
    <w:uiPriority w:val="99"/>
    <w:semiHidden/>
    <w:unhideWhenUsed/>
    <w:rsid w:val="00CB0512"/>
  </w:style>
  <w:style w:type="table" w:customStyle="1" w:styleId="MediumGrid1-Accent51">
    <w:name w:val="Medium Grid 1 - Accent 51"/>
    <w:basedOn w:val="TableNormal"/>
    <w:next w:val="MediumGrid1-Accent5"/>
    <w:uiPriority w:val="67"/>
    <w:rsid w:val="00CB0512"/>
    <w:pPr>
      <w:spacing w:after="0" w:line="240" w:lineRule="auto"/>
    </w:pPr>
    <w:rPr>
      <w:lang w:val="en-US"/>
    </w:rPr>
    <w:tblPr>
      <w:tblStyleRowBandSize w:val="1"/>
      <w:tblStyleColBandSize w:val="1"/>
      <w:tblBorders>
        <w:top w:val="single" w:sz="8" w:space="0" w:color="D2F2FF"/>
        <w:left w:val="single" w:sz="8" w:space="0" w:color="D2F2FF"/>
        <w:bottom w:val="single" w:sz="8" w:space="0" w:color="D2F2FF"/>
        <w:right w:val="single" w:sz="8" w:space="0" w:color="D2F2FF"/>
        <w:insideH w:val="single" w:sz="8" w:space="0" w:color="D2F2FF"/>
        <w:insideV w:val="single" w:sz="8" w:space="0" w:color="D2F2FF"/>
      </w:tblBorders>
    </w:tblPr>
    <w:tcPr>
      <w:shd w:val="clear" w:color="auto" w:fill="F0FAFF"/>
    </w:tcPr>
    <w:tblStylePr w:type="firstRow">
      <w:rPr>
        <w:b/>
        <w:bCs/>
      </w:rPr>
      <w:tblPr/>
      <w:tcPr>
        <w:shd w:val="clear" w:color="auto" w:fill="55BCFF"/>
      </w:tcPr>
    </w:tblStylePr>
    <w:tblStylePr w:type="lastRow">
      <w:rPr>
        <w:b/>
        <w:bCs/>
      </w:rPr>
      <w:tblPr/>
      <w:tcPr>
        <w:tcBorders>
          <w:top w:val="single" w:sz="18" w:space="0" w:color="D2F2FF"/>
        </w:tcBorders>
      </w:tcPr>
    </w:tblStylePr>
    <w:tblStylePr w:type="firstCol">
      <w:rPr>
        <w:b/>
        <w:bCs/>
      </w:rPr>
    </w:tblStylePr>
    <w:tblStylePr w:type="lastCol">
      <w:rPr>
        <w:b/>
        <w:bCs/>
      </w:rPr>
    </w:tblStylePr>
    <w:tblStylePr w:type="band1Vert">
      <w:tblPr/>
      <w:tcPr>
        <w:shd w:val="clear" w:color="auto" w:fill="E1F6FF"/>
      </w:tcPr>
    </w:tblStylePr>
    <w:tblStylePr w:type="band1Horz">
      <w:tblPr/>
      <w:tcPr>
        <w:shd w:val="clear" w:color="auto" w:fill="E1F6FF"/>
      </w:tcPr>
    </w:tblStylePr>
  </w:style>
  <w:style w:type="table" w:customStyle="1" w:styleId="ColorfulGrid-Accent51">
    <w:name w:val="Colorful Grid - Accent 51"/>
    <w:basedOn w:val="TableNormal"/>
    <w:next w:val="ColorfulGrid-Accent5"/>
    <w:uiPriority w:val="73"/>
    <w:rsid w:val="00CB0512"/>
    <w:pPr>
      <w:spacing w:after="0" w:line="240" w:lineRule="auto"/>
    </w:pPr>
    <w:rPr>
      <w:color w:val="353D30"/>
      <w:lang w:val="en-US"/>
    </w:rPr>
    <w:tblPr>
      <w:tblStyleRowBandSize w:val="1"/>
      <w:tblStyleColBandSize w:val="1"/>
      <w:tblBorders>
        <w:insideH w:val="single" w:sz="4" w:space="0" w:color="FFFFFF"/>
      </w:tblBorders>
    </w:tblPr>
    <w:tcPr>
      <w:shd w:val="clear" w:color="auto" w:fill="F3FBFF"/>
    </w:tcPr>
    <w:tblStylePr w:type="firstRow">
      <w:rPr>
        <w:b/>
        <w:bCs/>
      </w:rPr>
      <w:tblPr/>
      <w:tcPr>
        <w:shd w:val="clear" w:color="auto" w:fill="E7F8FF"/>
      </w:tcPr>
    </w:tblStylePr>
    <w:tblStylePr w:type="lastRow">
      <w:rPr>
        <w:b/>
        <w:bCs/>
        <w:color w:val="353D30"/>
      </w:rPr>
      <w:tblPr/>
      <w:tcPr>
        <w:shd w:val="clear" w:color="auto" w:fill="E7F8FF"/>
      </w:tcPr>
    </w:tblStylePr>
    <w:tblStylePr w:type="firstCol">
      <w:rPr>
        <w:color w:val="FFFFFF"/>
      </w:rPr>
      <w:tblPr/>
      <w:tcPr>
        <w:shd w:val="clear" w:color="auto" w:fill="52CCFF"/>
      </w:tcPr>
    </w:tblStylePr>
    <w:tblStylePr w:type="lastCol">
      <w:rPr>
        <w:color w:val="FFFFFF"/>
      </w:rPr>
      <w:tblPr/>
      <w:tcPr>
        <w:shd w:val="clear" w:color="auto" w:fill="52CCFF"/>
      </w:tcPr>
    </w:tblStylePr>
    <w:tblStylePr w:type="band1Vert">
      <w:tblPr/>
      <w:tcPr>
        <w:shd w:val="clear" w:color="auto" w:fill="E1F6FF"/>
      </w:tcPr>
    </w:tblStylePr>
    <w:tblStylePr w:type="band1Horz">
      <w:tblPr/>
      <w:tcPr>
        <w:shd w:val="clear" w:color="auto" w:fill="E1F6FF"/>
      </w:tcPr>
    </w:tblStylePr>
  </w:style>
  <w:style w:type="table" w:customStyle="1" w:styleId="LightShading-Accent41">
    <w:name w:val="Light Shading - Accent 41"/>
    <w:basedOn w:val="TableNormal"/>
    <w:next w:val="LightShading-Accent4"/>
    <w:uiPriority w:val="60"/>
    <w:rsid w:val="00CB0512"/>
    <w:pPr>
      <w:spacing w:after="0" w:line="240" w:lineRule="auto"/>
    </w:pPr>
    <w:rPr>
      <w:color w:val="B0B5B0"/>
      <w:lang w:val="en-US"/>
    </w:rPr>
    <w:tblPr>
      <w:tblStyleRowBandSize w:val="1"/>
      <w:tblStyleColBandSize w:val="1"/>
      <w:tblBorders>
        <w:top w:val="single" w:sz="8" w:space="0" w:color="EFF0EF"/>
        <w:bottom w:val="single" w:sz="8" w:space="0" w:color="EFF0EF"/>
      </w:tblBorders>
    </w:tblPr>
    <w:tblStylePr w:type="firstRow">
      <w:pPr>
        <w:spacing w:before="0" w:after="0" w:line="240" w:lineRule="auto"/>
      </w:pPr>
      <w:rPr>
        <w:b/>
        <w:bCs/>
      </w:rPr>
      <w:tblPr/>
      <w:tcPr>
        <w:tcBorders>
          <w:top w:val="single" w:sz="8" w:space="0" w:color="EFF0EF"/>
          <w:left w:val="nil"/>
          <w:bottom w:val="single" w:sz="8" w:space="0" w:color="EFF0EF"/>
          <w:right w:val="nil"/>
          <w:insideH w:val="nil"/>
          <w:insideV w:val="nil"/>
        </w:tcBorders>
      </w:tcPr>
    </w:tblStylePr>
    <w:tblStylePr w:type="lastRow">
      <w:pPr>
        <w:spacing w:before="0" w:after="0" w:line="240" w:lineRule="auto"/>
      </w:pPr>
      <w:rPr>
        <w:b/>
        <w:bCs/>
      </w:rPr>
      <w:tblPr/>
      <w:tcPr>
        <w:tcBorders>
          <w:top w:val="single" w:sz="8" w:space="0" w:color="EFF0EF"/>
          <w:left w:val="nil"/>
          <w:bottom w:val="single" w:sz="8" w:space="0" w:color="EFF0EF"/>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FBFB"/>
      </w:tcPr>
    </w:tblStylePr>
    <w:tblStylePr w:type="band1Horz">
      <w:tblPr/>
      <w:tcPr>
        <w:tcBorders>
          <w:left w:val="nil"/>
          <w:right w:val="nil"/>
          <w:insideH w:val="nil"/>
          <w:insideV w:val="nil"/>
        </w:tcBorders>
        <w:shd w:val="clear" w:color="auto" w:fill="FBFBFB"/>
      </w:tcPr>
    </w:tblStylePr>
  </w:style>
  <w:style w:type="table" w:customStyle="1" w:styleId="LightShading-Accent11">
    <w:name w:val="Light Shading - Accent 11"/>
    <w:basedOn w:val="TableNormal"/>
    <w:next w:val="LightShading-Accent1"/>
    <w:uiPriority w:val="60"/>
    <w:rsid w:val="00CB0512"/>
    <w:pPr>
      <w:spacing w:after="0" w:line="240" w:lineRule="auto"/>
    </w:pPr>
    <w:rPr>
      <w:color w:val="0099FE"/>
      <w:lang w:val="en-US"/>
    </w:rPr>
    <w:tblPr>
      <w:tblStyleRowBandSize w:val="1"/>
      <w:tblStyleColBandSize w:val="1"/>
      <w:tblBorders>
        <w:top w:val="single" w:sz="8" w:space="0" w:color="55BCFF"/>
        <w:bottom w:val="single" w:sz="8" w:space="0" w:color="55BCFF"/>
      </w:tblBorders>
    </w:tblPr>
    <w:tblStylePr w:type="firstRow">
      <w:pPr>
        <w:spacing w:before="0" w:after="0" w:line="240" w:lineRule="auto"/>
      </w:pPr>
      <w:rPr>
        <w:b/>
        <w:bCs/>
      </w:rPr>
      <w:tblPr/>
      <w:tcPr>
        <w:tcBorders>
          <w:top w:val="single" w:sz="8" w:space="0" w:color="55BCFF"/>
          <w:left w:val="nil"/>
          <w:bottom w:val="single" w:sz="8" w:space="0" w:color="55BCFF"/>
          <w:right w:val="nil"/>
          <w:insideH w:val="nil"/>
          <w:insideV w:val="nil"/>
        </w:tcBorders>
      </w:tcPr>
    </w:tblStylePr>
    <w:tblStylePr w:type="lastRow">
      <w:pPr>
        <w:spacing w:before="0" w:after="0" w:line="240" w:lineRule="auto"/>
      </w:pPr>
      <w:rPr>
        <w:b/>
        <w:bCs/>
      </w:rPr>
      <w:tblPr/>
      <w:tcPr>
        <w:tcBorders>
          <w:top w:val="single" w:sz="8" w:space="0" w:color="55BCFF"/>
          <w:left w:val="nil"/>
          <w:bottom w:val="single" w:sz="8" w:space="0" w:color="55BCFF"/>
          <w:right w:val="nil"/>
          <w:insideH w:val="nil"/>
          <w:insideV w:val="nil"/>
        </w:tcBorders>
      </w:tcPr>
    </w:tblStylePr>
    <w:tblStylePr w:type="firstCol">
      <w:rPr>
        <w:b/>
        <w:bCs/>
      </w:rPr>
    </w:tblStylePr>
    <w:tblStylePr w:type="lastCol">
      <w:rPr>
        <w:b/>
        <w:bCs/>
      </w:rPr>
    </w:tblStylePr>
    <w:tblStylePr w:type="band1Vert">
      <w:tblPr/>
      <w:tcPr>
        <w:shd w:val="clear" w:color="auto" w:fill="C4EEFF"/>
      </w:tcPr>
    </w:tblStylePr>
    <w:tblStylePr w:type="band1Horz">
      <w:tblPr/>
      <w:tcPr>
        <w:shd w:val="clear" w:color="auto" w:fill="C4EEFF"/>
      </w:tcPr>
    </w:tblStylePr>
  </w:style>
  <w:style w:type="table" w:customStyle="1" w:styleId="LightList-Accent11">
    <w:name w:val="Light List - Accent 11"/>
    <w:basedOn w:val="TableNormal"/>
    <w:next w:val="LightList-Accent1"/>
    <w:uiPriority w:val="61"/>
    <w:rsid w:val="00CB0512"/>
    <w:pPr>
      <w:spacing w:after="0" w:line="240" w:lineRule="auto"/>
    </w:pPr>
    <w:rPr>
      <w:lang w:val="en-US"/>
    </w:rPr>
    <w:tblPr>
      <w:tblStyleRowBandSize w:val="1"/>
      <w:tblStyleColBandSize w:val="1"/>
      <w:tblBorders>
        <w:top w:val="single" w:sz="8" w:space="0" w:color="55BCFF"/>
        <w:left w:val="single" w:sz="8" w:space="0" w:color="55BCFF"/>
        <w:bottom w:val="single" w:sz="8" w:space="0" w:color="55BCFF"/>
        <w:right w:val="single" w:sz="8" w:space="0" w:color="55BCFF"/>
      </w:tblBorders>
    </w:tblPr>
    <w:tblStylePr w:type="firstRow">
      <w:pPr>
        <w:spacing w:before="0" w:after="0" w:line="240" w:lineRule="auto"/>
      </w:pPr>
      <w:rPr>
        <w:b/>
        <w:bCs/>
        <w:color w:val="FFFFFF"/>
      </w:rPr>
      <w:tblPr/>
      <w:tcPr>
        <w:shd w:val="clear" w:color="auto" w:fill="55BCFF"/>
      </w:tcPr>
    </w:tblStylePr>
    <w:tblStylePr w:type="lastRow">
      <w:pPr>
        <w:spacing w:before="0" w:after="0" w:line="240" w:lineRule="auto"/>
      </w:pPr>
      <w:rPr>
        <w:b/>
        <w:bCs/>
      </w:rPr>
      <w:tblPr/>
      <w:tcPr>
        <w:tcBorders>
          <w:top w:val="double" w:sz="6" w:space="0" w:color="55BCFF"/>
          <w:left w:val="single" w:sz="8" w:space="0" w:color="55BCFF"/>
          <w:bottom w:val="single" w:sz="8" w:space="0" w:color="55BCFF"/>
          <w:right w:val="single" w:sz="8" w:space="0" w:color="55BCFF"/>
        </w:tcBorders>
      </w:tcPr>
    </w:tblStylePr>
    <w:tblStylePr w:type="firstCol">
      <w:rPr>
        <w:b/>
        <w:bCs/>
      </w:rPr>
    </w:tblStylePr>
    <w:tblStylePr w:type="lastCol">
      <w:rPr>
        <w:b/>
        <w:bCs/>
      </w:rPr>
    </w:tblStylePr>
    <w:tblStylePr w:type="band1Vert">
      <w:tblPr/>
      <w:tcPr>
        <w:tcBorders>
          <w:top w:val="single" w:sz="8" w:space="0" w:color="55BCFF"/>
          <w:left w:val="single" w:sz="8" w:space="0" w:color="55BCFF"/>
          <w:bottom w:val="single" w:sz="8" w:space="0" w:color="55BCFF"/>
          <w:right w:val="single" w:sz="8" w:space="0" w:color="55BCFF"/>
        </w:tcBorders>
      </w:tcPr>
    </w:tblStylePr>
    <w:tblStylePr w:type="band1Horz">
      <w:tblPr/>
      <w:tcPr>
        <w:tcBorders>
          <w:top w:val="single" w:sz="8" w:space="0" w:color="55BCFF"/>
          <w:left w:val="single" w:sz="8" w:space="0" w:color="55BCFF"/>
          <w:bottom w:val="single" w:sz="8" w:space="0" w:color="55BCFF"/>
          <w:right w:val="single" w:sz="8" w:space="0" w:color="55BCFF"/>
        </w:tcBorders>
      </w:tcPr>
    </w:tblStylePr>
  </w:style>
  <w:style w:type="table" w:customStyle="1" w:styleId="LightGrid-Accent11">
    <w:name w:val="Light Grid - Accent 11"/>
    <w:basedOn w:val="TableNormal"/>
    <w:next w:val="LightGrid-Accent1"/>
    <w:uiPriority w:val="62"/>
    <w:rsid w:val="00CB0512"/>
    <w:pPr>
      <w:spacing w:after="0" w:line="240" w:lineRule="auto"/>
    </w:pPr>
    <w:rPr>
      <w:lang w:val="en-US"/>
    </w:rPr>
    <w:tblPr>
      <w:tblStyleRowBandSize w:val="1"/>
      <w:tblStyleColBandSize w:val="1"/>
      <w:tblBorders>
        <w:top w:val="single" w:sz="8" w:space="0" w:color="55BCFF"/>
        <w:left w:val="single" w:sz="8" w:space="0" w:color="55BCFF"/>
        <w:bottom w:val="single" w:sz="8" w:space="0" w:color="55BCFF"/>
        <w:right w:val="single" w:sz="8" w:space="0" w:color="55BCFF"/>
        <w:insideH w:val="single" w:sz="8" w:space="0" w:color="55BCFF"/>
        <w:insideV w:val="single" w:sz="8" w:space="0" w:color="55BCFF"/>
      </w:tblBorders>
    </w:tblPr>
    <w:tblStylePr w:type="firstRow">
      <w:pPr>
        <w:spacing w:before="0" w:after="0" w:line="240" w:lineRule="auto"/>
      </w:pPr>
      <w:rPr>
        <w:rFonts w:ascii="Arial" w:eastAsia="Times New Roman" w:hAnsi="Arial" w:cs="Times New Roman"/>
        <w:b/>
        <w:bCs/>
      </w:rPr>
      <w:tblPr/>
      <w:tcPr>
        <w:tcBorders>
          <w:top w:val="single" w:sz="8" w:space="0" w:color="55BCFF"/>
          <w:left w:val="single" w:sz="8" w:space="0" w:color="55BCFF"/>
          <w:bottom w:val="single" w:sz="18" w:space="0" w:color="55BCFF"/>
          <w:right w:val="single" w:sz="8" w:space="0" w:color="55BCFF"/>
          <w:insideH w:val="nil"/>
          <w:insideV w:val="single" w:sz="8" w:space="0" w:color="55BCFF"/>
        </w:tcBorders>
      </w:tcPr>
    </w:tblStylePr>
    <w:tblStylePr w:type="lastRow">
      <w:pPr>
        <w:spacing w:before="0" w:after="0" w:line="240" w:lineRule="auto"/>
      </w:pPr>
      <w:rPr>
        <w:rFonts w:ascii="Arial" w:eastAsia="Times New Roman" w:hAnsi="Arial" w:cs="Times New Roman"/>
        <w:b/>
        <w:bCs/>
      </w:rPr>
      <w:tblPr/>
      <w:tcPr>
        <w:tcBorders>
          <w:top w:val="double" w:sz="6" w:space="0" w:color="55BCFF"/>
          <w:left w:val="single" w:sz="8" w:space="0" w:color="55BCFF"/>
          <w:bottom w:val="single" w:sz="8" w:space="0" w:color="55BCFF"/>
          <w:right w:val="single" w:sz="8" w:space="0" w:color="55BCFF"/>
          <w:insideH w:val="nil"/>
          <w:insideV w:val="single" w:sz="8" w:space="0" w:color="55BCFF"/>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55BCFF"/>
          <w:left w:val="single" w:sz="8" w:space="0" w:color="55BCFF"/>
          <w:bottom w:val="single" w:sz="8" w:space="0" w:color="55BCFF"/>
          <w:right w:val="single" w:sz="8" w:space="0" w:color="55BCFF"/>
        </w:tcBorders>
      </w:tcPr>
    </w:tblStylePr>
    <w:tblStylePr w:type="band1Vert">
      <w:tblPr/>
      <w:tcPr>
        <w:shd w:val="clear" w:color="auto" w:fill="C4EEFF"/>
      </w:tcPr>
    </w:tblStylePr>
    <w:tblStylePr w:type="band1Horz">
      <w:tblPr/>
      <w:tcPr>
        <w:shd w:val="clear" w:color="auto" w:fill="C4EEFF"/>
      </w:tcPr>
    </w:tblStylePr>
    <w:tblStylePr w:type="band2Horz">
      <w:tblPr/>
      <w:tcPr>
        <w:tcBorders>
          <w:top w:val="single" w:sz="8" w:space="0" w:color="55BCFF"/>
          <w:left w:val="single" w:sz="8" w:space="0" w:color="55BCFF"/>
          <w:bottom w:val="single" w:sz="8" w:space="0" w:color="55BCFF"/>
          <w:right w:val="single" w:sz="8" w:space="0" w:color="55BCFF"/>
          <w:insideV w:val="single" w:sz="8" w:space="0" w:color="55BCFF"/>
        </w:tcBorders>
      </w:tcPr>
    </w:tblStylePr>
  </w:style>
  <w:style w:type="table" w:customStyle="1" w:styleId="MediumShading1-Accent11">
    <w:name w:val="Medium Shading 1 - Accent 11"/>
    <w:basedOn w:val="TableNormal"/>
    <w:next w:val="MediumShading1-Accent1"/>
    <w:uiPriority w:val="63"/>
    <w:rsid w:val="00CB0512"/>
    <w:pPr>
      <w:spacing w:after="0" w:line="240" w:lineRule="auto"/>
    </w:pPr>
    <w:rPr>
      <w:lang w:val="en-US"/>
    </w:rPr>
    <w:tblPr>
      <w:tblStyleRowBandSize w:val="1"/>
      <w:tblStyleColBandSize w:val="1"/>
      <w:tblBorders>
        <w:top w:val="single" w:sz="8" w:space="0" w:color="7FCCFF"/>
        <w:left w:val="single" w:sz="8" w:space="0" w:color="7FCCFF"/>
        <w:bottom w:val="single" w:sz="8" w:space="0" w:color="7FCCFF"/>
        <w:right w:val="single" w:sz="8" w:space="0" w:color="7FCCFF"/>
        <w:insideH w:val="single" w:sz="8" w:space="0" w:color="7FCCFF"/>
      </w:tblBorders>
    </w:tblPr>
    <w:tblStylePr w:type="firstRow">
      <w:pPr>
        <w:spacing w:before="0" w:after="0" w:line="240" w:lineRule="auto"/>
      </w:pPr>
      <w:rPr>
        <w:b/>
        <w:bCs/>
        <w:color w:val="auto"/>
      </w:rPr>
      <w:tblPr/>
      <w:tcPr>
        <w:tcBorders>
          <w:top w:val="single" w:sz="4" w:space="0" w:color="353D30"/>
          <w:left w:val="single" w:sz="4" w:space="0" w:color="353D30"/>
          <w:bottom w:val="single" w:sz="4" w:space="0" w:color="353D30"/>
          <w:right w:val="single" w:sz="4" w:space="0" w:color="353D30"/>
          <w:insideH w:val="single" w:sz="4" w:space="0" w:color="353D30"/>
          <w:insideV w:val="single" w:sz="4" w:space="0" w:color="353D30"/>
        </w:tcBorders>
        <w:shd w:val="clear" w:color="auto" w:fill="353D30"/>
      </w:tcPr>
    </w:tblStylePr>
    <w:tblStylePr w:type="lastRow">
      <w:pPr>
        <w:spacing w:before="0" w:after="0" w:line="240" w:lineRule="auto"/>
      </w:pPr>
      <w:rPr>
        <w:b/>
        <w:bCs/>
      </w:rPr>
      <w:tblPr/>
      <w:tcPr>
        <w:tcBorders>
          <w:top w:val="single" w:sz="4" w:space="0" w:color="353D30"/>
          <w:left w:val="single" w:sz="4" w:space="0" w:color="353D30"/>
          <w:bottom w:val="single" w:sz="4" w:space="0" w:color="353D30"/>
          <w:right w:val="single" w:sz="4" w:space="0" w:color="353D30"/>
          <w:insideH w:val="single" w:sz="4" w:space="0" w:color="353D30"/>
          <w:insideV w:val="single" w:sz="4" w:space="0" w:color="353D30"/>
          <w:tl2br w:val="nil"/>
          <w:tr2bl w:val="nil"/>
        </w:tcBorders>
      </w:tcPr>
    </w:tblStylePr>
    <w:tblStylePr w:type="firstCol">
      <w:rPr>
        <w:b/>
        <w:bCs/>
      </w:rPr>
    </w:tblStylePr>
    <w:tblStylePr w:type="lastCol">
      <w:rPr>
        <w:b/>
        <w:bCs/>
      </w:rPr>
    </w:tblStylePr>
    <w:tblStylePr w:type="band1Vert">
      <w:tblPr/>
      <w:tcPr>
        <w:tcBorders>
          <w:top w:val="nil"/>
          <w:bottom w:val="single" w:sz="4" w:space="0" w:color="353D30"/>
        </w:tcBorders>
      </w:tcPr>
    </w:tblStylePr>
    <w:tblStylePr w:type="band1Horz">
      <w:tblPr/>
      <w:tcPr>
        <w:tcBorders>
          <w:top w:val="single" w:sz="4" w:space="0" w:color="353D30"/>
          <w:bottom w:val="single" w:sz="4" w:space="0" w:color="353D30"/>
        </w:tcBorders>
        <w:shd w:val="clear" w:color="auto" w:fill="C4EEFF"/>
      </w:tcPr>
    </w:tblStylePr>
    <w:tblStylePr w:type="band2Horz">
      <w:tblPr/>
      <w:tcPr>
        <w:tcBorders>
          <w:top w:val="nil"/>
          <w:bottom w:val="nil"/>
          <w:insideH w:val="nil"/>
          <w:insideV w:val="nil"/>
        </w:tcBorders>
      </w:tcPr>
    </w:tblStylePr>
  </w:style>
  <w:style w:type="table" w:customStyle="1" w:styleId="MediumShading2-Accent11">
    <w:name w:val="Medium Shading 2 - Accent 11"/>
    <w:basedOn w:val="TableNormal"/>
    <w:next w:val="MediumShading2-Accent1"/>
    <w:uiPriority w:val="64"/>
    <w:rsid w:val="00CB0512"/>
    <w:pPr>
      <w:spacing w:after="0" w:line="240" w:lineRule="auto"/>
    </w:pPr>
    <w:rPr>
      <w:lang w:val="en-US"/>
    </w:rPr>
    <w:tblPr>
      <w:tblStyleRowBandSize w:val="1"/>
      <w:tblStyleColBandSize w:val="1"/>
    </w:tblPr>
    <w:tblStylePr w:type="firstRow">
      <w:pPr>
        <w:spacing w:before="0" w:after="0" w:line="240" w:lineRule="auto"/>
      </w:pPr>
      <w:rPr>
        <w:b/>
        <w:bCs/>
        <w:color w:val="FFFFFF"/>
      </w:rPr>
      <w:tblPr/>
      <w:tcPr>
        <w:tcBorders>
          <w:top w:val="nil"/>
          <w:left w:val="nil"/>
          <w:bottom w:val="nil"/>
          <w:right w:val="nil"/>
          <w:insideH w:val="nil"/>
          <w:insideV w:val="nil"/>
          <w:tl2br w:val="nil"/>
          <w:tr2bl w:val="nil"/>
        </w:tcBorders>
        <w:shd w:val="clear" w:color="auto" w:fill="55BCFF"/>
      </w:tcPr>
    </w:tblStylePr>
    <w:tblStylePr w:type="lastRow">
      <w:pPr>
        <w:spacing w:before="0" w:after="0" w:line="240" w:lineRule="auto"/>
      </w:pPr>
      <w:rPr>
        <w:color w:val="auto"/>
      </w:rPr>
      <w:tblPr/>
      <w:tcPr>
        <w:tcBorders>
          <w:top w:val="nil"/>
          <w:left w:val="nil"/>
          <w:bottom w:val="nil"/>
          <w:right w:val="nil"/>
          <w:insideH w:val="nil"/>
          <w:insideV w:val="nil"/>
          <w:tl2br w:val="nil"/>
          <w:tr2bl w:val="nil"/>
        </w:tcBorders>
        <w:shd w:val="clear" w:color="auto" w:fill="FFFFFF"/>
      </w:tcPr>
    </w:tblStylePr>
    <w:tblStylePr w:type="firstCol">
      <w:rPr>
        <w:b/>
        <w:bCs/>
        <w:color w:val="FFFFFF"/>
      </w:rPr>
      <w:tblPr/>
      <w:tcPr>
        <w:tcBorders>
          <w:top w:val="nil"/>
          <w:left w:val="nil"/>
          <w:bottom w:val="nil"/>
          <w:right w:val="nil"/>
          <w:insideH w:val="nil"/>
          <w:insideV w:val="nil"/>
          <w:tl2br w:val="nil"/>
          <w:tr2bl w:val="nil"/>
        </w:tcBorders>
        <w:shd w:val="clear" w:color="auto" w:fill="55BCFF"/>
      </w:tcPr>
    </w:tblStylePr>
    <w:tblStylePr w:type="lastCol">
      <w:rPr>
        <w:b/>
        <w:bCs/>
        <w:color w:val="FFFFFF"/>
      </w:rPr>
      <w:tblPr/>
      <w:tcPr>
        <w:tcBorders>
          <w:left w:val="nil"/>
          <w:right w:val="nil"/>
          <w:insideH w:val="nil"/>
          <w:insideV w:val="nil"/>
        </w:tcBorders>
        <w:shd w:val="clear" w:color="auto" w:fill="55BCFF"/>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nil"/>
          <w:left w:val="nil"/>
          <w:bottom w:val="nil"/>
          <w:right w:val="nil"/>
          <w:insideH w:val="nil"/>
          <w:insideV w:val="nil"/>
          <w:tl2br w:val="nil"/>
          <w:tr2bl w:val="nil"/>
        </w:tcBorders>
      </w:tcPr>
    </w:tblStylePr>
    <w:tblStylePr w:type="nwCell">
      <w:rPr>
        <w:color w:val="FFFFFF"/>
      </w:rPr>
      <w:tblPr/>
      <w:tcPr>
        <w:tcBorders>
          <w:top w:val="nil"/>
          <w:left w:val="nil"/>
          <w:bottom w:val="nil"/>
          <w:right w:val="nil"/>
          <w:insideH w:val="nil"/>
          <w:insideV w:val="nil"/>
          <w:tl2br w:val="nil"/>
          <w:tr2bl w:val="nil"/>
        </w:tcBorders>
      </w:tcPr>
    </w:tblStylePr>
  </w:style>
  <w:style w:type="table" w:customStyle="1" w:styleId="MediumList1-Accent11">
    <w:name w:val="Medium List 1 - Accent 11"/>
    <w:basedOn w:val="TableNormal"/>
    <w:next w:val="MediumList1-Accent1"/>
    <w:uiPriority w:val="65"/>
    <w:rsid w:val="00CB0512"/>
    <w:pPr>
      <w:spacing w:after="0" w:line="240" w:lineRule="auto"/>
    </w:pPr>
    <w:rPr>
      <w:color w:val="353D30"/>
      <w:lang w:val="en-US"/>
    </w:rPr>
    <w:tblPr>
      <w:tblStyleRowBandSize w:val="1"/>
      <w:tblStyleColBandSize w:val="1"/>
      <w:tblBorders>
        <w:top w:val="single" w:sz="8" w:space="0" w:color="55BCFF"/>
        <w:bottom w:val="single" w:sz="8" w:space="0" w:color="55BCFF"/>
      </w:tblBorders>
    </w:tblPr>
    <w:tblStylePr w:type="firstRow">
      <w:rPr>
        <w:rFonts w:ascii="Arial" w:eastAsia="Times New Roman" w:hAnsi="Arial" w:cs="Times New Roman"/>
      </w:rPr>
      <w:tblPr/>
      <w:tcPr>
        <w:tcBorders>
          <w:top w:val="nil"/>
          <w:bottom w:val="single" w:sz="8" w:space="0" w:color="55BCFF"/>
        </w:tcBorders>
      </w:tcPr>
    </w:tblStylePr>
    <w:tblStylePr w:type="lastRow">
      <w:rPr>
        <w:b/>
        <w:bCs/>
        <w:color w:val="009FDA"/>
      </w:rPr>
      <w:tblPr/>
      <w:tcPr>
        <w:tcBorders>
          <w:top w:val="single" w:sz="8" w:space="0" w:color="55BCFF"/>
          <w:bottom w:val="single" w:sz="8" w:space="0" w:color="55BCFF"/>
        </w:tcBorders>
      </w:tcPr>
    </w:tblStylePr>
    <w:tblStylePr w:type="firstCol">
      <w:rPr>
        <w:b/>
        <w:bCs/>
      </w:rPr>
    </w:tblStylePr>
    <w:tblStylePr w:type="lastCol">
      <w:rPr>
        <w:b/>
        <w:bCs/>
      </w:rPr>
      <w:tblPr/>
      <w:tcPr>
        <w:tcBorders>
          <w:top w:val="single" w:sz="8" w:space="0" w:color="55BCFF"/>
          <w:bottom w:val="single" w:sz="8" w:space="0" w:color="55BCFF"/>
        </w:tcBorders>
      </w:tcPr>
    </w:tblStylePr>
    <w:tblStylePr w:type="band1Vert">
      <w:tblPr/>
      <w:tcPr>
        <w:shd w:val="clear" w:color="auto" w:fill="DBF4FF"/>
      </w:tcPr>
    </w:tblStylePr>
    <w:tblStylePr w:type="band1Horz">
      <w:tblPr/>
      <w:tcPr>
        <w:shd w:val="clear" w:color="auto" w:fill="DBF4FF"/>
      </w:tcPr>
    </w:tblStylePr>
  </w:style>
  <w:style w:type="table" w:customStyle="1" w:styleId="MediumList2-Accent11">
    <w:name w:val="Medium List 2 - Accent 11"/>
    <w:basedOn w:val="TableNormal"/>
    <w:next w:val="MediumList2-Accent1"/>
    <w:uiPriority w:val="66"/>
    <w:rsid w:val="00CB0512"/>
    <w:pPr>
      <w:spacing w:after="0" w:line="240" w:lineRule="auto"/>
    </w:pPr>
    <w:rPr>
      <w:rFonts w:ascii="Arial" w:eastAsia="Times New Roman" w:hAnsi="Arial" w:cs="Times New Roman"/>
      <w:color w:val="353D30"/>
      <w:lang w:val="en-US"/>
    </w:rPr>
    <w:tblPr>
      <w:tblStyleRowBandSize w:val="1"/>
      <w:tblStyleColBandSize w:val="1"/>
      <w:tblBorders>
        <w:top w:val="single" w:sz="8" w:space="0" w:color="55BCFF"/>
        <w:left w:val="single" w:sz="8" w:space="0" w:color="55BCFF"/>
        <w:bottom w:val="single" w:sz="8" w:space="0" w:color="55BCFF"/>
        <w:right w:val="single" w:sz="8" w:space="0" w:color="55BCFF"/>
      </w:tblBorders>
    </w:tblPr>
    <w:tblStylePr w:type="firstRow">
      <w:rPr>
        <w:sz w:val="24"/>
        <w:szCs w:val="24"/>
      </w:rPr>
      <w:tblPr/>
      <w:tcPr>
        <w:tcBorders>
          <w:top w:val="nil"/>
          <w:left w:val="nil"/>
          <w:bottom w:val="single" w:sz="18" w:space="0" w:color="55BCFF"/>
          <w:right w:val="nil"/>
          <w:insideH w:val="nil"/>
          <w:insideV w:val="nil"/>
        </w:tcBorders>
        <w:shd w:val="clear" w:color="auto" w:fill="FFFFFF"/>
      </w:tcPr>
    </w:tblStylePr>
    <w:tblStylePr w:type="lastRow">
      <w:tblPr/>
      <w:tcPr>
        <w:tcBorders>
          <w:top w:val="single" w:sz="8" w:space="0" w:color="55BCFF"/>
          <w:left w:val="nil"/>
          <w:bottom w:val="nil"/>
          <w:right w:val="nil"/>
          <w:insideH w:val="nil"/>
          <w:insideV w:val="nil"/>
        </w:tcBorders>
        <w:shd w:val="clear" w:color="auto" w:fill="FFFFFF"/>
      </w:tcPr>
    </w:tblStylePr>
    <w:tblStylePr w:type="firstCol">
      <w:tblPr/>
      <w:tcPr>
        <w:tcBorders>
          <w:top w:val="nil"/>
          <w:left w:val="nil"/>
          <w:bottom w:val="nil"/>
          <w:right w:val="single" w:sz="8" w:space="0" w:color="55BCFF"/>
          <w:insideH w:val="nil"/>
          <w:insideV w:val="nil"/>
        </w:tcBorders>
        <w:shd w:val="clear" w:color="auto" w:fill="FFFFFF"/>
      </w:tcPr>
    </w:tblStylePr>
    <w:tblStylePr w:type="lastCol">
      <w:tblPr/>
      <w:tcPr>
        <w:tcBorders>
          <w:top w:val="nil"/>
          <w:left w:val="single" w:sz="8" w:space="0" w:color="55BCFF"/>
          <w:bottom w:val="nil"/>
          <w:right w:val="nil"/>
          <w:insideH w:val="nil"/>
          <w:insideV w:val="nil"/>
        </w:tcBorders>
        <w:shd w:val="clear" w:color="auto" w:fill="FFFFFF"/>
      </w:tcPr>
    </w:tblStylePr>
    <w:tblStylePr w:type="band1Vert">
      <w:tblPr/>
      <w:tcPr>
        <w:shd w:val="clear" w:color="auto" w:fill="C4EEFF"/>
      </w:tcPr>
    </w:tblStylePr>
    <w:tblStylePr w:type="band1Horz">
      <w:tblPr/>
      <w:tcPr>
        <w:shd w:val="clear" w:color="auto" w:fill="C4EEFF"/>
      </w:tcPr>
    </w:tblStylePr>
    <w:tblStylePr w:type="nwCell">
      <w:tblPr/>
      <w:tcPr>
        <w:shd w:val="clear" w:color="auto" w:fill="FFFFFF"/>
      </w:tcPr>
    </w:tblStylePr>
    <w:tblStylePr w:type="swCell">
      <w:tblPr/>
      <w:tcPr>
        <w:tcBorders>
          <w:top w:val="nil"/>
        </w:tcBorders>
      </w:tcPr>
    </w:tblStylePr>
  </w:style>
  <w:style w:type="table" w:customStyle="1" w:styleId="MediumGrid1-Accent11">
    <w:name w:val="Medium Grid 1 - Accent 11"/>
    <w:basedOn w:val="TableNormal"/>
    <w:next w:val="MediumGrid1-Accent1"/>
    <w:uiPriority w:val="67"/>
    <w:rsid w:val="00CB0512"/>
    <w:pPr>
      <w:spacing w:after="0" w:line="240" w:lineRule="auto"/>
    </w:pPr>
    <w:rPr>
      <w:lang w:val="en-US"/>
    </w:rPr>
    <w:tblPr>
      <w:tblStyleRowBandSize w:val="1"/>
      <w:tblStyleColBandSize w:val="1"/>
      <w:tblBorders>
        <w:top w:val="single" w:sz="2" w:space="0" w:color="55BCFF"/>
        <w:left w:val="single" w:sz="2" w:space="0" w:color="55BCFF"/>
        <w:bottom w:val="single" w:sz="2" w:space="0" w:color="55BCFF"/>
        <w:right w:val="single" w:sz="2" w:space="0" w:color="55BCFF"/>
        <w:insideH w:val="single" w:sz="2" w:space="0" w:color="55BCFF"/>
        <w:insideV w:val="single" w:sz="2" w:space="0" w:color="55BCFF"/>
      </w:tblBorders>
    </w:tblPr>
    <w:tcPr>
      <w:shd w:val="clear" w:color="auto" w:fill="C4EEFF"/>
    </w:tcPr>
    <w:tblStylePr w:type="firstRow">
      <w:rPr>
        <w:b/>
        <w:bCs/>
      </w:rPr>
    </w:tblStylePr>
    <w:tblStylePr w:type="lastRow">
      <w:rPr>
        <w:b/>
        <w:bCs/>
      </w:rPr>
      <w:tblPr/>
      <w:tcPr>
        <w:tcBorders>
          <w:top w:val="single" w:sz="18" w:space="0" w:color="7FCCFF"/>
        </w:tcBorders>
      </w:tcPr>
    </w:tblStylePr>
    <w:tblStylePr w:type="firstCol">
      <w:rPr>
        <w:b/>
        <w:bCs/>
      </w:rPr>
    </w:tblStylePr>
    <w:tblStylePr w:type="lastCol">
      <w:rPr>
        <w:b/>
        <w:bCs/>
      </w:rPr>
    </w:tblStylePr>
    <w:tblStylePr w:type="band1Vert">
      <w:tblPr/>
      <w:tcPr>
        <w:shd w:val="clear" w:color="auto" w:fill="C4EEFF"/>
      </w:tcPr>
    </w:tblStylePr>
    <w:tblStylePr w:type="band1Horz">
      <w:tblPr/>
      <w:tcPr>
        <w:shd w:val="clear" w:color="auto" w:fill="E7F8FF"/>
      </w:tcPr>
    </w:tblStylePr>
  </w:style>
  <w:style w:type="table" w:customStyle="1" w:styleId="MediumGrid2-Accent11">
    <w:name w:val="Medium Grid 2 - Accent 11"/>
    <w:basedOn w:val="TableNormal"/>
    <w:next w:val="MediumGrid2-Accent1"/>
    <w:uiPriority w:val="68"/>
    <w:rsid w:val="00CB0512"/>
    <w:pPr>
      <w:spacing w:after="0" w:line="240" w:lineRule="auto"/>
    </w:pPr>
    <w:rPr>
      <w:rFonts w:ascii="Arial" w:eastAsia="Times New Roman" w:hAnsi="Arial" w:cs="Times New Roman"/>
      <w:color w:val="353D30"/>
      <w:lang w:val="en-US"/>
    </w:rPr>
    <w:tblPr>
      <w:tblStyleRowBandSize w:val="1"/>
      <w:tblStyleColBandSize w:val="1"/>
      <w:tblBorders>
        <w:top w:val="single" w:sz="8" w:space="0" w:color="55BCFF"/>
        <w:left w:val="single" w:sz="8" w:space="0" w:color="55BCFF"/>
        <w:bottom w:val="single" w:sz="8" w:space="0" w:color="55BCFF"/>
        <w:right w:val="single" w:sz="8" w:space="0" w:color="55BCFF"/>
        <w:insideH w:val="single" w:sz="8" w:space="0" w:color="55BCFF"/>
        <w:insideV w:val="single" w:sz="8" w:space="0" w:color="55BCFF"/>
      </w:tblBorders>
    </w:tblPr>
    <w:tcPr>
      <w:shd w:val="clear" w:color="auto" w:fill="FFFFFF"/>
      <w:vAlign w:val="center"/>
    </w:tcPr>
    <w:tblStylePr w:type="firstRow">
      <w:rPr>
        <w:b/>
        <w:bCs/>
        <w:color w:val="353D30"/>
      </w:rPr>
      <w:tblPr/>
      <w:tcPr>
        <w:shd w:val="clear" w:color="auto" w:fill="E7F8FF"/>
      </w:tcPr>
    </w:tblStylePr>
    <w:tblStylePr w:type="lastRow">
      <w:rPr>
        <w:b/>
        <w:bCs/>
        <w:color w:val="353D30"/>
      </w:rPr>
      <w:tblPr/>
      <w:tcPr>
        <w:tcBorders>
          <w:top w:val="single" w:sz="12" w:space="0" w:color="353D30"/>
          <w:left w:val="nil"/>
          <w:bottom w:val="nil"/>
          <w:right w:val="nil"/>
          <w:insideH w:val="nil"/>
          <w:insideV w:val="nil"/>
        </w:tcBorders>
        <w:shd w:val="clear" w:color="auto" w:fill="FFFFFF"/>
      </w:tcPr>
    </w:tblStylePr>
    <w:tblStylePr w:type="firstCol">
      <w:rPr>
        <w:b/>
        <w:bCs/>
        <w:color w:val="353D30"/>
      </w:rPr>
      <w:tblPr/>
      <w:tcPr>
        <w:tcBorders>
          <w:top w:val="nil"/>
          <w:left w:val="nil"/>
          <w:bottom w:val="nil"/>
          <w:right w:val="nil"/>
          <w:insideH w:val="nil"/>
          <w:insideV w:val="nil"/>
        </w:tcBorders>
        <w:shd w:val="clear" w:color="auto" w:fill="FFFFFF"/>
      </w:tcPr>
    </w:tblStylePr>
    <w:tblStylePr w:type="lastCol">
      <w:rPr>
        <w:b w:val="0"/>
        <w:bCs w:val="0"/>
        <w:color w:val="353D30"/>
      </w:rPr>
      <w:tblPr/>
      <w:tcPr>
        <w:shd w:val="clear" w:color="auto" w:fill="E7F8FF"/>
      </w:tcPr>
    </w:tblStylePr>
    <w:tblStylePr w:type="band1Vert">
      <w:tblPr/>
      <w:tcPr>
        <w:shd w:val="clear" w:color="auto" w:fill="C4EEFF"/>
      </w:tcPr>
    </w:tblStylePr>
    <w:tblStylePr w:type="band1Horz">
      <w:tblPr/>
      <w:tcPr>
        <w:shd w:val="clear" w:color="auto" w:fill="C4EEFF"/>
      </w:tcPr>
    </w:tblStylePr>
    <w:tblStylePr w:type="nwCell">
      <w:tblPr/>
      <w:tcPr>
        <w:shd w:val="clear" w:color="auto" w:fill="FFFFFF"/>
      </w:tcPr>
    </w:tblStylePr>
  </w:style>
  <w:style w:type="table" w:customStyle="1" w:styleId="MediumGrid3-Accent11">
    <w:name w:val="Medium Grid 3 - Accent 11"/>
    <w:basedOn w:val="TableNormal"/>
    <w:next w:val="MediumGrid3-Accent1"/>
    <w:uiPriority w:val="69"/>
    <w:rsid w:val="00CB0512"/>
    <w:pPr>
      <w:spacing w:before="40" w:after="40" w:line="240" w:lineRule="auto"/>
    </w:pPr>
    <w:rPr>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5EEFF"/>
      <w:vAlign w:val="center"/>
    </w:tcPr>
    <w:tblStylePr w:type="firstRow">
      <w:pPr>
        <w:jc w:val="left"/>
      </w:pPr>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5BCFF"/>
        <w:vAlign w:val="center"/>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5BCFF"/>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5BCFF"/>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5BCFF"/>
      </w:tcPr>
    </w:tblStylePr>
    <w:tblStylePr w:type="band1Vert">
      <w:tblPr/>
      <w:tcPr>
        <w:shd w:val="clear" w:color="auto" w:fill="A2D64E"/>
      </w:tcPr>
    </w:tblStylePr>
    <w:tblStylePr w:type="band2Vert">
      <w:tblPr/>
      <w:tcPr>
        <w:shd w:val="clear" w:color="auto" w:fill="C4EEFF"/>
      </w:tcPr>
    </w:tblStylePr>
    <w:tblStylePr w:type="band1Horz">
      <w:tblPr/>
      <w:tcPr>
        <w:shd w:val="clear" w:color="auto" w:fill="C4EEFF"/>
      </w:tcPr>
    </w:tblStylePr>
  </w:style>
  <w:style w:type="table" w:customStyle="1" w:styleId="ColorfulGrid-Accent11">
    <w:name w:val="Colorful Grid - Accent 11"/>
    <w:basedOn w:val="TableNormal"/>
    <w:next w:val="ColorfulGrid-Accent1"/>
    <w:uiPriority w:val="73"/>
    <w:rsid w:val="00CB0512"/>
    <w:pPr>
      <w:spacing w:after="0" w:line="240" w:lineRule="auto"/>
    </w:pPr>
    <w:rPr>
      <w:color w:val="353D30"/>
      <w:lang w:val="en-US"/>
    </w:rPr>
    <w:tblPr>
      <w:tblStyleRowBandSize w:val="1"/>
      <w:tblStyleColBandSize w:val="1"/>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tblPr>
    <w:tcPr>
      <w:shd w:val="clear" w:color="auto" w:fill="FFFFFF"/>
      <w:vAlign w:val="center"/>
    </w:tcPr>
    <w:tblStylePr w:type="firstRow">
      <w:rPr>
        <w:b/>
        <w:bCs/>
      </w:rPr>
      <w:tblPr/>
      <w:tcPr>
        <w:tcBorders>
          <w:top w:val="nil"/>
          <w:left w:val="nil"/>
          <w:bottom w:val="nil"/>
          <w:right w:val="nil"/>
          <w:insideH w:val="nil"/>
          <w:insideV w:val="nil"/>
        </w:tcBorders>
        <w:shd w:val="clear" w:color="auto" w:fill="FFFFFF"/>
      </w:tcPr>
    </w:tblStylePr>
    <w:tblStylePr w:type="lastRow">
      <w:rPr>
        <w:b/>
        <w:bCs/>
        <w:color w:val="353D30"/>
      </w:rPr>
      <w:tblPr/>
      <w:tcPr>
        <w:shd w:val="clear" w:color="auto" w:fill="BBE4FF"/>
      </w:tcPr>
    </w:tblStylePr>
    <w:tblStylePr w:type="firstCol">
      <w:rPr>
        <w:color w:val="55BCFF"/>
      </w:rPr>
      <w:tblPr/>
      <w:tcPr>
        <w:shd w:val="clear" w:color="auto" w:fill="55BCFF"/>
      </w:tcPr>
    </w:tblStylePr>
    <w:tblStylePr w:type="lastCol">
      <w:rPr>
        <w:color w:val="FFFFFF"/>
      </w:rPr>
      <w:tblPr/>
      <w:tcPr>
        <w:shd w:val="clear" w:color="auto" w:fill="55BCFF"/>
      </w:tcPr>
    </w:tblStylePr>
    <w:tblStylePr w:type="band1Vert">
      <w:tblPr/>
      <w:tcPr>
        <w:shd w:val="clear" w:color="auto" w:fill="C4EEFF"/>
      </w:tcPr>
    </w:tblStylePr>
    <w:tblStylePr w:type="band2Vert">
      <w:tblPr/>
      <w:tcPr>
        <w:shd w:val="clear" w:color="auto" w:fill="C4EEFF"/>
      </w:tcPr>
    </w:tblStylePr>
    <w:tblStylePr w:type="band1Horz">
      <w:tblPr/>
      <w:tcPr>
        <w:shd w:val="clear" w:color="auto" w:fill="C4EEFF"/>
      </w:tcPr>
    </w:tblStylePr>
    <w:tblStylePr w:type="band2Horz">
      <w:tblPr/>
      <w:tcPr>
        <w:shd w:val="clear" w:color="auto" w:fill="C4EEFF"/>
      </w:tcPr>
    </w:tblStylePr>
  </w:style>
  <w:style w:type="table" w:customStyle="1" w:styleId="ColorfulList-Accent11">
    <w:name w:val="Colorful List - Accent 11"/>
    <w:basedOn w:val="TableNormal"/>
    <w:next w:val="ColorfulList-Accent1"/>
    <w:uiPriority w:val="72"/>
    <w:rsid w:val="00CB0512"/>
    <w:pPr>
      <w:spacing w:after="0" w:line="240" w:lineRule="auto"/>
    </w:pPr>
    <w:rPr>
      <w:color w:val="353D30"/>
      <w:lang w:val="en-US"/>
    </w:rPr>
    <w:tblPr>
      <w:tblStyleRowBandSize w:val="1"/>
      <w:tblStyleColBandSize w:val="1"/>
    </w:tblPr>
    <w:tcPr>
      <w:shd w:val="clear" w:color="auto" w:fill="EEF8FF"/>
      <w:vAlign w:val="center"/>
    </w:tcPr>
    <w:tblStylePr w:type="firstRow">
      <w:rPr>
        <w:b/>
        <w:bCs/>
        <w:color w:val="FFFFFF"/>
      </w:rPr>
      <w:tblPr/>
      <w:tcPr>
        <w:shd w:val="clear" w:color="auto" w:fill="55BCFF"/>
      </w:tcPr>
    </w:tblStylePr>
    <w:tblStylePr w:type="lastRow">
      <w:rPr>
        <w:b/>
        <w:bCs/>
        <w:color w:val="2A3026"/>
      </w:rPr>
      <w:tblPr/>
      <w:tcPr>
        <w:tcBorders>
          <w:top w:val="single" w:sz="12" w:space="0" w:color="353D3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5EEFF"/>
      </w:tcPr>
    </w:tblStylePr>
    <w:tblStylePr w:type="band1Horz">
      <w:tblPr/>
      <w:tcPr>
        <w:shd w:val="clear" w:color="auto" w:fill="C4EEFF"/>
      </w:tcPr>
    </w:tblStylePr>
    <w:tblStylePr w:type="band2Horz">
      <w:tblPr/>
      <w:tcPr>
        <w:shd w:val="clear" w:color="auto" w:fill="F3FBFF"/>
      </w:tcPr>
    </w:tblStylePr>
  </w:style>
  <w:style w:type="table" w:customStyle="1" w:styleId="ColorfulShading-Accent11">
    <w:name w:val="Colorful Shading - Accent 11"/>
    <w:basedOn w:val="TableNormal"/>
    <w:next w:val="ColorfulShading-Accent1"/>
    <w:uiPriority w:val="71"/>
    <w:rsid w:val="00CB0512"/>
    <w:pPr>
      <w:spacing w:after="0" w:line="240" w:lineRule="auto"/>
    </w:pPr>
    <w:rPr>
      <w:color w:val="353D30"/>
      <w:lang w:val="en-US"/>
    </w:rPr>
    <w:tblPr>
      <w:tblStyleRowBandSize w:val="1"/>
      <w:tblStyleColBandSize w:val="1"/>
      <w:tblBorders>
        <w:bottom w:val="single" w:sz="12" w:space="0" w:color="353D30"/>
      </w:tblBorders>
    </w:tblPr>
    <w:tcPr>
      <w:shd w:val="clear" w:color="auto" w:fill="EEF8FF"/>
      <w:vAlign w:val="center"/>
    </w:tcPr>
    <w:tblStylePr w:type="firstRow">
      <w:pPr>
        <w:jc w:val="left"/>
      </w:pPr>
      <w:rPr>
        <w:b/>
        <w:bCs/>
      </w:rPr>
      <w:tblPr/>
      <w:tcPr>
        <w:tcBorders>
          <w:top w:val="nil"/>
          <w:left w:val="nil"/>
          <w:bottom w:val="single" w:sz="12" w:space="0" w:color="353D30"/>
          <w:right w:val="nil"/>
          <w:insideH w:val="nil"/>
          <w:insideV w:val="nil"/>
        </w:tcBorders>
        <w:shd w:val="clear" w:color="auto" w:fill="FFFFFF"/>
        <w:vAlign w:val="center"/>
      </w:tcPr>
    </w:tblStylePr>
    <w:tblStylePr w:type="lastRow">
      <w:rPr>
        <w:b/>
        <w:bCs/>
        <w:color w:val="FFFFFF"/>
      </w:rPr>
      <w:tblPr/>
      <w:tcPr>
        <w:tcBorders>
          <w:top w:val="single" w:sz="6" w:space="0" w:color="FFFFFF"/>
        </w:tcBorders>
        <w:shd w:val="clear" w:color="auto" w:fill="007BCC"/>
      </w:tcPr>
    </w:tblStylePr>
    <w:tblStylePr w:type="firstCol">
      <w:rPr>
        <w:color w:val="FFFFFF"/>
      </w:rPr>
      <w:tblPr/>
      <w:tcPr>
        <w:tcBorders>
          <w:top w:val="nil"/>
          <w:left w:val="nil"/>
          <w:bottom w:val="nil"/>
          <w:right w:val="nil"/>
          <w:insideH w:val="single" w:sz="4" w:space="0" w:color="007BCC"/>
          <w:insideV w:val="nil"/>
        </w:tcBorders>
        <w:shd w:val="clear" w:color="auto" w:fill="007BCC"/>
      </w:tcPr>
    </w:tblStylePr>
    <w:tblStylePr w:type="lastCol">
      <w:rPr>
        <w:color w:val="FFFFFF"/>
      </w:rPr>
      <w:tblPr/>
      <w:tcPr>
        <w:tcBorders>
          <w:top w:val="nil"/>
          <w:left w:val="nil"/>
          <w:bottom w:val="nil"/>
          <w:right w:val="nil"/>
          <w:insideH w:val="nil"/>
          <w:insideV w:val="nil"/>
        </w:tcBorders>
        <w:shd w:val="clear" w:color="auto" w:fill="007BCC"/>
      </w:tcPr>
    </w:tblStylePr>
    <w:tblStylePr w:type="band1Vert">
      <w:tblPr/>
      <w:tcPr>
        <w:shd w:val="clear" w:color="auto" w:fill="C4EEFF"/>
      </w:tcPr>
    </w:tblStylePr>
    <w:tblStylePr w:type="band2Vert">
      <w:tblPr/>
      <w:tcPr>
        <w:shd w:val="clear" w:color="auto" w:fill="A2D64E"/>
      </w:tcPr>
    </w:tblStylePr>
    <w:tblStylePr w:type="band1Horz">
      <w:tblPr/>
      <w:tcPr>
        <w:shd w:val="clear" w:color="auto" w:fill="C4EEFF"/>
      </w:tcPr>
    </w:tblStylePr>
    <w:tblStylePr w:type="band2Horz">
      <w:tblPr/>
      <w:tcPr>
        <w:shd w:val="clear" w:color="auto" w:fill="A2D64E"/>
      </w:tcPr>
    </w:tblStylePr>
    <w:tblStylePr w:type="neCell">
      <w:rPr>
        <w:color w:val="353D30"/>
      </w:rPr>
    </w:tblStylePr>
    <w:tblStylePr w:type="nwCell">
      <w:rPr>
        <w:color w:val="353D30"/>
      </w:rPr>
    </w:tblStylePr>
  </w:style>
  <w:style w:type="table" w:customStyle="1" w:styleId="DarkList-Accent11">
    <w:name w:val="Dark List - Accent 11"/>
    <w:basedOn w:val="TableNormal"/>
    <w:next w:val="DarkList-Accent1"/>
    <w:uiPriority w:val="70"/>
    <w:rsid w:val="00CB0512"/>
    <w:pPr>
      <w:spacing w:after="0" w:line="240" w:lineRule="auto"/>
    </w:pPr>
    <w:rPr>
      <w:color w:val="FFFFFF"/>
      <w:lang w:val="en-US"/>
    </w:rPr>
    <w:tblPr>
      <w:tblStyleRowBandSize w:val="1"/>
      <w:tblStyleColBandSize w:val="1"/>
    </w:tblPr>
    <w:tcPr>
      <w:shd w:val="clear" w:color="auto" w:fill="55BCFF"/>
    </w:tcPr>
    <w:tblStylePr w:type="firstRow">
      <w:rPr>
        <w:b/>
        <w:bCs/>
      </w:rPr>
      <w:tblPr/>
      <w:tcPr>
        <w:tcBorders>
          <w:top w:val="nil"/>
          <w:left w:val="nil"/>
          <w:bottom w:val="single" w:sz="18" w:space="0" w:color="FFFFFF"/>
          <w:right w:val="nil"/>
          <w:insideH w:val="nil"/>
          <w:insideV w:val="nil"/>
        </w:tcBorders>
        <w:shd w:val="clear" w:color="auto" w:fill="353D30"/>
      </w:tcPr>
    </w:tblStylePr>
    <w:tblStylePr w:type="lastRow">
      <w:tblPr/>
      <w:tcPr>
        <w:tcBorders>
          <w:top w:val="single" w:sz="18" w:space="0" w:color="FFFFFF"/>
          <w:left w:val="nil"/>
          <w:bottom w:val="nil"/>
          <w:right w:val="nil"/>
          <w:insideH w:val="nil"/>
          <w:insideV w:val="nil"/>
        </w:tcBorders>
        <w:shd w:val="clear" w:color="auto" w:fill="0066A9"/>
      </w:tcPr>
    </w:tblStylePr>
    <w:tblStylePr w:type="firstCol">
      <w:tblPr/>
      <w:tcPr>
        <w:tcBorders>
          <w:top w:val="nil"/>
          <w:left w:val="nil"/>
          <w:bottom w:val="nil"/>
          <w:right w:val="single" w:sz="18" w:space="0" w:color="FFFFFF"/>
          <w:insideH w:val="nil"/>
          <w:insideV w:val="nil"/>
        </w:tcBorders>
        <w:shd w:val="clear" w:color="auto" w:fill="0099FE"/>
      </w:tcPr>
    </w:tblStylePr>
    <w:tblStylePr w:type="lastCol">
      <w:tblPr/>
      <w:tcPr>
        <w:tcBorders>
          <w:top w:val="nil"/>
          <w:left w:val="single" w:sz="18" w:space="0" w:color="FFFFFF"/>
          <w:bottom w:val="nil"/>
          <w:right w:val="nil"/>
          <w:insideH w:val="nil"/>
          <w:insideV w:val="nil"/>
        </w:tcBorders>
        <w:shd w:val="clear" w:color="auto" w:fill="0099FE"/>
      </w:tcPr>
    </w:tblStylePr>
    <w:tblStylePr w:type="band1Vert">
      <w:tblPr/>
      <w:tcPr>
        <w:tcBorders>
          <w:top w:val="nil"/>
          <w:left w:val="nil"/>
          <w:bottom w:val="nil"/>
          <w:right w:val="nil"/>
          <w:insideH w:val="nil"/>
          <w:insideV w:val="nil"/>
        </w:tcBorders>
        <w:shd w:val="clear" w:color="auto" w:fill="0099FE"/>
      </w:tcPr>
    </w:tblStylePr>
    <w:tblStylePr w:type="band1Horz">
      <w:tblPr/>
      <w:tcPr>
        <w:tcBorders>
          <w:top w:val="nil"/>
          <w:left w:val="nil"/>
          <w:bottom w:val="nil"/>
          <w:right w:val="nil"/>
          <w:insideH w:val="nil"/>
          <w:insideV w:val="nil"/>
        </w:tcBorders>
        <w:shd w:val="clear" w:color="auto" w:fill="0099FE"/>
      </w:tcPr>
    </w:tblStylePr>
  </w:style>
  <w:style w:type="table" w:styleId="MediumList2-Accent6">
    <w:name w:val="Medium List 2 Accent 6"/>
    <w:basedOn w:val="TableNormal"/>
    <w:uiPriority w:val="66"/>
    <w:rsid w:val="00CB0512"/>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FF671F" w:themeColor="accent6"/>
        <w:left w:val="single" w:sz="8" w:space="0" w:color="FF671F" w:themeColor="accent6"/>
        <w:bottom w:val="single" w:sz="8" w:space="0" w:color="FF671F" w:themeColor="accent6"/>
        <w:right w:val="single" w:sz="8" w:space="0" w:color="FF671F" w:themeColor="accent6"/>
      </w:tblBorders>
    </w:tblPr>
    <w:tblStylePr w:type="firstRow">
      <w:rPr>
        <w:sz w:val="24"/>
        <w:szCs w:val="24"/>
      </w:rPr>
      <w:tblPr/>
      <w:tcPr>
        <w:tcBorders>
          <w:top w:val="nil"/>
          <w:left w:val="nil"/>
          <w:bottom w:val="single" w:sz="24" w:space="0" w:color="FF671F" w:themeColor="accent6"/>
          <w:right w:val="nil"/>
          <w:insideH w:val="nil"/>
          <w:insideV w:val="nil"/>
        </w:tcBorders>
        <w:shd w:val="clear" w:color="auto" w:fill="FFFFFF" w:themeFill="background1"/>
      </w:tcPr>
    </w:tblStylePr>
    <w:tblStylePr w:type="lastRow">
      <w:tblPr/>
      <w:tcPr>
        <w:tcBorders>
          <w:top w:val="single" w:sz="8" w:space="0" w:color="FF671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671F" w:themeColor="accent6"/>
          <w:insideH w:val="nil"/>
          <w:insideV w:val="nil"/>
        </w:tcBorders>
        <w:shd w:val="clear" w:color="auto" w:fill="FFFFFF" w:themeFill="background1"/>
      </w:tcPr>
    </w:tblStylePr>
    <w:tblStylePr w:type="lastCol">
      <w:tblPr/>
      <w:tcPr>
        <w:tcBorders>
          <w:top w:val="nil"/>
          <w:left w:val="single" w:sz="8" w:space="0" w:color="FF671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D9C7" w:themeFill="accent6" w:themeFillTint="3F"/>
      </w:tcPr>
    </w:tblStylePr>
    <w:tblStylePr w:type="band1Horz">
      <w:tblPr/>
      <w:tcPr>
        <w:tcBorders>
          <w:top w:val="nil"/>
          <w:bottom w:val="nil"/>
          <w:insideH w:val="nil"/>
          <w:insideV w:val="nil"/>
        </w:tcBorders>
        <w:shd w:val="clear" w:color="auto" w:fill="FFD9C7" w:themeFill="accent6" w:themeFillTint="3F"/>
      </w:tcPr>
    </w:tblStylePr>
    <w:tblStylePr w:type="nwCell">
      <w:tblPr/>
      <w:tcPr>
        <w:shd w:val="clear" w:color="auto" w:fill="FFFFFF" w:themeFill="background1"/>
      </w:tcPr>
    </w:tblStylePr>
    <w:tblStylePr w:type="swCell">
      <w:tblPr/>
      <w:tcPr>
        <w:tcBorders>
          <w:top w:val="nil"/>
        </w:tcBorders>
      </w:tcPr>
    </w:tblStylePr>
  </w:style>
  <w:style w:type="paragraph" w:styleId="Title">
    <w:name w:val="Title"/>
    <w:basedOn w:val="Normal"/>
    <w:next w:val="Normal"/>
    <w:link w:val="TitleChar"/>
    <w:uiPriority w:val="10"/>
    <w:semiHidden/>
    <w:qFormat/>
    <w:rsid w:val="007571B9"/>
    <w:pPr>
      <w:spacing w:before="0" w:after="300" w:line="240" w:lineRule="auto"/>
      <w:contextualSpacing/>
    </w:pPr>
    <w:rPr>
      <w:rFonts w:eastAsiaTheme="majorEastAsia" w:cstheme="majorBidi"/>
      <w:color w:val="C4D92E" w:themeColor="accent1"/>
      <w:spacing w:val="5"/>
      <w:kern w:val="28"/>
      <w:sz w:val="70"/>
      <w:szCs w:val="52"/>
      <w:lang w:val="en-US"/>
    </w:rPr>
  </w:style>
  <w:style w:type="character" w:customStyle="1" w:styleId="TitleChar">
    <w:name w:val="Title Char"/>
    <w:basedOn w:val="DefaultParagraphFont"/>
    <w:link w:val="Title"/>
    <w:uiPriority w:val="10"/>
    <w:semiHidden/>
    <w:rsid w:val="009D3E2C"/>
    <w:rPr>
      <w:rFonts w:ascii="Arial" w:eastAsiaTheme="majorEastAsia" w:hAnsi="Arial" w:cstheme="majorBidi"/>
      <w:color w:val="C4D92E" w:themeColor="accent1"/>
      <w:spacing w:val="5"/>
      <w:kern w:val="28"/>
      <w:sz w:val="70"/>
      <w:szCs w:val="52"/>
      <w:lang w:val="en-US"/>
    </w:rPr>
  </w:style>
  <w:style w:type="paragraph" w:styleId="IntenseQuote">
    <w:name w:val="Intense Quote"/>
    <w:basedOn w:val="Normal"/>
    <w:next w:val="Normal"/>
    <w:link w:val="IntenseQuoteChar"/>
    <w:uiPriority w:val="30"/>
    <w:semiHidden/>
    <w:qFormat/>
    <w:rsid w:val="007571B9"/>
    <w:pPr>
      <w:pBdr>
        <w:bottom w:val="single" w:sz="4" w:space="4" w:color="C4D92E" w:themeColor="accent1"/>
      </w:pBdr>
      <w:spacing w:before="200" w:after="280" w:line="240" w:lineRule="auto"/>
      <w:ind w:left="936" w:right="936"/>
    </w:pPr>
    <w:rPr>
      <w:rFonts w:cs="Arial"/>
      <w:b/>
      <w:bCs/>
      <w:i/>
      <w:iCs/>
      <w:color w:val="C4D92E" w:themeColor="accent1"/>
      <w:sz w:val="18"/>
      <w:szCs w:val="20"/>
      <w:lang w:val="en-US"/>
    </w:rPr>
  </w:style>
  <w:style w:type="character" w:customStyle="1" w:styleId="IntenseQuoteChar">
    <w:name w:val="Intense Quote Char"/>
    <w:basedOn w:val="DefaultParagraphFont"/>
    <w:link w:val="IntenseQuote"/>
    <w:uiPriority w:val="30"/>
    <w:semiHidden/>
    <w:rsid w:val="009D3E2C"/>
    <w:rPr>
      <w:rFonts w:ascii="Arial" w:hAnsi="Arial" w:cs="Arial"/>
      <w:b/>
      <w:bCs/>
      <w:i/>
      <w:iCs/>
      <w:color w:val="C4D92E" w:themeColor="accent1"/>
      <w:sz w:val="18"/>
      <w:szCs w:val="20"/>
      <w:lang w:val="en-US"/>
    </w:rPr>
  </w:style>
  <w:style w:type="character" w:styleId="SubtleEmphasis">
    <w:name w:val="Subtle Emphasis"/>
    <w:uiPriority w:val="19"/>
    <w:semiHidden/>
    <w:qFormat/>
    <w:rsid w:val="007571B9"/>
    <w:rPr>
      <w:i/>
      <w:iCs/>
      <w:color w:val="808080" w:themeColor="text1" w:themeTint="7F"/>
    </w:rPr>
  </w:style>
  <w:style w:type="paragraph" w:styleId="Subtitle">
    <w:name w:val="Subtitle"/>
    <w:basedOn w:val="Normal"/>
    <w:next w:val="Normal"/>
    <w:link w:val="SubtitleChar"/>
    <w:uiPriority w:val="11"/>
    <w:semiHidden/>
    <w:qFormat/>
    <w:rsid w:val="007571B9"/>
    <w:pPr>
      <w:numPr>
        <w:ilvl w:val="1"/>
      </w:numPr>
      <w:spacing w:before="0" w:after="0" w:line="240" w:lineRule="auto"/>
    </w:pPr>
    <w:rPr>
      <w:rFonts w:asciiTheme="majorHAnsi" w:eastAsiaTheme="majorEastAsia" w:hAnsiTheme="majorHAnsi" w:cstheme="majorBidi"/>
      <w:i/>
      <w:iCs/>
      <w:color w:val="C4D92E" w:themeColor="accent1"/>
      <w:spacing w:val="15"/>
      <w:sz w:val="24"/>
      <w:szCs w:val="24"/>
      <w:lang w:val="en-US"/>
    </w:rPr>
  </w:style>
  <w:style w:type="character" w:customStyle="1" w:styleId="SubtitleChar">
    <w:name w:val="Subtitle Char"/>
    <w:basedOn w:val="DefaultParagraphFont"/>
    <w:link w:val="Subtitle"/>
    <w:uiPriority w:val="11"/>
    <w:semiHidden/>
    <w:rsid w:val="009D3E2C"/>
    <w:rPr>
      <w:rFonts w:asciiTheme="majorHAnsi" w:eastAsiaTheme="majorEastAsia" w:hAnsiTheme="majorHAnsi" w:cstheme="majorBidi"/>
      <w:i/>
      <w:iCs/>
      <w:color w:val="C4D92E" w:themeColor="accent1"/>
      <w:spacing w:val="15"/>
      <w:sz w:val="24"/>
      <w:szCs w:val="24"/>
      <w:lang w:val="en-US"/>
    </w:rPr>
  </w:style>
  <w:style w:type="character" w:styleId="Emphasis">
    <w:name w:val="Emphasis"/>
    <w:uiPriority w:val="20"/>
    <w:semiHidden/>
    <w:qFormat/>
    <w:rsid w:val="007571B9"/>
    <w:rPr>
      <w:i/>
      <w:iCs/>
    </w:rPr>
  </w:style>
  <w:style w:type="character" w:styleId="IntenseEmphasis">
    <w:name w:val="Intense Emphasis"/>
    <w:uiPriority w:val="21"/>
    <w:semiHidden/>
    <w:qFormat/>
    <w:rsid w:val="007571B9"/>
    <w:rPr>
      <w:b/>
      <w:bCs/>
      <w:i/>
      <w:iCs/>
      <w:color w:val="C4D92E" w:themeColor="accent1"/>
    </w:rPr>
  </w:style>
  <w:style w:type="character" w:styleId="SubtleReference">
    <w:name w:val="Subtle Reference"/>
    <w:uiPriority w:val="31"/>
    <w:semiHidden/>
    <w:qFormat/>
    <w:rsid w:val="007571B9"/>
    <w:rPr>
      <w:smallCaps/>
      <w:color w:val="FFE72E" w:themeColor="accent2"/>
      <w:u w:val="single"/>
    </w:rPr>
  </w:style>
  <w:style w:type="character" w:styleId="IntenseReference">
    <w:name w:val="Intense Reference"/>
    <w:uiPriority w:val="32"/>
    <w:semiHidden/>
    <w:qFormat/>
    <w:rsid w:val="007571B9"/>
    <w:rPr>
      <w:b/>
      <w:bCs/>
      <w:smallCaps/>
      <w:color w:val="FFE72E" w:themeColor="accent2"/>
      <w:spacing w:val="5"/>
      <w:u w:val="single"/>
    </w:rPr>
  </w:style>
  <w:style w:type="character" w:customStyle="1" w:styleId="CaptionChar">
    <w:name w:val="Caption Char"/>
    <w:link w:val="Caption"/>
    <w:uiPriority w:val="4"/>
    <w:rsid w:val="007571B9"/>
    <w:rPr>
      <w:rFonts w:ascii="Arial" w:hAnsi="Arial"/>
      <w:b/>
      <w:bCs/>
      <w:color w:val="796E65" w:themeColor="accent4"/>
      <w:sz w:val="18"/>
      <w:szCs w:val="20"/>
    </w:rPr>
  </w:style>
  <w:style w:type="character" w:styleId="CommentReference">
    <w:name w:val="annotation reference"/>
    <w:basedOn w:val="DefaultParagraphFont"/>
    <w:semiHidden/>
    <w:rsid w:val="00B442AD"/>
    <w:rPr>
      <w:sz w:val="16"/>
      <w:szCs w:val="16"/>
    </w:rPr>
  </w:style>
  <w:style w:type="paragraph" w:styleId="ListParagraph">
    <w:name w:val="List Paragraph"/>
    <w:basedOn w:val="Normal"/>
    <w:uiPriority w:val="34"/>
    <w:semiHidden/>
    <w:qFormat/>
    <w:rsid w:val="009C5B39"/>
    <w:pPr>
      <w:ind w:left="720"/>
      <w:contextualSpacing/>
    </w:pPr>
  </w:style>
  <w:style w:type="paragraph" w:customStyle="1" w:styleId="ObjectWide">
    <w:name w:val="Object Wide"/>
    <w:basedOn w:val="Object"/>
    <w:next w:val="BodyText"/>
    <w:rsid w:val="00244F60"/>
    <w:pPr>
      <w:ind w:left="-1871"/>
    </w:pPr>
    <w:rPr>
      <w:bCs/>
      <w:noProof/>
      <w:szCs w:val="18"/>
      <w:lang w:eastAsia="en-AU"/>
    </w:rPr>
  </w:style>
  <w:style w:type="paragraph" w:styleId="CommentText">
    <w:name w:val="annotation text"/>
    <w:basedOn w:val="Normal"/>
    <w:link w:val="CommentTextChar"/>
    <w:uiPriority w:val="99"/>
    <w:semiHidden/>
    <w:unhideWhenUsed/>
    <w:pPr>
      <w:spacing w:line="240" w:lineRule="auto"/>
    </w:pPr>
    <w:rPr>
      <w:szCs w:val="20"/>
    </w:rPr>
  </w:style>
  <w:style w:type="character" w:customStyle="1" w:styleId="CommentTextChar">
    <w:name w:val="Comment Text Char"/>
    <w:basedOn w:val="DefaultParagraphFont"/>
    <w:link w:val="CommentText"/>
    <w:uiPriority w:val="99"/>
    <w:semiHidden/>
    <w:rPr>
      <w:rFonts w:ascii="Arial" w:hAnsi="Arial"/>
      <w:sz w:val="20"/>
      <w:szCs w:val="20"/>
    </w:rPr>
  </w:style>
  <w:style w:type="paragraph" w:customStyle="1" w:styleId="Tablebullet10">
    <w:name w:val="Table bullet 1"/>
    <w:basedOn w:val="Normal"/>
    <w:link w:val="Tablebullet1Char"/>
    <w:qFormat/>
    <w:rsid w:val="00612922"/>
    <w:pPr>
      <w:numPr>
        <w:numId w:val="17"/>
      </w:numPr>
      <w:spacing w:before="60" w:after="60" w:line="240" w:lineRule="auto"/>
    </w:pPr>
    <w:rPr>
      <w:rFonts w:cs="Arial"/>
      <w:sz w:val="18"/>
      <w:szCs w:val="18"/>
      <w:lang w:val="en-GB"/>
    </w:rPr>
  </w:style>
  <w:style w:type="character" w:customStyle="1" w:styleId="Tablebullet1Char">
    <w:name w:val="Table bullet 1 Char"/>
    <w:basedOn w:val="DefaultParagraphFont"/>
    <w:link w:val="Tablebullet10"/>
    <w:rsid w:val="00612922"/>
    <w:rPr>
      <w:rFonts w:ascii="Arial" w:hAnsi="Arial" w:cs="Arial"/>
      <w:sz w:val="18"/>
      <w:szCs w:val="18"/>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nhideWhenUsed="0" w:qFormat="1"/>
    <w:lsdException w:name="heading 1" w:semiHidden="0" w:uiPriority="6" w:unhideWhenUsed="0" w:qFormat="1"/>
    <w:lsdException w:name="heading 2" w:semiHidden="0" w:uiPriority="7" w:unhideWhenUsed="0" w:qFormat="1"/>
    <w:lsdException w:name="heading 3" w:semiHidden="0" w:uiPriority="8" w:unhideWhenUsed="0" w:qFormat="1"/>
    <w:lsdException w:name="heading 4" w:uiPriority="9" w:unhideWhenUsed="0" w:qFormat="1"/>
    <w:lsdException w:name="heading 5" w:uiPriority="10" w:unhideWhenUsed="0" w:qFormat="1"/>
    <w:lsdException w:name="heading 6" w:uiPriority="11" w:unhideWhenUsed="0" w:qFormat="1"/>
    <w:lsdException w:name="heading 7" w:uiPriority="12" w:qFormat="1"/>
    <w:lsdException w:name="heading 8" w:uiPriority="12" w:qFormat="1"/>
    <w:lsdException w:name="heading 9" w:uiPriority="12" w:qFormat="1"/>
    <w:lsdException w:name="toc 1" w:uiPriority="39" w:qFormat="1"/>
    <w:lsdException w:name="toc 2" w:uiPriority="39" w:qFormat="1"/>
    <w:lsdException w:name="toc 3" w:uiPriority="39" w:qFormat="1"/>
    <w:lsdException w:name="toc 7" w:uiPriority="39"/>
    <w:lsdException w:name="toc 8" w:uiPriority="39"/>
    <w:lsdException w:name="toc 9" w:uiPriority="39"/>
    <w:lsdException w:name="caption" w:uiPriority="4" w:qFormat="1"/>
    <w:lsdException w:name="footnote reference" w:qFormat="1"/>
    <w:lsdException w:name="annotation reference" w:uiPriority="0"/>
    <w:lsdException w:name="List Number" w:semiHidden="0" w:unhideWhenUsed="0"/>
    <w:lsdException w:name="List 4" w:unhideWhenUsed="0"/>
    <w:lsdException w:name="List 5" w:unhideWhenUsed="0"/>
    <w:lsdException w:name="Title" w:semiHidden="0" w:uiPriority="10" w:unhideWhenUsed="0" w:qFormat="1"/>
    <w:lsdException w:name="Default Paragraph Font" w:uiPriority="1"/>
    <w:lsdException w:name="Body Text" w:uiPriority="0" w:qFormat="1"/>
    <w:lsdException w:name="Subtitle" w:uiPriority="11" w:unhideWhenUsed="0" w:qFormat="1"/>
    <w:lsdException w:name="Salutation" w:unhideWhenUsed="0"/>
    <w:lsdException w:name="Date" w:unhideWhenUsed="0"/>
    <w:lsdException w:name="Body Text First Indent"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locked="1"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uiPriority w:val="99"/>
    <w:qFormat/>
    <w:rsid w:val="00244F60"/>
    <w:pPr>
      <w:spacing w:before="160" w:after="160" w:line="280" w:lineRule="atLeast"/>
    </w:pPr>
    <w:rPr>
      <w:rFonts w:ascii="Arial" w:hAnsi="Arial"/>
      <w:sz w:val="20"/>
    </w:rPr>
  </w:style>
  <w:style w:type="paragraph" w:styleId="Heading1">
    <w:name w:val="heading 1"/>
    <w:basedOn w:val="BodyText"/>
    <w:next w:val="BodyText"/>
    <w:link w:val="Heading1Char"/>
    <w:uiPriority w:val="6"/>
    <w:qFormat/>
    <w:rsid w:val="00244F60"/>
    <w:pPr>
      <w:keepNext/>
      <w:pageBreakBefore/>
      <w:numPr>
        <w:numId w:val="4"/>
      </w:numPr>
      <w:spacing w:before="0" w:after="480"/>
      <w:outlineLvl w:val="0"/>
    </w:pPr>
    <w:rPr>
      <w:rFonts w:eastAsiaTheme="majorEastAsia" w:cstheme="majorBidi"/>
      <w:bCs/>
      <w:color w:val="E52923" w:themeColor="background2"/>
      <w:sz w:val="44"/>
      <w:szCs w:val="40"/>
    </w:rPr>
  </w:style>
  <w:style w:type="paragraph" w:styleId="Heading2">
    <w:name w:val="heading 2"/>
    <w:basedOn w:val="Heading1"/>
    <w:next w:val="BodyText"/>
    <w:link w:val="Heading2Char"/>
    <w:uiPriority w:val="7"/>
    <w:qFormat/>
    <w:rsid w:val="00244F60"/>
    <w:pPr>
      <w:pageBreakBefore w:val="0"/>
      <w:numPr>
        <w:ilvl w:val="1"/>
      </w:numPr>
      <w:spacing w:before="360" w:after="160"/>
      <w:outlineLvl w:val="1"/>
    </w:pPr>
    <w:rPr>
      <w:bCs w:val="0"/>
      <w:color w:val="00BAD4" w:themeColor="text2"/>
      <w:sz w:val="36"/>
      <w:szCs w:val="32"/>
    </w:rPr>
  </w:style>
  <w:style w:type="paragraph" w:styleId="Heading3">
    <w:name w:val="heading 3"/>
    <w:basedOn w:val="Heading2"/>
    <w:next w:val="BodyText"/>
    <w:link w:val="Heading3Char"/>
    <w:uiPriority w:val="8"/>
    <w:qFormat/>
    <w:rsid w:val="00244F60"/>
    <w:pPr>
      <w:numPr>
        <w:ilvl w:val="2"/>
      </w:numPr>
      <w:outlineLvl w:val="2"/>
    </w:pPr>
    <w:rPr>
      <w:bCs/>
      <w:color w:val="796E65" w:themeColor="accent4"/>
      <w:sz w:val="32"/>
      <w:szCs w:val="28"/>
    </w:rPr>
  </w:style>
  <w:style w:type="paragraph" w:styleId="Heading4">
    <w:name w:val="heading 4"/>
    <w:basedOn w:val="Heading3"/>
    <w:next w:val="BodyText"/>
    <w:link w:val="Heading4Char"/>
    <w:uiPriority w:val="9"/>
    <w:qFormat/>
    <w:rsid w:val="00244F60"/>
    <w:pPr>
      <w:numPr>
        <w:ilvl w:val="3"/>
      </w:numPr>
      <w:outlineLvl w:val="3"/>
    </w:pPr>
    <w:rPr>
      <w:bCs w:val="0"/>
      <w:iCs/>
      <w:color w:val="E52923" w:themeColor="background2"/>
      <w:sz w:val="28"/>
    </w:rPr>
  </w:style>
  <w:style w:type="paragraph" w:styleId="Heading5">
    <w:name w:val="heading 5"/>
    <w:aliases w:val="(Main Heading)"/>
    <w:basedOn w:val="Heading4"/>
    <w:next w:val="BodyText"/>
    <w:link w:val="Heading5Char"/>
    <w:uiPriority w:val="10"/>
    <w:qFormat/>
    <w:rsid w:val="00244F60"/>
    <w:pPr>
      <w:numPr>
        <w:ilvl w:val="0"/>
        <w:numId w:val="0"/>
      </w:numPr>
      <w:outlineLvl w:val="4"/>
    </w:pPr>
    <w:rPr>
      <w:rFonts w:cstheme="minorHAnsi"/>
      <w:color w:val="00BAD4" w:themeColor="text2"/>
      <w:sz w:val="24"/>
      <w:szCs w:val="24"/>
    </w:rPr>
  </w:style>
  <w:style w:type="paragraph" w:styleId="Heading6">
    <w:name w:val="heading 6"/>
    <w:aliases w:val="(Subheading)"/>
    <w:basedOn w:val="Heading5"/>
    <w:next w:val="BodyText"/>
    <w:link w:val="Heading6Char"/>
    <w:uiPriority w:val="11"/>
    <w:qFormat/>
    <w:rsid w:val="00244F60"/>
    <w:pPr>
      <w:numPr>
        <w:ilvl w:val="5"/>
      </w:numPr>
      <w:outlineLvl w:val="5"/>
    </w:pPr>
    <w:rPr>
      <w:b/>
      <w:iCs w:val="0"/>
      <w:color w:val="796E65" w:themeColor="accent4"/>
      <w:sz w:val="20"/>
      <w:szCs w:val="22"/>
    </w:rPr>
  </w:style>
  <w:style w:type="paragraph" w:styleId="Heading7">
    <w:name w:val="heading 7"/>
    <w:aliases w:val="(Appendix Heading)"/>
    <w:basedOn w:val="Heading1"/>
    <w:next w:val="BodyText"/>
    <w:link w:val="Heading7Char"/>
    <w:uiPriority w:val="12"/>
    <w:qFormat/>
    <w:rsid w:val="00244F60"/>
    <w:pPr>
      <w:numPr>
        <w:ilvl w:val="4"/>
      </w:numPr>
      <w:tabs>
        <w:tab w:val="left" w:pos="2835"/>
      </w:tabs>
      <w:outlineLvl w:val="6"/>
    </w:pPr>
    <w:rPr>
      <w:iCs/>
    </w:rPr>
  </w:style>
  <w:style w:type="paragraph" w:styleId="Heading8">
    <w:name w:val="heading 8"/>
    <w:basedOn w:val="Heading7"/>
    <w:next w:val="BodyText"/>
    <w:link w:val="Heading8Char"/>
    <w:uiPriority w:val="12"/>
    <w:qFormat/>
    <w:rsid w:val="00244F60"/>
    <w:pPr>
      <w:pageBreakBefore w:val="0"/>
      <w:numPr>
        <w:ilvl w:val="5"/>
      </w:numPr>
      <w:tabs>
        <w:tab w:val="clear" w:pos="2835"/>
      </w:tabs>
      <w:spacing w:before="360" w:after="160"/>
      <w:outlineLvl w:val="7"/>
    </w:pPr>
    <w:rPr>
      <w:rFonts w:asciiTheme="majorHAnsi" w:hAnsiTheme="majorHAnsi"/>
      <w:color w:val="00BAD4" w:themeColor="text2"/>
      <w:sz w:val="36"/>
      <w:szCs w:val="20"/>
    </w:rPr>
  </w:style>
  <w:style w:type="paragraph" w:styleId="Heading9">
    <w:name w:val="heading 9"/>
    <w:basedOn w:val="Heading8"/>
    <w:next w:val="BodyText"/>
    <w:link w:val="Heading9Char"/>
    <w:uiPriority w:val="12"/>
    <w:qFormat/>
    <w:rsid w:val="002B5936"/>
    <w:pPr>
      <w:numPr>
        <w:ilvl w:val="6"/>
      </w:numPr>
      <w:outlineLvl w:val="8"/>
    </w:pPr>
    <w:rPr>
      <w:iCs w:val="0"/>
      <w:color w:val="796E65" w:themeColor="accent4"/>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6"/>
    <w:rsid w:val="00244F60"/>
    <w:rPr>
      <w:rFonts w:ascii="Arial" w:eastAsiaTheme="majorEastAsia" w:hAnsi="Arial" w:cstheme="majorBidi"/>
      <w:bCs/>
      <w:color w:val="E52923" w:themeColor="background2"/>
      <w:sz w:val="44"/>
      <w:szCs w:val="40"/>
    </w:rPr>
  </w:style>
  <w:style w:type="character" w:customStyle="1" w:styleId="Heading2Char">
    <w:name w:val="Heading 2 Char"/>
    <w:basedOn w:val="DefaultParagraphFont"/>
    <w:link w:val="Heading2"/>
    <w:uiPriority w:val="7"/>
    <w:rsid w:val="00244F60"/>
    <w:rPr>
      <w:rFonts w:ascii="Arial" w:eastAsiaTheme="majorEastAsia" w:hAnsi="Arial" w:cstheme="majorBidi"/>
      <w:color w:val="00BAD4" w:themeColor="text2"/>
      <w:sz w:val="36"/>
      <w:szCs w:val="32"/>
    </w:rPr>
  </w:style>
  <w:style w:type="character" w:customStyle="1" w:styleId="Heading3Char">
    <w:name w:val="Heading 3 Char"/>
    <w:basedOn w:val="DefaultParagraphFont"/>
    <w:link w:val="Heading3"/>
    <w:uiPriority w:val="8"/>
    <w:rsid w:val="00244F60"/>
    <w:rPr>
      <w:rFonts w:ascii="Arial" w:eastAsiaTheme="majorEastAsia" w:hAnsi="Arial" w:cstheme="majorBidi"/>
      <w:bCs/>
      <w:color w:val="796E65" w:themeColor="accent4"/>
      <w:sz w:val="32"/>
      <w:szCs w:val="28"/>
    </w:rPr>
  </w:style>
  <w:style w:type="paragraph" w:styleId="Caption">
    <w:name w:val="caption"/>
    <w:basedOn w:val="BodyText"/>
    <w:next w:val="Object"/>
    <w:link w:val="CaptionChar"/>
    <w:uiPriority w:val="4"/>
    <w:qFormat/>
    <w:rsid w:val="00244F60"/>
    <w:pPr>
      <w:keepNext/>
      <w:spacing w:before="360" w:line="240" w:lineRule="auto"/>
      <w:ind w:left="1418" w:hanging="1418"/>
    </w:pPr>
    <w:rPr>
      <w:b/>
      <w:bCs/>
      <w:color w:val="796E65" w:themeColor="accent4"/>
      <w:sz w:val="18"/>
      <w:szCs w:val="20"/>
    </w:rPr>
  </w:style>
  <w:style w:type="paragraph" w:styleId="BodyText">
    <w:name w:val="Body Text"/>
    <w:link w:val="BodyTextChar"/>
    <w:qFormat/>
    <w:rsid w:val="00244F60"/>
    <w:pPr>
      <w:keepLines/>
      <w:spacing w:before="160" w:after="160" w:line="280" w:lineRule="atLeast"/>
    </w:pPr>
    <w:rPr>
      <w:rFonts w:ascii="Arial" w:hAnsi="Arial"/>
      <w:sz w:val="20"/>
    </w:rPr>
  </w:style>
  <w:style w:type="character" w:customStyle="1" w:styleId="BodyTextChar">
    <w:name w:val="Body Text Char"/>
    <w:basedOn w:val="DefaultParagraphFont"/>
    <w:link w:val="BodyText"/>
    <w:rsid w:val="00244F60"/>
    <w:rPr>
      <w:rFonts w:ascii="Arial" w:hAnsi="Arial"/>
      <w:sz w:val="20"/>
    </w:rPr>
  </w:style>
  <w:style w:type="paragraph" w:styleId="TOC1">
    <w:name w:val="toc 1"/>
    <w:basedOn w:val="Normal"/>
    <w:next w:val="BodyText"/>
    <w:uiPriority w:val="39"/>
    <w:qFormat/>
    <w:rsid w:val="00244F60"/>
    <w:pPr>
      <w:keepLines/>
      <w:tabs>
        <w:tab w:val="right" w:pos="7209"/>
      </w:tabs>
      <w:spacing w:after="80"/>
      <w:ind w:left="454" w:right="1245" w:hanging="454"/>
    </w:pPr>
    <w:rPr>
      <w:noProof/>
      <w:sz w:val="22"/>
    </w:rPr>
  </w:style>
  <w:style w:type="paragraph" w:styleId="TOC2">
    <w:name w:val="toc 2"/>
    <w:basedOn w:val="TOC1"/>
    <w:next w:val="BodyText"/>
    <w:uiPriority w:val="39"/>
    <w:qFormat/>
    <w:rsid w:val="00244F60"/>
    <w:pPr>
      <w:spacing w:before="80"/>
      <w:ind w:left="1134" w:hanging="680"/>
    </w:pPr>
  </w:style>
  <w:style w:type="paragraph" w:styleId="TOC3">
    <w:name w:val="toc 3"/>
    <w:basedOn w:val="TOC2"/>
    <w:next w:val="BodyText"/>
    <w:uiPriority w:val="39"/>
    <w:qFormat/>
    <w:rsid w:val="00244F60"/>
    <w:pPr>
      <w:ind w:left="1985" w:hanging="851"/>
    </w:pPr>
  </w:style>
  <w:style w:type="paragraph" w:styleId="TOC4">
    <w:name w:val="toc 4"/>
    <w:basedOn w:val="TOC1"/>
    <w:next w:val="BodyText"/>
    <w:uiPriority w:val="99"/>
    <w:rsid w:val="00244F60"/>
    <w:pPr>
      <w:spacing w:before="80"/>
      <w:ind w:left="0" w:firstLine="0"/>
    </w:pPr>
  </w:style>
  <w:style w:type="paragraph" w:styleId="TOC5">
    <w:name w:val="toc 5"/>
    <w:basedOn w:val="TOC2"/>
    <w:next w:val="BodyText"/>
    <w:uiPriority w:val="99"/>
    <w:rsid w:val="00244F60"/>
  </w:style>
  <w:style w:type="paragraph" w:styleId="TOC6">
    <w:name w:val="toc 6"/>
    <w:basedOn w:val="TOC3"/>
    <w:next w:val="BodyText"/>
    <w:uiPriority w:val="99"/>
    <w:rsid w:val="00244F60"/>
  </w:style>
  <w:style w:type="character" w:customStyle="1" w:styleId="Heading4Char">
    <w:name w:val="Heading 4 Char"/>
    <w:basedOn w:val="DefaultParagraphFont"/>
    <w:link w:val="Heading4"/>
    <w:uiPriority w:val="9"/>
    <w:rsid w:val="00244F60"/>
    <w:rPr>
      <w:rFonts w:ascii="Arial" w:eastAsiaTheme="majorEastAsia" w:hAnsi="Arial" w:cstheme="majorBidi"/>
      <w:iCs/>
      <w:color w:val="E52923" w:themeColor="background2"/>
      <w:sz w:val="28"/>
      <w:szCs w:val="28"/>
    </w:rPr>
  </w:style>
  <w:style w:type="paragraph" w:styleId="TOC7">
    <w:name w:val="toc 7"/>
    <w:basedOn w:val="TOC1"/>
    <w:next w:val="BodyText"/>
    <w:uiPriority w:val="39"/>
    <w:rsid w:val="00244F60"/>
    <w:pPr>
      <w:ind w:left="1418" w:hanging="1418"/>
    </w:pPr>
  </w:style>
  <w:style w:type="character" w:customStyle="1" w:styleId="Heading5Char">
    <w:name w:val="Heading 5 Char"/>
    <w:aliases w:val="(Main Heading) Char"/>
    <w:basedOn w:val="DefaultParagraphFont"/>
    <w:link w:val="Heading5"/>
    <w:uiPriority w:val="10"/>
    <w:rsid w:val="00244F60"/>
    <w:rPr>
      <w:rFonts w:ascii="Arial" w:eastAsiaTheme="majorEastAsia" w:hAnsi="Arial" w:cstheme="minorHAnsi"/>
      <w:iCs/>
      <w:color w:val="00BAD4" w:themeColor="text2"/>
      <w:sz w:val="24"/>
      <w:szCs w:val="24"/>
    </w:rPr>
  </w:style>
  <w:style w:type="paragraph" w:styleId="TOC8">
    <w:name w:val="toc 8"/>
    <w:basedOn w:val="TOC7"/>
    <w:next w:val="BodyText"/>
    <w:uiPriority w:val="39"/>
    <w:rsid w:val="00244F60"/>
    <w:pPr>
      <w:spacing w:before="80"/>
      <w:ind w:left="1134" w:hanging="680"/>
    </w:pPr>
  </w:style>
  <w:style w:type="character" w:customStyle="1" w:styleId="Heading6Char">
    <w:name w:val="Heading 6 Char"/>
    <w:aliases w:val="(Subheading) Char"/>
    <w:basedOn w:val="DefaultParagraphFont"/>
    <w:link w:val="Heading6"/>
    <w:uiPriority w:val="11"/>
    <w:rsid w:val="00244F60"/>
    <w:rPr>
      <w:rFonts w:ascii="Arial" w:eastAsiaTheme="majorEastAsia" w:hAnsi="Arial" w:cstheme="minorHAnsi"/>
      <w:b/>
      <w:color w:val="796E65" w:themeColor="accent4"/>
      <w:sz w:val="20"/>
    </w:rPr>
  </w:style>
  <w:style w:type="paragraph" w:styleId="TOC9">
    <w:name w:val="toc 9"/>
    <w:basedOn w:val="TOC8"/>
    <w:next w:val="BodyText"/>
    <w:uiPriority w:val="39"/>
    <w:rsid w:val="00244F60"/>
    <w:pPr>
      <w:ind w:left="1985" w:hanging="851"/>
    </w:pPr>
  </w:style>
  <w:style w:type="paragraph" w:styleId="TOCHeading">
    <w:name w:val="TOC Heading"/>
    <w:basedOn w:val="Heading1"/>
    <w:next w:val="BodyText"/>
    <w:uiPriority w:val="99"/>
    <w:qFormat/>
    <w:rsid w:val="00244F60"/>
    <w:pPr>
      <w:numPr>
        <w:numId w:val="0"/>
      </w:numPr>
      <w:outlineLvl w:val="9"/>
    </w:pPr>
  </w:style>
  <w:style w:type="paragraph" w:customStyle="1" w:styleId="BodyIndent2">
    <w:name w:val="Body Indent 2"/>
    <w:basedOn w:val="BodyBullet2"/>
    <w:uiPriority w:val="99"/>
    <w:rsid w:val="00244F60"/>
    <w:pPr>
      <w:numPr>
        <w:ilvl w:val="0"/>
        <w:numId w:val="0"/>
      </w:numPr>
      <w:ind w:left="680"/>
    </w:pPr>
  </w:style>
  <w:style w:type="paragraph" w:customStyle="1" w:styleId="BodyIndent3">
    <w:name w:val="Body Indent 3"/>
    <w:basedOn w:val="BodyBullet3"/>
    <w:uiPriority w:val="99"/>
    <w:rsid w:val="00244F60"/>
    <w:pPr>
      <w:numPr>
        <w:ilvl w:val="0"/>
        <w:numId w:val="0"/>
      </w:numPr>
      <w:ind w:left="1021"/>
    </w:pPr>
  </w:style>
  <w:style w:type="character" w:styleId="EndnoteReference">
    <w:name w:val="endnote reference"/>
    <w:basedOn w:val="DefaultParagraphFont"/>
    <w:uiPriority w:val="99"/>
    <w:rsid w:val="00244F60"/>
    <w:rPr>
      <w:vertAlign w:val="superscript"/>
    </w:rPr>
  </w:style>
  <w:style w:type="paragraph" w:styleId="ListBullet">
    <w:name w:val="List Bullet"/>
    <w:basedOn w:val="BodyText"/>
    <w:uiPriority w:val="99"/>
    <w:semiHidden/>
    <w:rsid w:val="00244F60"/>
    <w:pPr>
      <w:numPr>
        <w:numId w:val="5"/>
      </w:numPr>
      <w:spacing w:before="120" w:after="120"/>
      <w:contextualSpacing/>
    </w:pPr>
  </w:style>
  <w:style w:type="table" w:styleId="TableGrid">
    <w:name w:val="Table Grid"/>
    <w:basedOn w:val="TableNormal"/>
    <w:uiPriority w:val="59"/>
    <w:rsid w:val="00244F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
    <w:name w:val="Source"/>
    <w:basedOn w:val="BodyText"/>
    <w:next w:val="BodyText"/>
    <w:uiPriority w:val="5"/>
    <w:qFormat/>
    <w:rsid w:val="00244F60"/>
    <w:pPr>
      <w:spacing w:after="360" w:line="240" w:lineRule="auto"/>
    </w:pPr>
    <w:rPr>
      <w:color w:val="A59C94" w:themeColor="accent3"/>
      <w:sz w:val="18"/>
      <w:szCs w:val="18"/>
    </w:rPr>
  </w:style>
  <w:style w:type="paragraph" w:styleId="ListBullet2">
    <w:name w:val="List Bullet 2"/>
    <w:basedOn w:val="ListBullet"/>
    <w:uiPriority w:val="99"/>
    <w:semiHidden/>
    <w:rsid w:val="00244F60"/>
    <w:pPr>
      <w:numPr>
        <w:ilvl w:val="1"/>
      </w:numPr>
    </w:pPr>
  </w:style>
  <w:style w:type="paragraph" w:customStyle="1" w:styleId="TableText">
    <w:name w:val="Table Text"/>
    <w:uiPriority w:val="2"/>
    <w:qFormat/>
    <w:rsid w:val="00244F60"/>
    <w:pPr>
      <w:numPr>
        <w:numId w:val="9"/>
      </w:numPr>
      <w:spacing w:before="80" w:after="80" w:line="240" w:lineRule="auto"/>
    </w:pPr>
    <w:rPr>
      <w:rFonts w:ascii="Arial" w:hAnsi="Arial"/>
      <w:sz w:val="18"/>
      <w:szCs w:val="20"/>
    </w:rPr>
  </w:style>
  <w:style w:type="paragraph" w:styleId="EndnoteText">
    <w:name w:val="endnote text"/>
    <w:basedOn w:val="Normal"/>
    <w:link w:val="EndnoteTextChar"/>
    <w:uiPriority w:val="99"/>
    <w:rsid w:val="00244F60"/>
    <w:pPr>
      <w:keepLines/>
      <w:spacing w:line="240" w:lineRule="auto"/>
      <w:ind w:left="340" w:hanging="340"/>
    </w:pPr>
    <w:rPr>
      <w:sz w:val="18"/>
      <w:szCs w:val="18"/>
    </w:rPr>
  </w:style>
  <w:style w:type="paragraph" w:styleId="ListBullet3">
    <w:name w:val="List Bullet 3"/>
    <w:basedOn w:val="ListBullet2"/>
    <w:uiPriority w:val="99"/>
    <w:semiHidden/>
    <w:rsid w:val="00244F60"/>
    <w:pPr>
      <w:numPr>
        <w:ilvl w:val="2"/>
      </w:numPr>
    </w:pPr>
  </w:style>
  <w:style w:type="character" w:customStyle="1" w:styleId="EndnoteTextChar">
    <w:name w:val="Endnote Text Char"/>
    <w:basedOn w:val="DefaultParagraphFont"/>
    <w:link w:val="EndnoteText"/>
    <w:uiPriority w:val="99"/>
    <w:rsid w:val="00244F60"/>
    <w:rPr>
      <w:rFonts w:ascii="Arial" w:hAnsi="Arial"/>
      <w:sz w:val="18"/>
      <w:szCs w:val="18"/>
    </w:rPr>
  </w:style>
  <w:style w:type="paragraph" w:styleId="Footer">
    <w:name w:val="footer"/>
    <w:basedOn w:val="BodyText"/>
    <w:link w:val="FooterChar"/>
    <w:uiPriority w:val="99"/>
    <w:rsid w:val="00244F60"/>
    <w:pPr>
      <w:spacing w:before="600" w:line="240" w:lineRule="auto"/>
    </w:pPr>
    <w:rPr>
      <w:rFonts w:cstheme="minorHAnsi"/>
      <w:noProof/>
      <w:color w:val="000000" w:themeColor="text1"/>
      <w:sz w:val="16"/>
      <w:szCs w:val="18"/>
    </w:rPr>
  </w:style>
  <w:style w:type="character" w:customStyle="1" w:styleId="FooterChar">
    <w:name w:val="Footer Char"/>
    <w:basedOn w:val="DefaultParagraphFont"/>
    <w:link w:val="Footer"/>
    <w:uiPriority w:val="99"/>
    <w:rsid w:val="00244F60"/>
    <w:rPr>
      <w:rFonts w:ascii="Arial" w:hAnsi="Arial" w:cstheme="minorHAnsi"/>
      <w:noProof/>
      <w:color w:val="000000" w:themeColor="text1"/>
      <w:sz w:val="16"/>
      <w:szCs w:val="18"/>
    </w:rPr>
  </w:style>
  <w:style w:type="character" w:styleId="FootnoteReference">
    <w:name w:val="footnote reference"/>
    <w:basedOn w:val="DefaultParagraphFont"/>
    <w:uiPriority w:val="99"/>
    <w:rsid w:val="00244F60"/>
    <w:rPr>
      <w:vertAlign w:val="superscript"/>
    </w:rPr>
  </w:style>
  <w:style w:type="paragraph" w:styleId="FootnoteText">
    <w:name w:val="footnote text"/>
    <w:basedOn w:val="Normal"/>
    <w:link w:val="FootnoteTextChar"/>
    <w:uiPriority w:val="99"/>
    <w:rsid w:val="00244F60"/>
    <w:pPr>
      <w:keepLines/>
      <w:spacing w:line="240" w:lineRule="auto"/>
      <w:ind w:left="340" w:hanging="340"/>
    </w:pPr>
    <w:rPr>
      <w:sz w:val="18"/>
      <w:szCs w:val="18"/>
    </w:rPr>
  </w:style>
  <w:style w:type="character" w:customStyle="1" w:styleId="FootnoteTextChar">
    <w:name w:val="Footnote Text Char"/>
    <w:basedOn w:val="DefaultParagraphFont"/>
    <w:link w:val="FootnoteText"/>
    <w:uiPriority w:val="99"/>
    <w:rsid w:val="00244F60"/>
    <w:rPr>
      <w:rFonts w:ascii="Arial" w:hAnsi="Arial"/>
      <w:sz w:val="18"/>
      <w:szCs w:val="18"/>
    </w:rPr>
  </w:style>
  <w:style w:type="paragraph" w:styleId="Header">
    <w:name w:val="header"/>
    <w:basedOn w:val="BodyText"/>
    <w:link w:val="HeaderChar"/>
    <w:uiPriority w:val="99"/>
    <w:rsid w:val="00244F60"/>
    <w:pPr>
      <w:spacing w:before="0" w:after="840" w:line="240" w:lineRule="auto"/>
    </w:pPr>
    <w:rPr>
      <w:color w:val="00BAD4" w:themeColor="text2"/>
      <w:sz w:val="16"/>
      <w:szCs w:val="18"/>
    </w:rPr>
  </w:style>
  <w:style w:type="character" w:customStyle="1" w:styleId="HeaderChar">
    <w:name w:val="Header Char"/>
    <w:basedOn w:val="DefaultParagraphFont"/>
    <w:link w:val="Header"/>
    <w:uiPriority w:val="99"/>
    <w:rsid w:val="00244F60"/>
    <w:rPr>
      <w:rFonts w:ascii="Arial" w:hAnsi="Arial"/>
      <w:color w:val="00BAD4" w:themeColor="text2"/>
      <w:sz w:val="16"/>
      <w:szCs w:val="18"/>
    </w:rPr>
  </w:style>
  <w:style w:type="character" w:styleId="Hyperlink">
    <w:name w:val="Hyperlink"/>
    <w:basedOn w:val="DefaultParagraphFont"/>
    <w:uiPriority w:val="99"/>
    <w:rsid w:val="00244F60"/>
    <w:rPr>
      <w:color w:val="005C6A" w:themeColor="text2" w:themeShade="80"/>
      <w:u w:val="single"/>
    </w:rPr>
  </w:style>
  <w:style w:type="paragraph" w:styleId="ListNumber">
    <w:name w:val="List Number"/>
    <w:basedOn w:val="BodyText"/>
    <w:uiPriority w:val="99"/>
    <w:semiHidden/>
    <w:rsid w:val="00244F60"/>
    <w:pPr>
      <w:numPr>
        <w:numId w:val="6"/>
      </w:numPr>
      <w:contextualSpacing/>
    </w:pPr>
  </w:style>
  <w:style w:type="paragraph" w:styleId="ListNumber2">
    <w:name w:val="List Number 2"/>
    <w:basedOn w:val="ListNumber"/>
    <w:uiPriority w:val="99"/>
    <w:semiHidden/>
    <w:rsid w:val="00244F60"/>
    <w:pPr>
      <w:numPr>
        <w:numId w:val="7"/>
      </w:numPr>
    </w:pPr>
  </w:style>
  <w:style w:type="paragraph" w:styleId="ListNumber3">
    <w:name w:val="List Number 3"/>
    <w:basedOn w:val="List2"/>
    <w:uiPriority w:val="99"/>
    <w:semiHidden/>
    <w:rsid w:val="00244F60"/>
    <w:pPr>
      <w:numPr>
        <w:numId w:val="8"/>
      </w:numPr>
    </w:pPr>
  </w:style>
  <w:style w:type="character" w:styleId="PageNumber">
    <w:name w:val="page number"/>
    <w:basedOn w:val="DefaultParagraphFont"/>
    <w:uiPriority w:val="99"/>
    <w:semiHidden/>
    <w:rsid w:val="00244F60"/>
  </w:style>
  <w:style w:type="paragraph" w:styleId="List2">
    <w:name w:val="List 2"/>
    <w:basedOn w:val="Normal"/>
    <w:uiPriority w:val="99"/>
    <w:semiHidden/>
    <w:rsid w:val="00244F60"/>
    <w:pPr>
      <w:ind w:left="566" w:hanging="283"/>
      <w:contextualSpacing/>
    </w:pPr>
  </w:style>
  <w:style w:type="paragraph" w:styleId="TableofFigures">
    <w:name w:val="table of figures"/>
    <w:basedOn w:val="TOC1"/>
    <w:next w:val="BodyText"/>
    <w:uiPriority w:val="99"/>
    <w:rsid w:val="00244F60"/>
    <w:pPr>
      <w:spacing w:before="80"/>
    </w:pPr>
    <w:rPr>
      <w:color w:val="000000" w:themeColor="text1"/>
    </w:rPr>
  </w:style>
  <w:style w:type="character" w:customStyle="1" w:styleId="Heading7Char">
    <w:name w:val="Heading 7 Char"/>
    <w:aliases w:val="(Appendix Heading) Char"/>
    <w:basedOn w:val="DefaultParagraphFont"/>
    <w:link w:val="Heading7"/>
    <w:uiPriority w:val="12"/>
    <w:rsid w:val="00244F60"/>
    <w:rPr>
      <w:rFonts w:ascii="Arial" w:eastAsiaTheme="majorEastAsia" w:hAnsi="Arial" w:cstheme="majorBidi"/>
      <w:bCs/>
      <w:iCs/>
      <w:color w:val="E52923" w:themeColor="background2"/>
      <w:sz w:val="44"/>
      <w:szCs w:val="40"/>
    </w:rPr>
  </w:style>
  <w:style w:type="paragraph" w:customStyle="1" w:styleId="TableBullet1">
    <w:name w:val="Table Bullet 1"/>
    <w:basedOn w:val="TableText"/>
    <w:uiPriority w:val="3"/>
    <w:qFormat/>
    <w:rsid w:val="00244F60"/>
    <w:pPr>
      <w:numPr>
        <w:numId w:val="10"/>
      </w:numPr>
    </w:pPr>
  </w:style>
  <w:style w:type="paragraph" w:customStyle="1" w:styleId="TableBullet2">
    <w:name w:val="Table Bullet 2"/>
    <w:basedOn w:val="TableBullet1"/>
    <w:uiPriority w:val="3"/>
    <w:qFormat/>
    <w:rsid w:val="00244F60"/>
    <w:pPr>
      <w:numPr>
        <w:ilvl w:val="1"/>
      </w:numPr>
    </w:pPr>
  </w:style>
  <w:style w:type="paragraph" w:customStyle="1" w:styleId="BodyNumbering1">
    <w:name w:val="Body Numbering 1"/>
    <w:basedOn w:val="BodyBullet1"/>
    <w:uiPriority w:val="7"/>
    <w:qFormat/>
    <w:rsid w:val="00244F60"/>
    <w:pPr>
      <w:numPr>
        <w:ilvl w:val="3"/>
      </w:numPr>
    </w:pPr>
  </w:style>
  <w:style w:type="paragraph" w:customStyle="1" w:styleId="BodyNumbering2">
    <w:name w:val="Body Numbering 2"/>
    <w:basedOn w:val="BodyNumbering1"/>
    <w:uiPriority w:val="7"/>
    <w:qFormat/>
    <w:rsid w:val="00244F60"/>
    <w:pPr>
      <w:numPr>
        <w:ilvl w:val="4"/>
      </w:numPr>
    </w:pPr>
  </w:style>
  <w:style w:type="paragraph" w:customStyle="1" w:styleId="BodyBullet1">
    <w:name w:val="Body Bullet 1"/>
    <w:basedOn w:val="BodyText"/>
    <w:uiPriority w:val="1"/>
    <w:qFormat/>
    <w:rsid w:val="00244F60"/>
    <w:pPr>
      <w:numPr>
        <w:numId w:val="3"/>
      </w:numPr>
    </w:pPr>
  </w:style>
  <w:style w:type="paragraph" w:customStyle="1" w:styleId="BodyBullet2">
    <w:name w:val="Body Bullet 2"/>
    <w:basedOn w:val="BodyBullet1"/>
    <w:uiPriority w:val="1"/>
    <w:qFormat/>
    <w:rsid w:val="00244F60"/>
    <w:pPr>
      <w:numPr>
        <w:ilvl w:val="1"/>
      </w:numPr>
    </w:pPr>
  </w:style>
  <w:style w:type="paragraph" w:customStyle="1" w:styleId="BodyBullet3">
    <w:name w:val="Body Bullet 3"/>
    <w:basedOn w:val="BodyBullet2"/>
    <w:uiPriority w:val="1"/>
    <w:qFormat/>
    <w:rsid w:val="00244F60"/>
    <w:pPr>
      <w:numPr>
        <w:ilvl w:val="2"/>
      </w:numPr>
    </w:pPr>
  </w:style>
  <w:style w:type="paragraph" w:customStyle="1" w:styleId="BodyNumbering3">
    <w:name w:val="Body Numbering 3"/>
    <w:basedOn w:val="BodyNumbering2"/>
    <w:uiPriority w:val="7"/>
    <w:qFormat/>
    <w:rsid w:val="00244F60"/>
    <w:pPr>
      <w:numPr>
        <w:ilvl w:val="5"/>
      </w:numPr>
    </w:pPr>
  </w:style>
  <w:style w:type="paragraph" w:customStyle="1" w:styleId="BodyIndent1">
    <w:name w:val="Body Indent 1"/>
    <w:basedOn w:val="BodyBullet1"/>
    <w:uiPriority w:val="99"/>
    <w:rsid w:val="00244F60"/>
    <w:pPr>
      <w:numPr>
        <w:numId w:val="0"/>
      </w:numPr>
      <w:ind w:left="340"/>
    </w:pPr>
  </w:style>
  <w:style w:type="paragraph" w:customStyle="1" w:styleId="TableBullet3">
    <w:name w:val="Table Bullet 3"/>
    <w:basedOn w:val="TableBullet2"/>
    <w:uiPriority w:val="3"/>
    <w:qFormat/>
    <w:rsid w:val="00244F60"/>
    <w:pPr>
      <w:numPr>
        <w:ilvl w:val="2"/>
      </w:numPr>
    </w:pPr>
  </w:style>
  <w:style w:type="paragraph" w:customStyle="1" w:styleId="TableNumbering1">
    <w:name w:val="Table Numbering 1"/>
    <w:basedOn w:val="TableBullet1"/>
    <w:uiPriority w:val="99"/>
    <w:rsid w:val="00244F60"/>
    <w:pPr>
      <w:numPr>
        <w:ilvl w:val="3"/>
      </w:numPr>
    </w:pPr>
  </w:style>
  <w:style w:type="paragraph" w:customStyle="1" w:styleId="TableNumbering2">
    <w:name w:val="Table Numbering 2"/>
    <w:basedOn w:val="TableNumbering1"/>
    <w:uiPriority w:val="99"/>
    <w:rsid w:val="00244F60"/>
    <w:pPr>
      <w:numPr>
        <w:ilvl w:val="4"/>
      </w:numPr>
    </w:pPr>
  </w:style>
  <w:style w:type="paragraph" w:customStyle="1" w:styleId="TableNumbering3">
    <w:name w:val="Table Numbering 3"/>
    <w:basedOn w:val="TableNumbering2"/>
    <w:uiPriority w:val="99"/>
    <w:rsid w:val="00244F60"/>
    <w:pPr>
      <w:numPr>
        <w:ilvl w:val="5"/>
      </w:numPr>
    </w:pPr>
  </w:style>
  <w:style w:type="paragraph" w:customStyle="1" w:styleId="TableIndent1">
    <w:name w:val="Table Indent 1"/>
    <w:basedOn w:val="TableBullet1"/>
    <w:uiPriority w:val="99"/>
    <w:rsid w:val="00244F60"/>
    <w:pPr>
      <w:numPr>
        <w:numId w:val="0"/>
      </w:numPr>
      <w:ind w:left="340"/>
    </w:pPr>
  </w:style>
  <w:style w:type="paragraph" w:customStyle="1" w:styleId="TableIndent2">
    <w:name w:val="Table Indent 2"/>
    <w:basedOn w:val="TableBullet2"/>
    <w:uiPriority w:val="99"/>
    <w:rsid w:val="00244F60"/>
    <w:pPr>
      <w:numPr>
        <w:ilvl w:val="0"/>
        <w:numId w:val="0"/>
      </w:numPr>
      <w:ind w:left="680"/>
    </w:pPr>
  </w:style>
  <w:style w:type="paragraph" w:customStyle="1" w:styleId="TableIndent3">
    <w:name w:val="Table Indent 3"/>
    <w:basedOn w:val="TableBullet3"/>
    <w:uiPriority w:val="99"/>
    <w:rsid w:val="00244F60"/>
    <w:pPr>
      <w:numPr>
        <w:ilvl w:val="0"/>
        <w:numId w:val="0"/>
      </w:numPr>
      <w:ind w:left="1021"/>
    </w:pPr>
  </w:style>
  <w:style w:type="table" w:customStyle="1" w:styleId="MainTableStyle">
    <w:name w:val="Main Table Style"/>
    <w:basedOn w:val="TableNormal"/>
    <w:uiPriority w:val="99"/>
    <w:rsid w:val="00291D99"/>
    <w:pPr>
      <w:spacing w:after="0" w:line="240" w:lineRule="auto"/>
    </w:pPr>
    <w:rPr>
      <w:sz w:val="20"/>
    </w:rPr>
    <w:tblPr>
      <w:tblBorders>
        <w:top w:val="single" w:sz="4" w:space="0" w:color="A59C94" w:themeColor="accent3"/>
        <w:bottom w:val="single" w:sz="4" w:space="0" w:color="A59C94" w:themeColor="accent3"/>
        <w:insideH w:val="single" w:sz="4" w:space="0" w:color="A59C94" w:themeColor="accent3"/>
        <w:insideV w:val="single" w:sz="4" w:space="0" w:color="A59C94" w:themeColor="accent3"/>
      </w:tblBorders>
    </w:tblPr>
    <w:tblStylePr w:type="firstRow">
      <w:pPr>
        <w:keepNext/>
        <w:keepLines/>
        <w:widowControl/>
        <w:wordWrap/>
        <w:jc w:val="left"/>
      </w:pPr>
      <w:rPr>
        <w:b/>
        <w:color w:val="FFFFFF" w:themeColor="background1"/>
      </w:rPr>
      <w:tblPr/>
      <w:trPr>
        <w:cantSplit/>
        <w:tblHeader/>
      </w:trPr>
      <w:tcPr>
        <w:tcBorders>
          <w:top w:val="single" w:sz="4" w:space="0" w:color="00BAD4" w:themeColor="text2"/>
          <w:left w:val="nil"/>
          <w:bottom w:val="single" w:sz="4" w:space="0" w:color="00BAD4" w:themeColor="text2"/>
          <w:right w:val="nil"/>
          <w:insideH w:val="nil"/>
          <w:insideV w:val="single" w:sz="4" w:space="0" w:color="FFFFFF" w:themeColor="background1"/>
          <w:tl2br w:val="nil"/>
          <w:tr2bl w:val="nil"/>
        </w:tcBorders>
        <w:shd w:val="clear" w:color="auto" w:fill="00BAD4" w:themeFill="text2"/>
        <w:vAlign w:val="bottom"/>
      </w:tcPr>
    </w:tblStylePr>
    <w:tblStylePr w:type="lastRow">
      <w:pPr>
        <w:keepLines/>
        <w:widowControl/>
        <w:wordWrap/>
        <w:jc w:val="left"/>
      </w:pPr>
      <w:rPr>
        <w:b/>
      </w:rPr>
      <w:tblPr/>
      <w:tcPr>
        <w:tcBorders>
          <w:top w:val="single" w:sz="4" w:space="0" w:color="00BAD4" w:themeColor="text2"/>
          <w:left w:val="nil"/>
          <w:bottom w:val="single" w:sz="4" w:space="0" w:color="00BAD4" w:themeColor="text2"/>
          <w:right w:val="nil"/>
          <w:insideH w:val="nil"/>
          <w:insideV w:val="single" w:sz="4" w:space="0" w:color="A59C94" w:themeColor="accent3"/>
          <w:tl2br w:val="nil"/>
          <w:tr2bl w:val="nil"/>
        </w:tcBorders>
        <w:shd w:val="clear" w:color="auto" w:fill="F6F5F4"/>
      </w:tcPr>
    </w:tblStylePr>
    <w:tblStylePr w:type="firstCol">
      <w:rPr>
        <w:color w:val="008A9E" w:themeColor="text2" w:themeShade="BF"/>
      </w:rPr>
      <w:tblPr/>
      <w:tcPr>
        <w:tcBorders>
          <w:top w:val="single" w:sz="4" w:space="0" w:color="A59C94" w:themeColor="accent3"/>
          <w:left w:val="nil"/>
          <w:bottom w:val="single" w:sz="4" w:space="0" w:color="A59C94" w:themeColor="accent3"/>
          <w:right w:val="nil"/>
          <w:insideH w:val="single" w:sz="4" w:space="0" w:color="796E65" w:themeColor="accent4"/>
          <w:insideV w:val="nil"/>
          <w:tl2br w:val="nil"/>
          <w:tr2bl w:val="nil"/>
        </w:tcBorders>
        <w:shd w:val="clear" w:color="auto" w:fill="F6F5F4"/>
      </w:tcPr>
    </w:tblStylePr>
  </w:style>
  <w:style w:type="paragraph" w:customStyle="1" w:styleId="BodyTextSingleSpacing">
    <w:name w:val="Body Text Single Spacing"/>
    <w:basedOn w:val="BodyText"/>
    <w:rsid w:val="00244F60"/>
    <w:pPr>
      <w:spacing w:before="0" w:after="0" w:line="240" w:lineRule="auto"/>
    </w:pPr>
  </w:style>
  <w:style w:type="table" w:customStyle="1" w:styleId="RowMainTableStyle">
    <w:name w:val="Row Main Table Style"/>
    <w:basedOn w:val="TableNormal"/>
    <w:uiPriority w:val="99"/>
    <w:rsid w:val="00244F60"/>
    <w:pPr>
      <w:spacing w:after="0" w:line="240" w:lineRule="auto"/>
    </w:pPr>
    <w:rPr>
      <w:sz w:val="20"/>
    </w:rPr>
    <w:tblPr>
      <w:tblBorders>
        <w:top w:val="single" w:sz="4" w:space="0" w:color="A59C94" w:themeColor="accent3"/>
        <w:bottom w:val="single" w:sz="4" w:space="0" w:color="A59C94" w:themeColor="accent3"/>
        <w:insideH w:val="single" w:sz="4" w:space="0" w:color="A59C94" w:themeColor="accent3"/>
        <w:insideV w:val="single" w:sz="4" w:space="0" w:color="A59C94" w:themeColor="accent3"/>
      </w:tblBorders>
    </w:tblPr>
    <w:tcPr>
      <w:shd w:val="clear" w:color="auto" w:fill="auto"/>
    </w:tcPr>
    <w:tblStylePr w:type="firstRow">
      <w:pPr>
        <w:keepNext/>
        <w:keepLines/>
        <w:widowControl/>
        <w:wordWrap/>
        <w:jc w:val="left"/>
      </w:pPr>
      <w:rPr>
        <w:b w:val="0"/>
        <w:i w:val="0"/>
        <w:color w:val="00BAD4" w:themeColor="text2"/>
      </w:rPr>
      <w:tblPr/>
      <w:trPr>
        <w:cantSplit/>
        <w:tblHeader/>
      </w:trPr>
      <w:tcPr>
        <w:tcBorders>
          <w:top w:val="nil"/>
          <w:left w:val="nil"/>
          <w:bottom w:val="single" w:sz="12" w:space="0" w:color="00BAD4" w:themeColor="text2"/>
          <w:right w:val="nil"/>
          <w:insideH w:val="nil"/>
          <w:insideV w:val="nil"/>
          <w:tl2br w:val="nil"/>
          <w:tr2bl w:val="nil"/>
        </w:tcBorders>
        <w:shd w:val="clear" w:color="auto" w:fill="FFFFFF" w:themeFill="background1"/>
        <w:vAlign w:val="bottom"/>
      </w:tcPr>
    </w:tblStylePr>
    <w:tblStylePr w:type="lastRow">
      <w:pPr>
        <w:keepNext w:val="0"/>
        <w:keepLines/>
        <w:widowControl/>
        <w:wordWrap/>
      </w:pPr>
      <w:rPr>
        <w:b/>
      </w:rPr>
      <w:tblPr/>
      <w:tcPr>
        <w:tcBorders>
          <w:top w:val="single" w:sz="12" w:space="0" w:color="00BAD4" w:themeColor="text2"/>
          <w:left w:val="nil"/>
          <w:bottom w:val="single" w:sz="12" w:space="0" w:color="00BAD4" w:themeColor="text2"/>
          <w:right w:val="nil"/>
          <w:insideH w:val="nil"/>
          <w:insideV w:val="single" w:sz="4" w:space="0" w:color="A59C94" w:themeColor="accent3"/>
          <w:tl2br w:val="nil"/>
          <w:tr2bl w:val="nil"/>
        </w:tcBorders>
        <w:shd w:val="clear" w:color="auto" w:fill="F6F5F4"/>
      </w:tcPr>
    </w:tblStylePr>
    <w:tblStylePr w:type="firstCol">
      <w:pPr>
        <w:keepLines w:val="0"/>
        <w:widowControl/>
        <w:wordWrap/>
      </w:pPr>
      <w:rPr>
        <w:b w:val="0"/>
        <w:i w:val="0"/>
        <w:color w:val="008A9E" w:themeColor="text2" w:themeShade="BF"/>
      </w:rPr>
      <w:tblPr/>
      <w:tcPr>
        <w:tcBorders>
          <w:top w:val="single" w:sz="4" w:space="0" w:color="A59C94" w:themeColor="accent3"/>
          <w:left w:val="nil"/>
          <w:bottom w:val="single" w:sz="4" w:space="0" w:color="A59C94" w:themeColor="accent3"/>
          <w:right w:val="single" w:sz="8" w:space="0" w:color="00BAD4" w:themeColor="text2"/>
          <w:insideH w:val="single" w:sz="4" w:space="0" w:color="00BAD4" w:themeColor="text2"/>
          <w:insideV w:val="nil"/>
          <w:tl2br w:val="nil"/>
          <w:tr2bl w:val="nil"/>
        </w:tcBorders>
        <w:shd w:val="clear" w:color="auto" w:fill="F6F5F4"/>
      </w:tcPr>
    </w:tblStylePr>
  </w:style>
  <w:style w:type="character" w:customStyle="1" w:styleId="CharacterStyle-DarkColour">
    <w:name w:val="Character Style - Dark Colour"/>
    <w:basedOn w:val="DefaultParagraphFont"/>
    <w:uiPriority w:val="11"/>
    <w:qFormat/>
    <w:rsid w:val="00244F60"/>
    <w:rPr>
      <w:color w:val="00BAD4" w:themeColor="text2"/>
    </w:rPr>
  </w:style>
  <w:style w:type="character" w:customStyle="1" w:styleId="CharacterStyle-BrightColour">
    <w:name w:val="Character Style - Bright Colour"/>
    <w:uiPriority w:val="11"/>
    <w:qFormat/>
    <w:rsid w:val="00244F60"/>
    <w:rPr>
      <w:color w:val="E52923" w:themeColor="background2"/>
    </w:rPr>
  </w:style>
  <w:style w:type="paragraph" w:customStyle="1" w:styleId="CoverTitle">
    <w:name w:val="Cover Title"/>
    <w:basedOn w:val="Normal"/>
    <w:next w:val="CoverSubtitle"/>
    <w:rsid w:val="00244F60"/>
    <w:pPr>
      <w:spacing w:before="0" w:after="0"/>
    </w:pPr>
    <w:rPr>
      <w:color w:val="000000" w:themeColor="text1"/>
      <w:sz w:val="40"/>
    </w:rPr>
  </w:style>
  <w:style w:type="paragraph" w:customStyle="1" w:styleId="CoverSubtitle">
    <w:name w:val="Cover Subtitle"/>
    <w:basedOn w:val="BodyText"/>
    <w:next w:val="CoverDate"/>
    <w:rsid w:val="00244F60"/>
    <w:pPr>
      <w:spacing w:before="40"/>
    </w:pPr>
    <w:rPr>
      <w:color w:val="00BAD4" w:themeColor="text2"/>
      <w:sz w:val="36"/>
      <w:szCs w:val="76"/>
    </w:rPr>
  </w:style>
  <w:style w:type="paragraph" w:customStyle="1" w:styleId="CoverDate">
    <w:name w:val="Cover Date"/>
    <w:basedOn w:val="Normal"/>
    <w:next w:val="BodyText"/>
    <w:rsid w:val="00244F60"/>
    <w:rPr>
      <w:color w:val="A59C94" w:themeColor="accent3"/>
      <w:sz w:val="28"/>
      <w:szCs w:val="48"/>
    </w:rPr>
  </w:style>
  <w:style w:type="paragraph" w:customStyle="1" w:styleId="Spacer">
    <w:name w:val="Spacer"/>
    <w:basedOn w:val="BodyTextSingleSpacing"/>
    <w:rsid w:val="00244F60"/>
    <w:pPr>
      <w:spacing w:before="160" w:after="160" w:line="280" w:lineRule="atLeast"/>
    </w:pPr>
  </w:style>
  <w:style w:type="paragraph" w:styleId="BalloonText">
    <w:name w:val="Balloon Text"/>
    <w:basedOn w:val="Normal"/>
    <w:link w:val="BalloonTextChar"/>
    <w:uiPriority w:val="99"/>
    <w:semiHidden/>
    <w:rsid w:val="00244F6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4F60"/>
    <w:rPr>
      <w:rFonts w:ascii="Tahoma" w:hAnsi="Tahoma" w:cs="Tahoma"/>
      <w:sz w:val="16"/>
      <w:szCs w:val="16"/>
    </w:rPr>
  </w:style>
  <w:style w:type="paragraph" w:customStyle="1" w:styleId="Heading1NoNumber">
    <w:name w:val="Heading 1 No Number"/>
    <w:basedOn w:val="Heading1"/>
    <w:next w:val="BodyText"/>
    <w:rsid w:val="00244F60"/>
    <w:pPr>
      <w:numPr>
        <w:numId w:val="0"/>
      </w:numPr>
    </w:pPr>
  </w:style>
  <w:style w:type="paragraph" w:styleId="Date">
    <w:name w:val="Date"/>
    <w:basedOn w:val="BodyText"/>
    <w:next w:val="BodyTextSingleSpacing"/>
    <w:link w:val="DateChar"/>
    <w:uiPriority w:val="99"/>
    <w:semiHidden/>
    <w:rsid w:val="00244F60"/>
    <w:pPr>
      <w:pageBreakBefore/>
      <w:spacing w:after="720"/>
    </w:pPr>
  </w:style>
  <w:style w:type="character" w:customStyle="1" w:styleId="DateChar">
    <w:name w:val="Date Char"/>
    <w:basedOn w:val="DefaultParagraphFont"/>
    <w:link w:val="Date"/>
    <w:uiPriority w:val="99"/>
    <w:semiHidden/>
    <w:rsid w:val="00244F60"/>
    <w:rPr>
      <w:rFonts w:ascii="Arial" w:hAnsi="Arial"/>
      <w:sz w:val="20"/>
    </w:rPr>
  </w:style>
  <w:style w:type="paragraph" w:styleId="Signature">
    <w:name w:val="Signature"/>
    <w:basedOn w:val="BodyText"/>
    <w:next w:val="BodyTextSingleSpacing"/>
    <w:link w:val="SignatureChar"/>
    <w:uiPriority w:val="99"/>
    <w:semiHidden/>
    <w:rsid w:val="00244F60"/>
    <w:pPr>
      <w:keepNext/>
      <w:spacing w:before="360" w:after="360"/>
    </w:pPr>
  </w:style>
  <w:style w:type="character" w:customStyle="1" w:styleId="SignatureChar">
    <w:name w:val="Signature Char"/>
    <w:basedOn w:val="DefaultParagraphFont"/>
    <w:link w:val="Signature"/>
    <w:uiPriority w:val="99"/>
    <w:semiHidden/>
    <w:rsid w:val="00244F60"/>
    <w:rPr>
      <w:rFonts w:ascii="Arial" w:hAnsi="Arial"/>
      <w:sz w:val="20"/>
    </w:rPr>
  </w:style>
  <w:style w:type="paragraph" w:customStyle="1" w:styleId="SubjectLine">
    <w:name w:val="Subject Line"/>
    <w:basedOn w:val="BodyText"/>
    <w:next w:val="BodyText"/>
    <w:semiHidden/>
    <w:rsid w:val="00244F60"/>
    <w:rPr>
      <w:b/>
      <w:caps/>
    </w:rPr>
  </w:style>
  <w:style w:type="paragraph" w:customStyle="1" w:styleId="Yourssincerely">
    <w:name w:val="Yours sincerely"/>
    <w:basedOn w:val="BodyText"/>
    <w:next w:val="Signature"/>
    <w:uiPriority w:val="99"/>
    <w:semiHidden/>
    <w:rsid w:val="00244F60"/>
    <w:pPr>
      <w:keepNext/>
    </w:pPr>
  </w:style>
  <w:style w:type="paragraph" w:customStyle="1" w:styleId="Disclaimer">
    <w:name w:val="Disclaimer"/>
    <w:basedOn w:val="Normal"/>
    <w:next w:val="BodyText"/>
    <w:semiHidden/>
    <w:rsid w:val="00244F60"/>
    <w:pPr>
      <w:spacing w:before="3000" w:line="240" w:lineRule="auto"/>
    </w:pPr>
    <w:rPr>
      <w:sz w:val="16"/>
      <w:szCs w:val="16"/>
    </w:rPr>
  </w:style>
  <w:style w:type="paragraph" w:styleId="TableofAuthorities">
    <w:name w:val="table of authorities"/>
    <w:basedOn w:val="TableofFigures"/>
    <w:next w:val="BodyText"/>
    <w:uiPriority w:val="99"/>
    <w:semiHidden/>
    <w:rsid w:val="00244F60"/>
  </w:style>
  <w:style w:type="paragraph" w:customStyle="1" w:styleId="Citationtext">
    <w:name w:val="Citation text"/>
    <w:basedOn w:val="BodyText"/>
    <w:rsid w:val="00244F60"/>
    <w:pPr>
      <w:spacing w:before="360" w:after="360"/>
    </w:pPr>
    <w:rPr>
      <w:i/>
      <w:color w:val="00BAD4" w:themeColor="text2"/>
      <w:sz w:val="24"/>
    </w:rPr>
  </w:style>
  <w:style w:type="character" w:customStyle="1" w:styleId="Heading8Char">
    <w:name w:val="Heading 8 Char"/>
    <w:basedOn w:val="DefaultParagraphFont"/>
    <w:link w:val="Heading8"/>
    <w:uiPriority w:val="12"/>
    <w:rsid w:val="00244F60"/>
    <w:rPr>
      <w:rFonts w:asciiTheme="majorHAnsi" w:eastAsiaTheme="majorEastAsia" w:hAnsiTheme="majorHAnsi" w:cstheme="majorBidi"/>
      <w:bCs/>
      <w:iCs/>
      <w:color w:val="00BAD4" w:themeColor="text2"/>
      <w:sz w:val="36"/>
      <w:szCs w:val="20"/>
    </w:rPr>
  </w:style>
  <w:style w:type="character" w:customStyle="1" w:styleId="Heading9Char">
    <w:name w:val="Heading 9 Char"/>
    <w:basedOn w:val="DefaultParagraphFont"/>
    <w:link w:val="Heading9"/>
    <w:uiPriority w:val="12"/>
    <w:rsid w:val="002B5936"/>
    <w:rPr>
      <w:rFonts w:asciiTheme="majorHAnsi" w:eastAsiaTheme="majorEastAsia" w:hAnsiTheme="majorHAnsi" w:cstheme="majorBidi"/>
      <w:bCs/>
      <w:color w:val="796E65" w:themeColor="accent4"/>
      <w:sz w:val="32"/>
      <w:szCs w:val="20"/>
    </w:rPr>
  </w:style>
  <w:style w:type="paragraph" w:customStyle="1" w:styleId="Object">
    <w:name w:val="Object"/>
    <w:basedOn w:val="BodyText"/>
    <w:next w:val="BodyText"/>
    <w:uiPriority w:val="4"/>
    <w:qFormat/>
    <w:rsid w:val="00244F60"/>
    <w:pPr>
      <w:spacing w:after="360"/>
    </w:pPr>
  </w:style>
  <w:style w:type="character" w:styleId="PlaceholderText">
    <w:name w:val="Placeholder Text"/>
    <w:basedOn w:val="DefaultParagraphFont"/>
    <w:uiPriority w:val="99"/>
    <w:rsid w:val="00244F60"/>
    <w:rPr>
      <w:color w:val="808080"/>
    </w:rPr>
  </w:style>
  <w:style w:type="paragraph" w:styleId="Quote">
    <w:name w:val="Quote"/>
    <w:basedOn w:val="BodyText"/>
    <w:next w:val="BodyText"/>
    <w:link w:val="QuoteChar"/>
    <w:uiPriority w:val="9"/>
    <w:qFormat/>
    <w:rsid w:val="00244F60"/>
    <w:pPr>
      <w:pBdr>
        <w:left w:val="thinThickSmallGap" w:sz="12" w:space="10" w:color="00B398" w:themeColor="accent5"/>
      </w:pBdr>
      <w:ind w:left="680" w:right="680"/>
    </w:pPr>
    <w:rPr>
      <w:i/>
      <w:iCs/>
      <w:color w:val="00B398" w:themeColor="accent5"/>
    </w:rPr>
  </w:style>
  <w:style w:type="character" w:customStyle="1" w:styleId="QuoteChar">
    <w:name w:val="Quote Char"/>
    <w:basedOn w:val="DefaultParagraphFont"/>
    <w:link w:val="Quote"/>
    <w:uiPriority w:val="9"/>
    <w:rsid w:val="00244F60"/>
    <w:rPr>
      <w:rFonts w:ascii="Arial" w:hAnsi="Arial"/>
      <w:i/>
      <w:iCs/>
      <w:color w:val="00B398" w:themeColor="accent5"/>
      <w:sz w:val="20"/>
    </w:rPr>
  </w:style>
  <w:style w:type="paragraph" w:customStyle="1" w:styleId="PageNo">
    <w:name w:val="Page No"/>
    <w:basedOn w:val="Footer"/>
    <w:link w:val="PageNoChar"/>
    <w:rsid w:val="00244F60"/>
    <w:pPr>
      <w:jc w:val="right"/>
    </w:pPr>
  </w:style>
  <w:style w:type="paragraph" w:customStyle="1" w:styleId="TableHeadingWhiteFont">
    <w:name w:val="Table Heading White Font"/>
    <w:basedOn w:val="TableText"/>
    <w:rsid w:val="00244F60"/>
    <w:pPr>
      <w:numPr>
        <w:numId w:val="0"/>
      </w:numPr>
    </w:pPr>
    <w:rPr>
      <w:color w:val="FFFFFF" w:themeColor="background1"/>
    </w:rPr>
  </w:style>
  <w:style w:type="character" w:customStyle="1" w:styleId="PageNoChar">
    <w:name w:val="Page No Char"/>
    <w:basedOn w:val="FooterChar"/>
    <w:link w:val="PageNo"/>
    <w:rsid w:val="00244F60"/>
    <w:rPr>
      <w:rFonts w:ascii="Arial" w:hAnsi="Arial" w:cstheme="minorHAnsi"/>
      <w:noProof/>
      <w:color w:val="000000" w:themeColor="text1"/>
      <w:sz w:val="16"/>
      <w:szCs w:val="18"/>
    </w:rPr>
  </w:style>
  <w:style w:type="paragraph" w:customStyle="1" w:styleId="IntroText">
    <w:name w:val="Intro Text"/>
    <w:basedOn w:val="BodyText"/>
    <w:rsid w:val="00244F60"/>
    <w:pPr>
      <w:keepNext/>
      <w:spacing w:before="360" w:after="360"/>
    </w:pPr>
    <w:rPr>
      <w:color w:val="A59C94" w:themeColor="accent3"/>
      <w:sz w:val="28"/>
    </w:rPr>
  </w:style>
  <w:style w:type="paragraph" w:customStyle="1" w:styleId="Heading2NoNumber">
    <w:name w:val="Heading 2 No Number"/>
    <w:basedOn w:val="Heading2"/>
    <w:uiPriority w:val="99"/>
    <w:qFormat/>
    <w:rsid w:val="00244F60"/>
    <w:pPr>
      <w:numPr>
        <w:ilvl w:val="0"/>
        <w:numId w:val="0"/>
      </w:numPr>
    </w:pPr>
  </w:style>
  <w:style w:type="paragraph" w:customStyle="1" w:styleId="Heading3NoNumber">
    <w:name w:val="Heading 3 No Number"/>
    <w:basedOn w:val="Heading3"/>
    <w:uiPriority w:val="99"/>
    <w:qFormat/>
    <w:rsid w:val="00244F60"/>
    <w:pPr>
      <w:numPr>
        <w:ilvl w:val="0"/>
        <w:numId w:val="0"/>
      </w:numPr>
    </w:pPr>
  </w:style>
  <w:style w:type="paragraph" w:customStyle="1" w:styleId="Calloutheading">
    <w:name w:val="Callout heading"/>
    <w:basedOn w:val="BodyText"/>
    <w:uiPriority w:val="9"/>
    <w:qFormat/>
    <w:rsid w:val="00244F60"/>
    <w:pPr>
      <w:spacing w:before="0"/>
    </w:pPr>
    <w:rPr>
      <w:b/>
      <w:color w:val="646F14" w:themeColor="accent1" w:themeShade="80"/>
    </w:rPr>
  </w:style>
  <w:style w:type="paragraph" w:customStyle="1" w:styleId="ChapterTitle">
    <w:name w:val="Chapter Title"/>
    <w:basedOn w:val="BodyText"/>
    <w:uiPriority w:val="99"/>
    <w:qFormat/>
    <w:rsid w:val="00244F60"/>
    <w:rPr>
      <w:sz w:val="68"/>
    </w:rPr>
  </w:style>
  <w:style w:type="paragraph" w:customStyle="1" w:styleId="ChapterSubtitle">
    <w:name w:val="Chapter Subtitle"/>
    <w:basedOn w:val="ChapterTitle"/>
    <w:next w:val="BodyText"/>
    <w:uiPriority w:val="99"/>
    <w:qFormat/>
    <w:rsid w:val="00244F60"/>
    <w:rPr>
      <w:color w:val="796E65" w:themeColor="accent4"/>
      <w:sz w:val="56"/>
    </w:rPr>
  </w:style>
  <w:style w:type="character" w:customStyle="1" w:styleId="CharacterStyle-Italic">
    <w:name w:val="Character Style - Italic"/>
    <w:basedOn w:val="CharacterStyle-BrightColour"/>
    <w:uiPriority w:val="1"/>
    <w:qFormat/>
    <w:rsid w:val="00244F60"/>
    <w:rPr>
      <w:i/>
      <w:color w:val="auto"/>
    </w:rPr>
  </w:style>
  <w:style w:type="character" w:customStyle="1" w:styleId="CharacterStyle-Underline">
    <w:name w:val="Character Style - Underline"/>
    <w:basedOn w:val="DefaultParagraphFont"/>
    <w:uiPriority w:val="1"/>
    <w:qFormat/>
    <w:rsid w:val="00244F60"/>
    <w:rPr>
      <w:u w:val="single"/>
    </w:rPr>
  </w:style>
  <w:style w:type="character" w:customStyle="1" w:styleId="CharacterStyle-Bold">
    <w:name w:val="Character Style - Bold"/>
    <w:basedOn w:val="DefaultParagraphFont"/>
    <w:uiPriority w:val="1"/>
    <w:qFormat/>
    <w:rsid w:val="00244F60"/>
    <w:rPr>
      <w:b/>
    </w:rPr>
  </w:style>
  <w:style w:type="character" w:customStyle="1" w:styleId="CharacterStyle-Subscript">
    <w:name w:val="Character Style - Subscript"/>
    <w:basedOn w:val="DefaultParagraphFont"/>
    <w:uiPriority w:val="1"/>
    <w:qFormat/>
    <w:rsid w:val="00244F60"/>
    <w:rPr>
      <w:vertAlign w:val="subscript"/>
    </w:rPr>
  </w:style>
  <w:style w:type="character" w:customStyle="1" w:styleId="CharacterStyle-Superscript">
    <w:name w:val="Character Style - Superscript"/>
    <w:basedOn w:val="DefaultParagraphFont"/>
    <w:uiPriority w:val="1"/>
    <w:qFormat/>
    <w:rsid w:val="00244F60"/>
    <w:rPr>
      <w:vertAlign w:val="superscript"/>
    </w:rPr>
  </w:style>
  <w:style w:type="character" w:customStyle="1" w:styleId="CharacterStyle-Highlight">
    <w:name w:val="Character Style - Highlight"/>
    <w:basedOn w:val="DefaultParagraphFont"/>
    <w:uiPriority w:val="1"/>
    <w:qFormat/>
    <w:rsid w:val="00244F60"/>
    <w:rPr>
      <w:bdr w:val="none" w:sz="0" w:space="0" w:color="auto"/>
      <w:shd w:val="clear" w:color="auto" w:fill="FFE72E" w:themeFill="accent2"/>
    </w:rPr>
  </w:style>
  <w:style w:type="character" w:customStyle="1" w:styleId="CharacterStyle-Strikethrough">
    <w:name w:val="Character Style - Strikethrough"/>
    <w:basedOn w:val="DefaultParagraphFont"/>
    <w:uiPriority w:val="1"/>
    <w:qFormat/>
    <w:rsid w:val="00244F60"/>
    <w:rPr>
      <w:strike/>
      <w:dstrike w:val="0"/>
    </w:rPr>
  </w:style>
  <w:style w:type="paragraph" w:customStyle="1" w:styleId="Callouttext">
    <w:name w:val="Callout text"/>
    <w:basedOn w:val="Calloutheading"/>
    <w:uiPriority w:val="9"/>
    <w:qFormat/>
    <w:rsid w:val="00244F60"/>
    <w:pPr>
      <w:spacing w:before="100" w:after="100" w:line="240" w:lineRule="auto"/>
    </w:pPr>
    <w:rPr>
      <w:b w:val="0"/>
      <w:color w:val="3C3732" w:themeColor="accent4" w:themeShade="80"/>
      <w:sz w:val="18"/>
    </w:rPr>
  </w:style>
  <w:style w:type="character" w:styleId="FollowedHyperlink">
    <w:name w:val="FollowedHyperlink"/>
    <w:basedOn w:val="DefaultParagraphFont"/>
    <w:uiPriority w:val="99"/>
    <w:rsid w:val="00244F60"/>
    <w:rPr>
      <w:color w:val="A59C94" w:themeColor="accent3"/>
      <w:u w:val="single"/>
    </w:rPr>
  </w:style>
  <w:style w:type="character" w:customStyle="1" w:styleId="Callouttextcolour">
    <w:name w:val="Callout text colour"/>
    <w:basedOn w:val="DefaultParagraphFont"/>
    <w:uiPriority w:val="1"/>
    <w:qFormat/>
    <w:rsid w:val="00244F60"/>
    <w:rPr>
      <w:color w:val="3C3732" w:themeColor="accent4" w:themeShade="80"/>
      <w:lang w:val="en-GB"/>
    </w:rPr>
  </w:style>
  <w:style w:type="paragraph" w:styleId="NoSpacing">
    <w:name w:val="No Spacing"/>
    <w:basedOn w:val="Normal"/>
    <w:link w:val="NoSpacingChar"/>
    <w:uiPriority w:val="1"/>
    <w:semiHidden/>
    <w:qFormat/>
    <w:locked/>
    <w:rsid w:val="00CB0512"/>
    <w:pPr>
      <w:spacing w:before="0" w:after="0" w:line="240" w:lineRule="auto"/>
    </w:pPr>
    <w:rPr>
      <w:rFonts w:cs="Arial"/>
      <w:sz w:val="18"/>
      <w:szCs w:val="20"/>
      <w:lang w:val="en-US"/>
    </w:rPr>
  </w:style>
  <w:style w:type="character" w:customStyle="1" w:styleId="NoSpacingChar">
    <w:name w:val="No Spacing Char"/>
    <w:basedOn w:val="DefaultParagraphFont"/>
    <w:link w:val="NoSpacing"/>
    <w:uiPriority w:val="1"/>
    <w:semiHidden/>
    <w:rsid w:val="009D3E2C"/>
    <w:rPr>
      <w:rFonts w:ascii="Arial" w:hAnsi="Arial" w:cs="Arial"/>
      <w:sz w:val="18"/>
      <w:szCs w:val="20"/>
      <w:lang w:val="en-US"/>
    </w:rPr>
  </w:style>
  <w:style w:type="paragraph" w:styleId="DocumentMap">
    <w:name w:val="Document Map"/>
    <w:basedOn w:val="Normal"/>
    <w:link w:val="DocumentMapChar"/>
    <w:uiPriority w:val="99"/>
    <w:semiHidden/>
    <w:unhideWhenUsed/>
    <w:rsid w:val="00CB0512"/>
    <w:pPr>
      <w:spacing w:before="0" w:after="0" w:line="240" w:lineRule="auto"/>
    </w:pPr>
    <w:rPr>
      <w:rFonts w:ascii="Tahoma" w:hAnsi="Tahoma" w:cs="Tahoma"/>
      <w:sz w:val="16"/>
      <w:szCs w:val="16"/>
      <w:lang w:val="en-GB"/>
    </w:rPr>
  </w:style>
  <w:style w:type="character" w:customStyle="1" w:styleId="DocumentMapChar">
    <w:name w:val="Document Map Char"/>
    <w:basedOn w:val="DefaultParagraphFont"/>
    <w:link w:val="DocumentMap"/>
    <w:uiPriority w:val="99"/>
    <w:semiHidden/>
    <w:rsid w:val="00CB0512"/>
    <w:rPr>
      <w:rFonts w:ascii="Tahoma" w:hAnsi="Tahoma" w:cs="Tahoma"/>
      <w:sz w:val="16"/>
      <w:szCs w:val="16"/>
      <w:lang w:val="en-GB"/>
    </w:rPr>
  </w:style>
  <w:style w:type="paragraph" w:customStyle="1" w:styleId="DividerTitle">
    <w:name w:val="Divider Title"/>
    <w:basedOn w:val="Normal"/>
    <w:link w:val="DividerTitleChar"/>
    <w:semiHidden/>
    <w:qFormat/>
    <w:rsid w:val="00CB0512"/>
    <w:pPr>
      <w:keepNext/>
      <w:keepLines/>
      <w:spacing w:before="170" w:after="113" w:line="240" w:lineRule="auto"/>
      <w:ind w:left="567" w:hanging="567"/>
    </w:pPr>
    <w:rPr>
      <w:rFonts w:asciiTheme="majorHAnsi" w:eastAsiaTheme="majorEastAsia" w:hAnsiTheme="majorHAnsi" w:cstheme="majorHAnsi"/>
      <w:bCs/>
      <w:color w:val="FFFFFF" w:themeColor="background1"/>
      <w:spacing w:val="5"/>
      <w:kern w:val="28"/>
      <w:sz w:val="70"/>
      <w:szCs w:val="70"/>
      <w:lang w:val="en-US"/>
    </w:rPr>
  </w:style>
  <w:style w:type="character" w:customStyle="1" w:styleId="DividerTitleChar">
    <w:name w:val="Divider Title Char"/>
    <w:basedOn w:val="DefaultParagraphFont"/>
    <w:link w:val="DividerTitle"/>
    <w:semiHidden/>
    <w:rsid w:val="00CB0512"/>
    <w:rPr>
      <w:rFonts w:asciiTheme="majorHAnsi" w:eastAsiaTheme="majorEastAsia" w:hAnsiTheme="majorHAnsi" w:cstheme="majorHAnsi"/>
      <w:bCs/>
      <w:color w:val="FFFFFF" w:themeColor="background1"/>
      <w:spacing w:val="5"/>
      <w:kern w:val="28"/>
      <w:sz w:val="70"/>
      <w:szCs w:val="70"/>
      <w:lang w:val="en-US"/>
    </w:rPr>
  </w:style>
  <w:style w:type="paragraph" w:customStyle="1" w:styleId="InfoBoxNormal">
    <w:name w:val="InfoBox Normal"/>
    <w:basedOn w:val="Normal"/>
    <w:uiPriority w:val="99"/>
    <w:semiHidden/>
    <w:qFormat/>
    <w:rsid w:val="00CB0512"/>
    <w:pPr>
      <w:spacing w:before="0" w:after="0" w:line="260" w:lineRule="exact"/>
    </w:pPr>
    <w:rPr>
      <w:rFonts w:cs="Arial"/>
      <w:sz w:val="18"/>
      <w:szCs w:val="20"/>
      <w:lang w:val="en-GB"/>
    </w:rPr>
  </w:style>
  <w:style w:type="paragraph" w:customStyle="1" w:styleId="InfoBoxHeading2">
    <w:name w:val="InfoBox Heading 2"/>
    <w:basedOn w:val="InfoBoxNormal"/>
    <w:uiPriority w:val="99"/>
    <w:semiHidden/>
    <w:qFormat/>
    <w:rsid w:val="00CB0512"/>
  </w:style>
  <w:style w:type="paragraph" w:customStyle="1" w:styleId="InfoBoxHeading1">
    <w:name w:val="InfoBox Heading 1"/>
    <w:basedOn w:val="InfoBoxHeading2"/>
    <w:uiPriority w:val="99"/>
    <w:semiHidden/>
    <w:qFormat/>
    <w:rsid w:val="00CB0512"/>
  </w:style>
  <w:style w:type="paragraph" w:customStyle="1" w:styleId="InfoBoxIntroText">
    <w:name w:val="InfoBox Intro Text"/>
    <w:basedOn w:val="Normal"/>
    <w:link w:val="InfoBoxIntroTextChar"/>
    <w:semiHidden/>
    <w:qFormat/>
    <w:rsid w:val="00CB0512"/>
    <w:pPr>
      <w:spacing w:before="0" w:after="113" w:line="280" w:lineRule="exact"/>
    </w:pPr>
    <w:rPr>
      <w:rFonts w:eastAsia="Times New Roman" w:cs="Arial"/>
      <w:color w:val="FFE72E" w:themeColor="accent2"/>
      <w:sz w:val="24"/>
      <w:szCs w:val="24"/>
      <w:lang w:val="en-US"/>
    </w:rPr>
  </w:style>
  <w:style w:type="character" w:customStyle="1" w:styleId="InfoBoxIntroTextChar">
    <w:name w:val="InfoBox Intro Text Char"/>
    <w:basedOn w:val="DefaultParagraphFont"/>
    <w:link w:val="InfoBoxIntroText"/>
    <w:semiHidden/>
    <w:rsid w:val="00CB0512"/>
    <w:rPr>
      <w:rFonts w:ascii="Arial" w:eastAsia="Times New Roman" w:hAnsi="Arial" w:cs="Arial"/>
      <w:color w:val="FFE72E" w:themeColor="accent2"/>
      <w:sz w:val="24"/>
      <w:szCs w:val="24"/>
      <w:lang w:val="en-US"/>
    </w:rPr>
  </w:style>
  <w:style w:type="paragraph" w:customStyle="1" w:styleId="InfoBoxTitle">
    <w:name w:val="InfoBox Title"/>
    <w:basedOn w:val="Normal"/>
    <w:link w:val="InfoBoxTitleChar"/>
    <w:semiHidden/>
    <w:qFormat/>
    <w:rsid w:val="00CB0512"/>
    <w:pPr>
      <w:spacing w:before="0" w:line="240" w:lineRule="auto"/>
    </w:pPr>
    <w:rPr>
      <w:rFonts w:eastAsia="Times New Roman"/>
      <w:b/>
      <w:color w:val="353D30"/>
      <w:sz w:val="40"/>
      <w:szCs w:val="40"/>
      <w:lang w:val="en-GB"/>
    </w:rPr>
  </w:style>
  <w:style w:type="character" w:customStyle="1" w:styleId="InfoBoxTitleChar">
    <w:name w:val="InfoBox Title Char"/>
    <w:basedOn w:val="DefaultParagraphFont"/>
    <w:link w:val="InfoBoxTitle"/>
    <w:semiHidden/>
    <w:rsid w:val="00CB0512"/>
    <w:rPr>
      <w:rFonts w:ascii="Arial" w:eastAsia="Times New Roman" w:hAnsi="Arial"/>
      <w:b/>
      <w:color w:val="353D30"/>
      <w:sz w:val="40"/>
      <w:szCs w:val="40"/>
      <w:lang w:val="en-GB"/>
    </w:rPr>
  </w:style>
  <w:style w:type="paragraph" w:customStyle="1" w:styleId="InfoBoxSubtitle">
    <w:name w:val="InfoBox Subtitle"/>
    <w:basedOn w:val="Normal"/>
    <w:link w:val="InfoBoxSubtitleChar"/>
    <w:semiHidden/>
    <w:qFormat/>
    <w:rsid w:val="00CB0512"/>
    <w:pPr>
      <w:spacing w:before="0" w:line="240" w:lineRule="auto"/>
    </w:pPr>
    <w:rPr>
      <w:rFonts w:eastAsia="Times New Roman"/>
      <w:color w:val="353D30"/>
      <w:sz w:val="40"/>
      <w:szCs w:val="40"/>
      <w:lang w:val="en-GB"/>
    </w:rPr>
  </w:style>
  <w:style w:type="character" w:customStyle="1" w:styleId="InfoBoxSubtitleChar">
    <w:name w:val="InfoBox Subtitle Char"/>
    <w:basedOn w:val="DefaultParagraphFont"/>
    <w:link w:val="InfoBoxSubtitle"/>
    <w:semiHidden/>
    <w:rsid w:val="00CB0512"/>
    <w:rPr>
      <w:rFonts w:ascii="Arial" w:eastAsia="Times New Roman" w:hAnsi="Arial"/>
      <w:color w:val="353D30"/>
      <w:sz w:val="40"/>
      <w:szCs w:val="40"/>
      <w:lang w:val="en-GB"/>
    </w:rPr>
  </w:style>
  <w:style w:type="paragraph" w:customStyle="1" w:styleId="TOFHeading">
    <w:name w:val="TOF Heading"/>
    <w:next w:val="TableofFigures"/>
    <w:uiPriority w:val="99"/>
    <w:semiHidden/>
    <w:rsid w:val="00CB0512"/>
    <w:rPr>
      <w:rFonts w:ascii="Arial" w:eastAsiaTheme="majorEastAsia" w:hAnsi="Arial" w:cstheme="majorBidi"/>
      <w:color w:val="C4D92E" w:themeColor="accent1"/>
      <w:spacing w:val="5"/>
      <w:kern w:val="28"/>
      <w:sz w:val="36"/>
      <w:szCs w:val="36"/>
      <w:lang w:val="en-US"/>
    </w:rPr>
  </w:style>
  <w:style w:type="table" w:styleId="MediumGrid1-Accent5">
    <w:name w:val="Medium Grid 1 Accent 5"/>
    <w:basedOn w:val="TableNormal"/>
    <w:uiPriority w:val="67"/>
    <w:rsid w:val="00CB0512"/>
    <w:pPr>
      <w:spacing w:after="0" w:line="240" w:lineRule="auto"/>
    </w:pPr>
    <w:rPr>
      <w:lang w:val="en-US"/>
    </w:rPr>
    <w:tblPr>
      <w:tblStyleRowBandSize w:val="1"/>
      <w:tblStyleColBandSize w:val="1"/>
      <w:tblBorders>
        <w:top w:val="single" w:sz="8" w:space="0" w:color="07FFD9" w:themeColor="accent5" w:themeTint="BF"/>
        <w:left w:val="single" w:sz="8" w:space="0" w:color="07FFD9" w:themeColor="accent5" w:themeTint="BF"/>
        <w:bottom w:val="single" w:sz="8" w:space="0" w:color="07FFD9" w:themeColor="accent5" w:themeTint="BF"/>
        <w:right w:val="single" w:sz="8" w:space="0" w:color="07FFD9" w:themeColor="accent5" w:themeTint="BF"/>
        <w:insideH w:val="single" w:sz="8" w:space="0" w:color="07FFD9" w:themeColor="accent5" w:themeTint="BF"/>
        <w:insideV w:val="single" w:sz="8" w:space="0" w:color="07FFD9" w:themeColor="accent5" w:themeTint="BF"/>
      </w:tblBorders>
    </w:tblPr>
    <w:tcPr>
      <w:shd w:val="clear" w:color="auto" w:fill="ADFFF2" w:themeFill="accent5" w:themeFillTint="3F"/>
    </w:tcPr>
    <w:tblStylePr w:type="firstRow">
      <w:rPr>
        <w:b/>
        <w:bCs/>
      </w:rPr>
      <w:tblPr/>
      <w:tcPr>
        <w:shd w:val="clear" w:color="auto" w:fill="C4D92E" w:themeFill="accent1"/>
      </w:tcPr>
    </w:tblStylePr>
    <w:tblStylePr w:type="lastRow">
      <w:rPr>
        <w:b/>
        <w:bCs/>
      </w:rPr>
      <w:tblPr/>
      <w:tcPr>
        <w:tcBorders>
          <w:top w:val="single" w:sz="18" w:space="0" w:color="07FFD9" w:themeColor="accent5" w:themeTint="BF"/>
        </w:tcBorders>
      </w:tcPr>
    </w:tblStylePr>
    <w:tblStylePr w:type="firstCol">
      <w:rPr>
        <w:b/>
        <w:bCs/>
      </w:rPr>
    </w:tblStylePr>
    <w:tblStylePr w:type="lastCol">
      <w:rPr>
        <w:b/>
        <w:bCs/>
      </w:rPr>
    </w:tblStylePr>
    <w:tblStylePr w:type="band1Vert">
      <w:tblPr/>
      <w:tcPr>
        <w:shd w:val="clear" w:color="auto" w:fill="5AFFE5" w:themeFill="accent5" w:themeFillTint="7F"/>
      </w:tcPr>
    </w:tblStylePr>
    <w:tblStylePr w:type="band1Horz">
      <w:tblPr/>
      <w:tcPr>
        <w:shd w:val="clear" w:color="auto" w:fill="5AFFE5" w:themeFill="accent5" w:themeFillTint="7F"/>
      </w:tcPr>
    </w:tblStylePr>
  </w:style>
  <w:style w:type="table" w:styleId="ColorfulGrid-Accent5">
    <w:name w:val="Colorful Grid Accent 5"/>
    <w:basedOn w:val="TableNormal"/>
    <w:uiPriority w:val="73"/>
    <w:rsid w:val="00CB0512"/>
    <w:pPr>
      <w:spacing w:after="0" w:line="240" w:lineRule="auto"/>
    </w:pPr>
    <w:rPr>
      <w:color w:val="000000" w:themeColor="text1"/>
      <w:lang w:val="en-US"/>
    </w:rPr>
    <w:tblPr>
      <w:tblStyleRowBandSize w:val="1"/>
      <w:tblStyleColBandSize w:val="1"/>
      <w:tblBorders>
        <w:insideH w:val="single" w:sz="4" w:space="0" w:color="FFFFFF" w:themeColor="background1"/>
      </w:tblBorders>
    </w:tblPr>
    <w:tcPr>
      <w:shd w:val="clear" w:color="auto" w:fill="BCFFF4" w:themeFill="accent5" w:themeFillTint="33"/>
    </w:tcPr>
    <w:tblStylePr w:type="firstRow">
      <w:rPr>
        <w:b/>
        <w:bCs/>
      </w:rPr>
      <w:tblPr/>
      <w:tcPr>
        <w:shd w:val="clear" w:color="auto" w:fill="7AFFEA" w:themeFill="accent5" w:themeFillTint="66"/>
      </w:tcPr>
    </w:tblStylePr>
    <w:tblStylePr w:type="lastRow">
      <w:rPr>
        <w:b/>
        <w:bCs/>
        <w:color w:val="000000" w:themeColor="text1"/>
      </w:rPr>
      <w:tblPr/>
      <w:tcPr>
        <w:shd w:val="clear" w:color="auto" w:fill="7AFFEA" w:themeFill="accent5" w:themeFillTint="66"/>
      </w:tcPr>
    </w:tblStylePr>
    <w:tblStylePr w:type="firstCol">
      <w:rPr>
        <w:color w:val="FFFFFF" w:themeColor="background1"/>
      </w:rPr>
      <w:tblPr/>
      <w:tcPr>
        <w:shd w:val="clear" w:color="auto" w:fill="008671" w:themeFill="accent5" w:themeFillShade="BF"/>
      </w:tcPr>
    </w:tblStylePr>
    <w:tblStylePr w:type="lastCol">
      <w:rPr>
        <w:color w:val="FFFFFF" w:themeColor="background1"/>
      </w:rPr>
      <w:tblPr/>
      <w:tcPr>
        <w:shd w:val="clear" w:color="auto" w:fill="008671" w:themeFill="accent5" w:themeFillShade="BF"/>
      </w:tcPr>
    </w:tblStylePr>
    <w:tblStylePr w:type="band1Vert">
      <w:tblPr/>
      <w:tcPr>
        <w:shd w:val="clear" w:color="auto" w:fill="5AFFE5" w:themeFill="accent5" w:themeFillTint="7F"/>
      </w:tcPr>
    </w:tblStylePr>
    <w:tblStylePr w:type="band1Horz">
      <w:tblPr/>
      <w:tcPr>
        <w:shd w:val="clear" w:color="auto" w:fill="5AFFE5" w:themeFill="accent5" w:themeFillTint="7F"/>
      </w:tcPr>
    </w:tblStylePr>
  </w:style>
  <w:style w:type="table" w:styleId="LightShading-Accent4">
    <w:name w:val="Light Shading Accent 4"/>
    <w:basedOn w:val="TableNormal"/>
    <w:uiPriority w:val="60"/>
    <w:rsid w:val="00CB0512"/>
    <w:pPr>
      <w:spacing w:after="0" w:line="240" w:lineRule="auto"/>
    </w:pPr>
    <w:rPr>
      <w:color w:val="5A524B" w:themeColor="accent4" w:themeShade="BF"/>
      <w:lang w:val="en-US"/>
    </w:rPr>
    <w:tblPr>
      <w:tblStyleRowBandSize w:val="1"/>
      <w:tblStyleColBandSize w:val="1"/>
      <w:tblBorders>
        <w:top w:val="single" w:sz="8" w:space="0" w:color="796E65" w:themeColor="accent4"/>
        <w:bottom w:val="single" w:sz="8" w:space="0" w:color="796E65" w:themeColor="accent4"/>
      </w:tblBorders>
    </w:tblPr>
    <w:tblStylePr w:type="firstRow">
      <w:pPr>
        <w:spacing w:before="0" w:after="0" w:line="240" w:lineRule="auto"/>
      </w:pPr>
      <w:rPr>
        <w:b/>
        <w:bCs/>
      </w:rPr>
      <w:tblPr/>
      <w:tcPr>
        <w:tcBorders>
          <w:top w:val="single" w:sz="8" w:space="0" w:color="796E65" w:themeColor="accent4"/>
          <w:left w:val="nil"/>
          <w:bottom w:val="single" w:sz="8" w:space="0" w:color="796E65" w:themeColor="accent4"/>
          <w:right w:val="nil"/>
          <w:insideH w:val="nil"/>
          <w:insideV w:val="nil"/>
        </w:tcBorders>
      </w:tcPr>
    </w:tblStylePr>
    <w:tblStylePr w:type="lastRow">
      <w:pPr>
        <w:spacing w:before="0" w:after="0" w:line="240" w:lineRule="auto"/>
      </w:pPr>
      <w:rPr>
        <w:b/>
        <w:bCs/>
      </w:rPr>
      <w:tblPr/>
      <w:tcPr>
        <w:tcBorders>
          <w:top w:val="single" w:sz="8" w:space="0" w:color="796E65" w:themeColor="accent4"/>
          <w:left w:val="nil"/>
          <w:bottom w:val="single" w:sz="8" w:space="0" w:color="796E6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DAD8" w:themeFill="accent4" w:themeFillTint="3F"/>
      </w:tcPr>
    </w:tblStylePr>
    <w:tblStylePr w:type="band1Horz">
      <w:tblPr/>
      <w:tcPr>
        <w:tcBorders>
          <w:left w:val="nil"/>
          <w:right w:val="nil"/>
          <w:insideH w:val="nil"/>
          <w:insideV w:val="nil"/>
        </w:tcBorders>
        <w:shd w:val="clear" w:color="auto" w:fill="DEDAD8" w:themeFill="accent4" w:themeFillTint="3F"/>
      </w:tcPr>
    </w:tblStylePr>
  </w:style>
  <w:style w:type="paragraph" w:customStyle="1" w:styleId="AppendixChapterHeading">
    <w:name w:val="Appendix Chapter Heading"/>
    <w:basedOn w:val="Normal"/>
    <w:link w:val="AppendixChapterHeadingChar"/>
    <w:semiHidden/>
    <w:rsid w:val="0093683E"/>
    <w:pPr>
      <w:spacing w:before="0" w:after="300" w:line="240" w:lineRule="auto"/>
      <w:contextualSpacing/>
    </w:pPr>
    <w:rPr>
      <w:rFonts w:eastAsiaTheme="majorEastAsia" w:cstheme="majorBidi"/>
      <w:bCs/>
      <w:color w:val="C4D92E" w:themeColor="accent1"/>
      <w:spacing w:val="5"/>
      <w:kern w:val="28"/>
      <w:sz w:val="70"/>
      <w:szCs w:val="52"/>
      <w:lang w:val="en-US"/>
    </w:rPr>
  </w:style>
  <w:style w:type="character" w:customStyle="1" w:styleId="AppendixChapterHeadingChar">
    <w:name w:val="Appendix Chapter Heading Char"/>
    <w:basedOn w:val="DefaultParagraphFont"/>
    <w:link w:val="AppendixChapterHeading"/>
    <w:semiHidden/>
    <w:rsid w:val="00CB0512"/>
    <w:rPr>
      <w:rFonts w:ascii="Arial" w:eastAsiaTheme="majorEastAsia" w:hAnsi="Arial" w:cstheme="majorBidi"/>
      <w:bCs/>
      <w:color w:val="C4D92E" w:themeColor="accent1"/>
      <w:spacing w:val="5"/>
      <w:kern w:val="28"/>
      <w:sz w:val="70"/>
      <w:szCs w:val="52"/>
      <w:lang w:val="en-US"/>
    </w:rPr>
  </w:style>
  <w:style w:type="paragraph" w:customStyle="1" w:styleId="Subject">
    <w:name w:val="Subject"/>
    <w:basedOn w:val="Normal"/>
    <w:link w:val="SubjectChar"/>
    <w:semiHidden/>
    <w:rsid w:val="00CB0512"/>
    <w:pPr>
      <w:spacing w:before="0" w:after="0" w:line="240" w:lineRule="auto"/>
    </w:pPr>
    <w:rPr>
      <w:rFonts w:cs="Arial"/>
      <w:b/>
      <w:caps/>
      <w:color w:val="C4D92E" w:themeColor="accent1"/>
      <w:sz w:val="18"/>
      <w:szCs w:val="20"/>
      <w:lang w:val="en-GB"/>
    </w:rPr>
  </w:style>
  <w:style w:type="character" w:customStyle="1" w:styleId="SubjectChar">
    <w:name w:val="Subject Char"/>
    <w:basedOn w:val="DefaultParagraphFont"/>
    <w:link w:val="Subject"/>
    <w:semiHidden/>
    <w:rsid w:val="00CB0512"/>
    <w:rPr>
      <w:rFonts w:ascii="Arial" w:hAnsi="Arial" w:cs="Arial"/>
      <w:b/>
      <w:caps/>
      <w:color w:val="C4D92E" w:themeColor="accent1"/>
      <w:sz w:val="18"/>
      <w:szCs w:val="20"/>
      <w:lang w:val="en-GB"/>
    </w:rPr>
  </w:style>
  <w:style w:type="table" w:styleId="LightShading-Accent1">
    <w:name w:val="Light Shading Accent 1"/>
    <w:basedOn w:val="TableNormal"/>
    <w:uiPriority w:val="60"/>
    <w:rsid w:val="00CB0512"/>
    <w:pPr>
      <w:spacing w:after="0" w:line="240" w:lineRule="auto"/>
    </w:pPr>
    <w:rPr>
      <w:color w:val="95A61E" w:themeColor="accent1" w:themeShade="BF"/>
      <w:lang w:val="en-US"/>
    </w:rPr>
    <w:tblPr>
      <w:tblStyleRowBandSize w:val="1"/>
      <w:tblStyleColBandSize w:val="1"/>
      <w:tblBorders>
        <w:top w:val="single" w:sz="8" w:space="0" w:color="C4D92E" w:themeColor="accent1"/>
        <w:bottom w:val="single" w:sz="8" w:space="0" w:color="C4D92E" w:themeColor="accent1"/>
      </w:tblBorders>
    </w:tblPr>
    <w:tblStylePr w:type="firstRow">
      <w:pPr>
        <w:spacing w:before="0" w:after="0" w:line="240" w:lineRule="auto"/>
      </w:pPr>
      <w:rPr>
        <w:b/>
        <w:bCs/>
      </w:rPr>
      <w:tblPr/>
      <w:tcPr>
        <w:tcBorders>
          <w:top w:val="single" w:sz="8" w:space="0" w:color="C4D92E" w:themeColor="accent1"/>
          <w:left w:val="nil"/>
          <w:bottom w:val="single" w:sz="8" w:space="0" w:color="C4D92E" w:themeColor="accent1"/>
          <w:right w:val="nil"/>
          <w:insideH w:val="nil"/>
          <w:insideV w:val="nil"/>
        </w:tcBorders>
      </w:tcPr>
    </w:tblStylePr>
    <w:tblStylePr w:type="lastRow">
      <w:pPr>
        <w:spacing w:before="0" w:after="0" w:line="240" w:lineRule="auto"/>
      </w:pPr>
      <w:rPr>
        <w:b/>
        <w:bCs/>
      </w:rPr>
      <w:tblPr/>
      <w:tcPr>
        <w:tcBorders>
          <w:top w:val="single" w:sz="8" w:space="0" w:color="C4D92E" w:themeColor="accent1"/>
          <w:left w:val="nil"/>
          <w:bottom w:val="single" w:sz="8" w:space="0" w:color="C4D92E" w:themeColor="accent1"/>
          <w:right w:val="nil"/>
          <w:insideH w:val="nil"/>
          <w:insideV w:val="nil"/>
        </w:tcBorders>
      </w:tcPr>
    </w:tblStylePr>
    <w:tblStylePr w:type="firstCol">
      <w:rPr>
        <w:b/>
        <w:bCs/>
      </w:rPr>
    </w:tblStylePr>
    <w:tblStylePr w:type="lastCol">
      <w:rPr>
        <w:b/>
        <w:bCs/>
      </w:rPr>
    </w:tblStylePr>
    <w:tblStylePr w:type="band1Vert">
      <w:tblPr/>
      <w:tcPr>
        <w:shd w:val="clear" w:color="auto" w:fill="00B398" w:themeFill="accent5"/>
      </w:tcPr>
    </w:tblStylePr>
    <w:tblStylePr w:type="band1Horz">
      <w:tblPr/>
      <w:tcPr>
        <w:shd w:val="clear" w:color="auto" w:fill="00B398" w:themeFill="accent5"/>
      </w:tcPr>
    </w:tblStylePr>
  </w:style>
  <w:style w:type="table" w:styleId="LightList-Accent1">
    <w:name w:val="Light List Accent 1"/>
    <w:basedOn w:val="TableNormal"/>
    <w:uiPriority w:val="61"/>
    <w:rsid w:val="00CB0512"/>
    <w:pPr>
      <w:spacing w:after="0" w:line="240" w:lineRule="auto"/>
    </w:pPr>
    <w:rPr>
      <w:lang w:val="en-US"/>
    </w:rPr>
    <w:tblPr>
      <w:tblStyleRowBandSize w:val="1"/>
      <w:tblStyleColBandSize w:val="1"/>
      <w:tblBorders>
        <w:top w:val="single" w:sz="8" w:space="0" w:color="C4D92E" w:themeColor="accent1"/>
        <w:left w:val="single" w:sz="8" w:space="0" w:color="C4D92E" w:themeColor="accent1"/>
        <w:bottom w:val="single" w:sz="8" w:space="0" w:color="C4D92E" w:themeColor="accent1"/>
        <w:right w:val="single" w:sz="8" w:space="0" w:color="C4D92E" w:themeColor="accent1"/>
      </w:tblBorders>
    </w:tblPr>
    <w:tblStylePr w:type="firstRow">
      <w:pPr>
        <w:spacing w:before="0" w:after="0" w:line="240" w:lineRule="auto"/>
      </w:pPr>
      <w:rPr>
        <w:b/>
        <w:bCs/>
        <w:color w:val="FFFFFF" w:themeColor="background1"/>
      </w:rPr>
      <w:tblPr/>
      <w:tcPr>
        <w:shd w:val="clear" w:color="auto" w:fill="C4D92E" w:themeFill="accent1"/>
      </w:tcPr>
    </w:tblStylePr>
    <w:tblStylePr w:type="lastRow">
      <w:pPr>
        <w:spacing w:before="0" w:after="0" w:line="240" w:lineRule="auto"/>
      </w:pPr>
      <w:rPr>
        <w:b/>
        <w:bCs/>
      </w:rPr>
      <w:tblPr/>
      <w:tcPr>
        <w:tcBorders>
          <w:top w:val="double" w:sz="6" w:space="0" w:color="C4D92E" w:themeColor="accent1"/>
          <w:left w:val="single" w:sz="8" w:space="0" w:color="C4D92E" w:themeColor="accent1"/>
          <w:bottom w:val="single" w:sz="8" w:space="0" w:color="C4D92E" w:themeColor="accent1"/>
          <w:right w:val="single" w:sz="8" w:space="0" w:color="C4D92E" w:themeColor="accent1"/>
        </w:tcBorders>
      </w:tcPr>
    </w:tblStylePr>
    <w:tblStylePr w:type="firstCol">
      <w:rPr>
        <w:b/>
        <w:bCs/>
      </w:rPr>
    </w:tblStylePr>
    <w:tblStylePr w:type="lastCol">
      <w:rPr>
        <w:b/>
        <w:bCs/>
      </w:rPr>
    </w:tblStylePr>
    <w:tblStylePr w:type="band1Vert">
      <w:tblPr/>
      <w:tcPr>
        <w:tcBorders>
          <w:top w:val="single" w:sz="8" w:space="0" w:color="C4D92E" w:themeColor="accent1"/>
          <w:left w:val="single" w:sz="8" w:space="0" w:color="C4D92E" w:themeColor="accent1"/>
          <w:bottom w:val="single" w:sz="8" w:space="0" w:color="C4D92E" w:themeColor="accent1"/>
          <w:right w:val="single" w:sz="8" w:space="0" w:color="C4D92E" w:themeColor="accent1"/>
        </w:tcBorders>
      </w:tcPr>
    </w:tblStylePr>
    <w:tblStylePr w:type="band1Horz">
      <w:tblPr/>
      <w:tcPr>
        <w:tcBorders>
          <w:top w:val="single" w:sz="8" w:space="0" w:color="C4D92E" w:themeColor="accent1"/>
          <w:left w:val="single" w:sz="8" w:space="0" w:color="C4D92E" w:themeColor="accent1"/>
          <w:bottom w:val="single" w:sz="8" w:space="0" w:color="C4D92E" w:themeColor="accent1"/>
          <w:right w:val="single" w:sz="8" w:space="0" w:color="C4D92E" w:themeColor="accent1"/>
        </w:tcBorders>
      </w:tcPr>
    </w:tblStylePr>
  </w:style>
  <w:style w:type="table" w:styleId="LightGrid-Accent1">
    <w:name w:val="Light Grid Accent 1"/>
    <w:basedOn w:val="TableNormal"/>
    <w:uiPriority w:val="62"/>
    <w:rsid w:val="00CB0512"/>
    <w:pPr>
      <w:spacing w:after="0" w:line="240" w:lineRule="auto"/>
    </w:pPr>
    <w:rPr>
      <w:lang w:val="en-US"/>
    </w:rPr>
    <w:tblPr>
      <w:tblStyleRowBandSize w:val="1"/>
      <w:tblStyleColBandSize w:val="1"/>
      <w:tblBorders>
        <w:top w:val="single" w:sz="8" w:space="0" w:color="C4D92E" w:themeColor="accent1"/>
        <w:left w:val="single" w:sz="8" w:space="0" w:color="C4D92E" w:themeColor="accent1"/>
        <w:bottom w:val="single" w:sz="8" w:space="0" w:color="C4D92E" w:themeColor="accent1"/>
        <w:right w:val="single" w:sz="8" w:space="0" w:color="C4D92E" w:themeColor="accent1"/>
        <w:insideH w:val="single" w:sz="8" w:space="0" w:color="C4D92E" w:themeColor="accent1"/>
        <w:insideV w:val="single" w:sz="8" w:space="0" w:color="C4D92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4D92E" w:themeColor="accent1"/>
          <w:left w:val="single" w:sz="8" w:space="0" w:color="C4D92E" w:themeColor="accent1"/>
          <w:bottom w:val="single" w:sz="18" w:space="0" w:color="C4D92E" w:themeColor="accent1"/>
          <w:right w:val="single" w:sz="8" w:space="0" w:color="C4D92E" w:themeColor="accent1"/>
          <w:insideH w:val="nil"/>
          <w:insideV w:val="single" w:sz="8" w:space="0" w:color="C4D92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4D92E" w:themeColor="accent1"/>
          <w:left w:val="single" w:sz="8" w:space="0" w:color="C4D92E" w:themeColor="accent1"/>
          <w:bottom w:val="single" w:sz="8" w:space="0" w:color="C4D92E" w:themeColor="accent1"/>
          <w:right w:val="single" w:sz="8" w:space="0" w:color="C4D92E" w:themeColor="accent1"/>
          <w:insideH w:val="nil"/>
          <w:insideV w:val="single" w:sz="8" w:space="0" w:color="C4D92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4D92E" w:themeColor="accent1"/>
          <w:left w:val="single" w:sz="8" w:space="0" w:color="C4D92E" w:themeColor="accent1"/>
          <w:bottom w:val="single" w:sz="8" w:space="0" w:color="C4D92E" w:themeColor="accent1"/>
          <w:right w:val="single" w:sz="8" w:space="0" w:color="C4D92E" w:themeColor="accent1"/>
        </w:tcBorders>
      </w:tcPr>
    </w:tblStylePr>
    <w:tblStylePr w:type="band1Vert">
      <w:tblPr/>
      <w:tcPr>
        <w:shd w:val="clear" w:color="auto" w:fill="00B398" w:themeFill="accent5"/>
      </w:tcPr>
    </w:tblStylePr>
    <w:tblStylePr w:type="band1Horz">
      <w:tblPr/>
      <w:tcPr>
        <w:shd w:val="clear" w:color="auto" w:fill="00B398" w:themeFill="accent5"/>
      </w:tcPr>
    </w:tblStylePr>
    <w:tblStylePr w:type="band2Horz">
      <w:tblPr/>
      <w:tcPr>
        <w:tcBorders>
          <w:top w:val="single" w:sz="8" w:space="0" w:color="C4D92E" w:themeColor="accent1"/>
          <w:left w:val="single" w:sz="8" w:space="0" w:color="C4D92E" w:themeColor="accent1"/>
          <w:bottom w:val="single" w:sz="8" w:space="0" w:color="C4D92E" w:themeColor="accent1"/>
          <w:right w:val="single" w:sz="8" w:space="0" w:color="C4D92E" w:themeColor="accent1"/>
          <w:insideV w:val="single" w:sz="8" w:space="0" w:color="C4D92E" w:themeColor="accent1"/>
        </w:tcBorders>
      </w:tcPr>
    </w:tblStylePr>
  </w:style>
  <w:style w:type="table" w:styleId="MediumShading1-Accent1">
    <w:name w:val="Medium Shading 1 Accent 1"/>
    <w:basedOn w:val="TableNormal"/>
    <w:uiPriority w:val="63"/>
    <w:rsid w:val="00CB0512"/>
    <w:pPr>
      <w:spacing w:after="0" w:line="240" w:lineRule="auto"/>
    </w:pPr>
    <w:rPr>
      <w:lang w:val="en-US"/>
    </w:rPr>
    <w:tblPr>
      <w:tblStyleRowBandSize w:val="1"/>
      <w:tblStyleColBandSize w:val="1"/>
      <w:tblBorders>
        <w:top w:val="single" w:sz="8" w:space="0" w:color="D2E262" w:themeColor="accent1" w:themeTint="BF"/>
        <w:left w:val="single" w:sz="8" w:space="0" w:color="D2E262" w:themeColor="accent1" w:themeTint="BF"/>
        <w:bottom w:val="single" w:sz="8" w:space="0" w:color="D2E262" w:themeColor="accent1" w:themeTint="BF"/>
        <w:right w:val="single" w:sz="8" w:space="0" w:color="D2E262" w:themeColor="accent1" w:themeTint="BF"/>
        <w:insideH w:val="single" w:sz="8" w:space="0" w:color="D2E262" w:themeColor="accent1" w:themeTint="BF"/>
      </w:tblBorders>
    </w:tblPr>
    <w:tblStylePr w:type="firstRow">
      <w:pPr>
        <w:spacing w:before="0" w:after="0" w:line="240" w:lineRule="auto"/>
      </w:pPr>
      <w:rPr>
        <w:b/>
        <w:bCs/>
        <w:color w:val="au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000000" w:themeFill="text1"/>
      </w:tcPr>
    </w:tblStylePr>
    <w:tblStylePr w:type="lastRow">
      <w:pPr>
        <w:spacing w:before="0" w:after="0" w:line="240" w:lineRule="auto"/>
      </w:pPr>
      <w:rPr>
        <w:b/>
        <w:bCs/>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l2br w:val="nil"/>
          <w:tr2bl w:val="nil"/>
        </w:tcBorders>
      </w:tcPr>
    </w:tblStylePr>
    <w:tblStylePr w:type="firstCol">
      <w:rPr>
        <w:b/>
        <w:bCs/>
      </w:rPr>
    </w:tblStylePr>
    <w:tblStylePr w:type="lastCol">
      <w:rPr>
        <w:b/>
        <w:bCs/>
      </w:rPr>
    </w:tblStylePr>
    <w:tblStylePr w:type="band1Vert">
      <w:tblPr/>
      <w:tcPr>
        <w:tcBorders>
          <w:top w:val="nil"/>
          <w:bottom w:val="single" w:sz="4" w:space="0" w:color="000000" w:themeColor="text1"/>
        </w:tcBorders>
      </w:tcPr>
    </w:tblStylePr>
    <w:tblStylePr w:type="band1Horz">
      <w:tblPr/>
      <w:tcPr>
        <w:tcBorders>
          <w:top w:val="single" w:sz="4" w:space="0" w:color="000000" w:themeColor="text1"/>
          <w:bottom w:val="single" w:sz="4" w:space="0" w:color="000000" w:themeColor="text1"/>
        </w:tcBorders>
        <w:shd w:val="clear" w:color="auto" w:fill="00B398" w:themeFill="accent5"/>
      </w:tcPr>
    </w:tblStylePr>
    <w:tblStylePr w:type="band2Horz">
      <w:tblPr/>
      <w:tcPr>
        <w:tcBorders>
          <w:top w:val="nil"/>
          <w:bottom w:val="nil"/>
          <w:insideH w:val="nil"/>
          <w:insideV w:val="nil"/>
        </w:tcBorders>
      </w:tcPr>
    </w:tblStylePr>
  </w:style>
  <w:style w:type="table" w:styleId="MediumShading2-Accent1">
    <w:name w:val="Medium Shading 2 Accent 1"/>
    <w:basedOn w:val="TableNormal"/>
    <w:uiPriority w:val="64"/>
    <w:rsid w:val="00CB0512"/>
    <w:pPr>
      <w:spacing w:after="0" w:line="240" w:lineRule="auto"/>
    </w:pPr>
    <w:rPr>
      <w:lang w:val="en-US"/>
    </w:rPr>
    <w:tblPr>
      <w:tblStyleRowBandSize w:val="1"/>
      <w:tblStyleColBandSize w:val="1"/>
    </w:tblPr>
    <w:tblStylePr w:type="firstRow">
      <w:pPr>
        <w:spacing w:before="0" w:after="0" w:line="240" w:lineRule="auto"/>
      </w:pPr>
      <w:rPr>
        <w:b/>
        <w:bCs/>
        <w:color w:val="FFFFFF" w:themeColor="background1"/>
      </w:rPr>
      <w:tblPr/>
      <w:tcPr>
        <w:tcBorders>
          <w:top w:val="nil"/>
          <w:left w:val="nil"/>
          <w:bottom w:val="nil"/>
          <w:right w:val="nil"/>
          <w:insideH w:val="nil"/>
          <w:insideV w:val="nil"/>
          <w:tl2br w:val="nil"/>
          <w:tr2bl w:val="nil"/>
        </w:tcBorders>
        <w:shd w:val="clear" w:color="auto" w:fill="C4D92E" w:themeFill="accent1"/>
      </w:tcPr>
    </w:tblStylePr>
    <w:tblStylePr w:type="lastRow">
      <w:pPr>
        <w:spacing w:before="0" w:after="0" w:line="240" w:lineRule="auto"/>
      </w:pPr>
      <w:rPr>
        <w:color w:val="auto"/>
      </w:rPr>
      <w:tblPr/>
      <w:tcPr>
        <w:tcBorders>
          <w:top w:val="nil"/>
          <w:left w:val="nil"/>
          <w:bottom w:val="nil"/>
          <w:right w:val="nil"/>
          <w:insideH w:val="nil"/>
          <w:insideV w:val="nil"/>
          <w:tl2br w:val="nil"/>
          <w:tr2bl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l2br w:val="nil"/>
          <w:tr2bl w:val="nil"/>
        </w:tcBorders>
        <w:shd w:val="clear" w:color="auto" w:fill="C4D92E" w:themeFill="accent1"/>
      </w:tcPr>
    </w:tblStylePr>
    <w:tblStylePr w:type="lastCol">
      <w:rPr>
        <w:b/>
        <w:bCs/>
        <w:color w:val="FFFFFF" w:themeColor="background1"/>
      </w:rPr>
      <w:tblPr/>
      <w:tcPr>
        <w:tcBorders>
          <w:left w:val="nil"/>
          <w:right w:val="nil"/>
          <w:insideH w:val="nil"/>
          <w:insideV w:val="nil"/>
        </w:tcBorders>
        <w:shd w:val="clear" w:color="auto" w:fill="C4D92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nil"/>
          <w:left w:val="nil"/>
          <w:bottom w:val="nil"/>
          <w:right w:val="nil"/>
          <w:insideH w:val="nil"/>
          <w:insideV w:val="nil"/>
          <w:tl2br w:val="nil"/>
          <w:tr2bl w:val="nil"/>
        </w:tcBorders>
      </w:tcPr>
    </w:tblStylePr>
    <w:tblStylePr w:type="nwCell">
      <w:rPr>
        <w:color w:val="FFFFFF" w:themeColor="background1"/>
      </w:rPr>
      <w:tblPr/>
      <w:tcPr>
        <w:tcBorders>
          <w:top w:val="nil"/>
          <w:left w:val="nil"/>
          <w:bottom w:val="nil"/>
          <w:right w:val="nil"/>
          <w:insideH w:val="nil"/>
          <w:insideV w:val="nil"/>
          <w:tl2br w:val="nil"/>
          <w:tr2bl w:val="nil"/>
        </w:tcBorders>
      </w:tcPr>
    </w:tblStylePr>
  </w:style>
  <w:style w:type="table" w:styleId="MediumList1-Accent1">
    <w:name w:val="Medium List 1 Accent 1"/>
    <w:basedOn w:val="TableNormal"/>
    <w:uiPriority w:val="65"/>
    <w:rsid w:val="00CB0512"/>
    <w:pPr>
      <w:spacing w:after="0" w:line="240" w:lineRule="auto"/>
    </w:pPr>
    <w:rPr>
      <w:color w:val="000000" w:themeColor="text1"/>
      <w:lang w:val="en-US"/>
    </w:rPr>
    <w:tblPr>
      <w:tblStyleRowBandSize w:val="1"/>
      <w:tblStyleColBandSize w:val="1"/>
      <w:tblBorders>
        <w:top w:val="single" w:sz="8" w:space="0" w:color="C4D92E" w:themeColor="accent1"/>
        <w:bottom w:val="single" w:sz="8" w:space="0" w:color="C4D92E" w:themeColor="accent1"/>
      </w:tblBorders>
    </w:tblPr>
    <w:tblStylePr w:type="firstRow">
      <w:rPr>
        <w:rFonts w:asciiTheme="majorHAnsi" w:eastAsiaTheme="majorEastAsia" w:hAnsiTheme="majorHAnsi" w:cstheme="majorBidi"/>
      </w:rPr>
      <w:tblPr/>
      <w:tcPr>
        <w:tcBorders>
          <w:top w:val="nil"/>
          <w:bottom w:val="single" w:sz="8" w:space="0" w:color="C4D92E" w:themeColor="accent1"/>
        </w:tcBorders>
      </w:tcPr>
    </w:tblStylePr>
    <w:tblStylePr w:type="lastRow">
      <w:rPr>
        <w:b/>
        <w:bCs/>
        <w:color w:val="00BAD4" w:themeColor="text2"/>
      </w:rPr>
      <w:tblPr/>
      <w:tcPr>
        <w:tcBorders>
          <w:top w:val="single" w:sz="8" w:space="0" w:color="C4D92E" w:themeColor="accent1"/>
          <w:bottom w:val="single" w:sz="8" w:space="0" w:color="C4D92E" w:themeColor="accent1"/>
        </w:tcBorders>
      </w:tcPr>
    </w:tblStylePr>
    <w:tblStylePr w:type="firstCol">
      <w:rPr>
        <w:b/>
        <w:bCs/>
      </w:rPr>
    </w:tblStylePr>
    <w:tblStylePr w:type="lastCol">
      <w:rPr>
        <w:b/>
        <w:bCs/>
      </w:rPr>
      <w:tblPr/>
      <w:tcPr>
        <w:tcBorders>
          <w:top w:val="single" w:sz="8" w:space="0" w:color="C4D92E" w:themeColor="accent1"/>
          <w:bottom w:val="single" w:sz="8" w:space="0" w:color="C4D92E" w:themeColor="accent1"/>
        </w:tcBorders>
      </w:tcPr>
    </w:tblStylePr>
    <w:tblStylePr w:type="band1Vert">
      <w:tblPr/>
      <w:tcPr>
        <w:shd w:val="clear" w:color="auto" w:fill="38FFE0" w:themeFill="accent5" w:themeFillTint="99"/>
      </w:tcPr>
    </w:tblStylePr>
    <w:tblStylePr w:type="band1Horz">
      <w:tblPr/>
      <w:tcPr>
        <w:shd w:val="clear" w:color="auto" w:fill="38FFE0" w:themeFill="accent5" w:themeFillTint="99"/>
      </w:tcPr>
    </w:tblStylePr>
  </w:style>
  <w:style w:type="table" w:styleId="MediumList2-Accent1">
    <w:name w:val="Medium List 2 Accent 1"/>
    <w:basedOn w:val="TableNormal"/>
    <w:uiPriority w:val="66"/>
    <w:rsid w:val="00CB0512"/>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C4D92E" w:themeColor="accent1"/>
        <w:left w:val="single" w:sz="8" w:space="0" w:color="C4D92E" w:themeColor="accent1"/>
        <w:bottom w:val="single" w:sz="8" w:space="0" w:color="C4D92E" w:themeColor="accent1"/>
        <w:right w:val="single" w:sz="8" w:space="0" w:color="C4D92E" w:themeColor="accent1"/>
      </w:tblBorders>
    </w:tblPr>
    <w:tblStylePr w:type="firstRow">
      <w:rPr>
        <w:sz w:val="24"/>
        <w:szCs w:val="24"/>
      </w:rPr>
      <w:tblPr/>
      <w:tcPr>
        <w:tcBorders>
          <w:top w:val="nil"/>
          <w:left w:val="nil"/>
          <w:bottom w:val="single" w:sz="18" w:space="0" w:color="C4D92E" w:themeColor="accent1"/>
          <w:right w:val="nil"/>
          <w:insideH w:val="nil"/>
          <w:insideV w:val="nil"/>
        </w:tcBorders>
        <w:shd w:val="clear" w:color="auto" w:fill="FFFFFF" w:themeFill="background1"/>
      </w:tcPr>
    </w:tblStylePr>
    <w:tblStylePr w:type="lastRow">
      <w:tblPr/>
      <w:tcPr>
        <w:tcBorders>
          <w:top w:val="single" w:sz="8" w:space="0" w:color="C4D92E"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4D92E" w:themeColor="accent1"/>
          <w:insideH w:val="nil"/>
          <w:insideV w:val="nil"/>
        </w:tcBorders>
        <w:shd w:val="clear" w:color="auto" w:fill="FFFFFF" w:themeFill="background1"/>
      </w:tcPr>
    </w:tblStylePr>
    <w:tblStylePr w:type="lastCol">
      <w:tblPr/>
      <w:tcPr>
        <w:tcBorders>
          <w:top w:val="nil"/>
          <w:left w:val="single" w:sz="8" w:space="0" w:color="C4D92E" w:themeColor="accent1"/>
          <w:bottom w:val="nil"/>
          <w:right w:val="nil"/>
          <w:insideH w:val="nil"/>
          <w:insideV w:val="nil"/>
        </w:tcBorders>
        <w:shd w:val="clear" w:color="auto" w:fill="FFFFFF" w:themeFill="background1"/>
      </w:tcPr>
    </w:tblStylePr>
    <w:tblStylePr w:type="band1Vert">
      <w:tblPr/>
      <w:tcPr>
        <w:shd w:val="clear" w:color="auto" w:fill="00B398" w:themeFill="accent5"/>
      </w:tcPr>
    </w:tblStylePr>
    <w:tblStylePr w:type="band1Horz">
      <w:tblPr/>
      <w:tcPr>
        <w:shd w:val="clear" w:color="auto" w:fill="00B398" w:themeFill="accent5"/>
      </w:tcPr>
    </w:tblStylePr>
    <w:tblStylePr w:type="nwCell">
      <w:tblPr/>
      <w:tcPr>
        <w:shd w:val="clear" w:color="auto" w:fill="FFFFFF" w:themeFill="background1"/>
      </w:tcPr>
    </w:tblStylePr>
    <w:tblStylePr w:type="swCell">
      <w:tblPr/>
      <w:tcPr>
        <w:tcBorders>
          <w:top w:val="nil"/>
        </w:tcBorders>
      </w:tcPr>
    </w:tblStylePr>
  </w:style>
  <w:style w:type="table" w:styleId="MediumGrid1-Accent1">
    <w:name w:val="Medium Grid 1 Accent 1"/>
    <w:basedOn w:val="TableNormal"/>
    <w:uiPriority w:val="67"/>
    <w:rsid w:val="00CB0512"/>
    <w:pPr>
      <w:spacing w:after="0" w:line="240" w:lineRule="auto"/>
    </w:pPr>
    <w:rPr>
      <w:lang w:val="en-US"/>
    </w:rPr>
    <w:tblPr>
      <w:tblStyleRowBandSize w:val="1"/>
      <w:tblStyleColBandSize w:val="1"/>
      <w:tblBorders>
        <w:top w:val="single" w:sz="2" w:space="0" w:color="C4D92E" w:themeColor="accent1"/>
        <w:left w:val="single" w:sz="2" w:space="0" w:color="C4D92E" w:themeColor="accent1"/>
        <w:bottom w:val="single" w:sz="2" w:space="0" w:color="C4D92E" w:themeColor="accent1"/>
        <w:right w:val="single" w:sz="2" w:space="0" w:color="C4D92E" w:themeColor="accent1"/>
        <w:insideH w:val="single" w:sz="2" w:space="0" w:color="C4D92E" w:themeColor="accent1"/>
        <w:insideV w:val="single" w:sz="2" w:space="0" w:color="C4D92E" w:themeColor="accent1"/>
      </w:tblBorders>
    </w:tblPr>
    <w:tcPr>
      <w:shd w:val="clear" w:color="auto" w:fill="00B398" w:themeFill="accent5"/>
    </w:tcPr>
    <w:tblStylePr w:type="firstRow">
      <w:rPr>
        <w:b/>
        <w:bCs/>
      </w:rPr>
    </w:tblStylePr>
    <w:tblStylePr w:type="lastRow">
      <w:rPr>
        <w:b/>
        <w:bCs/>
      </w:rPr>
      <w:tblPr/>
      <w:tcPr>
        <w:tcBorders>
          <w:top w:val="single" w:sz="18" w:space="0" w:color="D2E262" w:themeColor="accent1" w:themeTint="BF"/>
        </w:tcBorders>
      </w:tcPr>
    </w:tblStylePr>
    <w:tblStylePr w:type="firstCol">
      <w:rPr>
        <w:b/>
        <w:bCs/>
      </w:rPr>
    </w:tblStylePr>
    <w:tblStylePr w:type="lastCol">
      <w:rPr>
        <w:b/>
        <w:bCs/>
      </w:rPr>
    </w:tblStylePr>
    <w:tblStylePr w:type="band1Vert">
      <w:tblPr/>
      <w:tcPr>
        <w:shd w:val="clear" w:color="auto" w:fill="00B398" w:themeFill="accent5"/>
      </w:tcPr>
    </w:tblStylePr>
    <w:tblStylePr w:type="band1Horz">
      <w:tblPr/>
      <w:tcPr>
        <w:shd w:val="clear" w:color="auto" w:fill="7AFFEA" w:themeFill="accent5" w:themeFillTint="66"/>
      </w:tcPr>
    </w:tblStylePr>
  </w:style>
  <w:style w:type="table" w:styleId="MediumGrid2-Accent1">
    <w:name w:val="Medium Grid 2 Accent 1"/>
    <w:basedOn w:val="TableNormal"/>
    <w:uiPriority w:val="68"/>
    <w:rsid w:val="00CB0512"/>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C4D92E" w:themeColor="accent1"/>
        <w:left w:val="single" w:sz="8" w:space="0" w:color="C4D92E" w:themeColor="accent1"/>
        <w:bottom w:val="single" w:sz="8" w:space="0" w:color="C4D92E" w:themeColor="accent1"/>
        <w:right w:val="single" w:sz="8" w:space="0" w:color="C4D92E" w:themeColor="accent1"/>
        <w:insideH w:val="single" w:sz="8" w:space="0" w:color="C4D92E" w:themeColor="accent1"/>
        <w:insideV w:val="single" w:sz="8" w:space="0" w:color="C4D92E" w:themeColor="accent1"/>
      </w:tblBorders>
    </w:tblPr>
    <w:tcPr>
      <w:shd w:val="clear" w:color="auto" w:fill="FFFFFF" w:themeFill="background1"/>
      <w:vAlign w:val="center"/>
    </w:tcPr>
    <w:tblStylePr w:type="firstRow">
      <w:rPr>
        <w:b/>
        <w:bCs/>
        <w:color w:val="000000" w:themeColor="text1"/>
      </w:rPr>
      <w:tblPr/>
      <w:tcPr>
        <w:shd w:val="clear" w:color="auto" w:fill="7AFFEA" w:themeFill="accent5" w:themeFillTint="66"/>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shd w:val="clear" w:color="auto" w:fill="7AFFEA" w:themeFill="accent5" w:themeFillTint="66"/>
      </w:tcPr>
    </w:tblStylePr>
    <w:tblStylePr w:type="band1Vert">
      <w:tblPr/>
      <w:tcPr>
        <w:shd w:val="clear" w:color="auto" w:fill="00B398" w:themeFill="accent5"/>
      </w:tcPr>
    </w:tblStylePr>
    <w:tblStylePr w:type="band1Horz">
      <w:tblPr/>
      <w:tcPr>
        <w:shd w:val="clear" w:color="auto" w:fill="00B398" w:themeFill="accent5"/>
      </w:tcPr>
    </w:tblStylePr>
    <w:tblStylePr w:type="nwCell">
      <w:tblPr/>
      <w:tcPr>
        <w:shd w:val="clear" w:color="auto" w:fill="FFFFFF" w:themeFill="background1"/>
      </w:tcPr>
    </w:tblStylePr>
  </w:style>
  <w:style w:type="table" w:styleId="MediumGrid3-Accent1">
    <w:name w:val="Medium Grid 3 Accent 1"/>
    <w:basedOn w:val="TableNormal"/>
    <w:uiPriority w:val="69"/>
    <w:rsid w:val="00CB0512"/>
    <w:pPr>
      <w:spacing w:before="40" w:after="40" w:line="240" w:lineRule="auto"/>
    </w:pPr>
    <w:rPr>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F5CB" w:themeFill="accent1" w:themeFillTint="3F"/>
      <w:vAlign w:val="center"/>
    </w:tcPr>
    <w:tblStylePr w:type="firstRow">
      <w:pPr>
        <w:jc w:val="left"/>
      </w:pPr>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D92E" w:themeFill="accent1"/>
        <w:vAlign w:val="center"/>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D92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D92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D92E" w:themeFill="accent1"/>
      </w:tcPr>
    </w:tblStylePr>
    <w:tblStylePr w:type="band1Vert">
      <w:tblPr/>
      <w:tcPr>
        <w:shd w:val="clear" w:color="auto" w:fill="A2D64E"/>
      </w:tcPr>
    </w:tblStylePr>
    <w:tblStylePr w:type="band2Vert">
      <w:tblPr/>
      <w:tcPr>
        <w:shd w:val="clear" w:color="auto" w:fill="00B398" w:themeFill="accent5"/>
      </w:tcPr>
    </w:tblStylePr>
    <w:tblStylePr w:type="band1Horz">
      <w:tblPr/>
      <w:tcPr>
        <w:shd w:val="clear" w:color="auto" w:fill="00B398" w:themeFill="accent5"/>
      </w:tcPr>
    </w:tblStylePr>
  </w:style>
  <w:style w:type="table" w:styleId="ColorfulGrid-Accent1">
    <w:name w:val="Colorful Grid Accent 1"/>
    <w:basedOn w:val="TableNormal"/>
    <w:uiPriority w:val="73"/>
    <w:rsid w:val="00CB0512"/>
    <w:pPr>
      <w:spacing w:after="0" w:line="240" w:lineRule="auto"/>
    </w:pPr>
    <w:rPr>
      <w:color w:val="000000" w:themeColor="text1"/>
      <w:lang w:val="en-US"/>
    </w:rPr>
    <w:tblPr>
      <w:tblStyleRowBandSize w:val="1"/>
      <w:tblStyleColBandSize w:val="1"/>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Pr>
    <w:tcPr>
      <w:shd w:val="clear" w:color="auto" w:fill="FFFFFF" w:themeFill="background1"/>
      <w:vAlign w:val="center"/>
    </w:tcPr>
    <w:tblStylePr w:type="firstRow">
      <w:rPr>
        <w:b/>
        <w:bCs/>
      </w:rPr>
      <w:tblPr/>
      <w:tcPr>
        <w:tcBorders>
          <w:top w:val="nil"/>
          <w:left w:val="nil"/>
          <w:bottom w:val="nil"/>
          <w:right w:val="nil"/>
          <w:insideH w:val="nil"/>
          <w:insideV w:val="nil"/>
        </w:tcBorders>
        <w:shd w:val="clear" w:color="auto" w:fill="FFFFFF" w:themeFill="background1"/>
      </w:tcPr>
    </w:tblStylePr>
    <w:tblStylePr w:type="lastRow">
      <w:rPr>
        <w:b/>
        <w:bCs/>
        <w:color w:val="000000" w:themeColor="text1"/>
      </w:rPr>
      <w:tblPr/>
      <w:tcPr>
        <w:shd w:val="clear" w:color="auto" w:fill="E7EFAB" w:themeFill="accent1" w:themeFillTint="66"/>
      </w:tcPr>
    </w:tblStylePr>
    <w:tblStylePr w:type="firstCol">
      <w:rPr>
        <w:color w:val="C4D92E" w:themeColor="accent1"/>
      </w:rPr>
      <w:tblPr/>
      <w:tcPr>
        <w:shd w:val="clear" w:color="auto" w:fill="C4D92E" w:themeFill="accent1"/>
      </w:tcPr>
    </w:tblStylePr>
    <w:tblStylePr w:type="lastCol">
      <w:rPr>
        <w:color w:val="FFFFFF" w:themeColor="background1"/>
      </w:rPr>
      <w:tblPr/>
      <w:tcPr>
        <w:shd w:val="clear" w:color="auto" w:fill="C4D92E" w:themeFill="accent1"/>
      </w:tcPr>
    </w:tblStylePr>
    <w:tblStylePr w:type="band1Vert">
      <w:tblPr/>
      <w:tcPr>
        <w:shd w:val="clear" w:color="auto" w:fill="00B398" w:themeFill="accent5"/>
      </w:tcPr>
    </w:tblStylePr>
    <w:tblStylePr w:type="band2Vert">
      <w:tblPr/>
      <w:tcPr>
        <w:shd w:val="clear" w:color="auto" w:fill="00B398" w:themeFill="accent5"/>
      </w:tcPr>
    </w:tblStylePr>
    <w:tblStylePr w:type="band1Horz">
      <w:tblPr/>
      <w:tcPr>
        <w:shd w:val="clear" w:color="auto" w:fill="00B398" w:themeFill="accent5"/>
      </w:tcPr>
    </w:tblStylePr>
    <w:tblStylePr w:type="band2Horz">
      <w:tblPr/>
      <w:tcPr>
        <w:shd w:val="clear" w:color="auto" w:fill="00B398" w:themeFill="accent5"/>
      </w:tcPr>
    </w:tblStylePr>
  </w:style>
  <w:style w:type="table" w:styleId="ColorfulList-Accent1">
    <w:name w:val="Colorful List Accent 1"/>
    <w:basedOn w:val="TableNormal"/>
    <w:uiPriority w:val="72"/>
    <w:rsid w:val="00CB0512"/>
    <w:pPr>
      <w:spacing w:after="0" w:line="240" w:lineRule="auto"/>
    </w:pPr>
    <w:rPr>
      <w:color w:val="000000" w:themeColor="text1"/>
      <w:lang w:val="en-US"/>
    </w:rPr>
    <w:tblPr>
      <w:tblStyleRowBandSize w:val="1"/>
      <w:tblStyleColBandSize w:val="1"/>
    </w:tblPr>
    <w:tcPr>
      <w:shd w:val="clear" w:color="auto" w:fill="F9FBEA" w:themeFill="accent1" w:themeFillTint="19"/>
      <w:vAlign w:val="center"/>
    </w:tcPr>
    <w:tblStylePr w:type="firstRow">
      <w:rPr>
        <w:b/>
        <w:bCs/>
        <w:color w:val="FFFFFF" w:themeColor="background1"/>
      </w:rPr>
      <w:tblPr/>
      <w:tcPr>
        <w:shd w:val="clear" w:color="auto" w:fill="C4D92E" w:themeFill="accent1"/>
      </w:tcPr>
    </w:tblStylePr>
    <w:tblStylePr w:type="lastRow">
      <w:rPr>
        <w:b/>
        <w:bCs/>
        <w:color w:val="F0D4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0F5CB" w:themeFill="accent1" w:themeFillTint="3F"/>
      </w:tcPr>
    </w:tblStylePr>
    <w:tblStylePr w:type="band1Horz">
      <w:tblPr/>
      <w:tcPr>
        <w:shd w:val="clear" w:color="auto" w:fill="00B398" w:themeFill="accent5"/>
      </w:tcPr>
    </w:tblStylePr>
    <w:tblStylePr w:type="band2Horz">
      <w:tblPr/>
      <w:tcPr>
        <w:shd w:val="clear" w:color="auto" w:fill="BCFFF4" w:themeFill="accent5" w:themeFillTint="33"/>
      </w:tcPr>
    </w:tblStylePr>
  </w:style>
  <w:style w:type="table" w:styleId="ColorfulShading-Accent1">
    <w:name w:val="Colorful Shading Accent 1"/>
    <w:basedOn w:val="TableNormal"/>
    <w:uiPriority w:val="71"/>
    <w:rsid w:val="00CB0512"/>
    <w:pPr>
      <w:spacing w:after="0" w:line="240" w:lineRule="auto"/>
    </w:pPr>
    <w:rPr>
      <w:color w:val="000000" w:themeColor="text1"/>
      <w:lang w:val="en-US"/>
    </w:rPr>
    <w:tblPr>
      <w:tblStyleRowBandSize w:val="1"/>
      <w:tblStyleColBandSize w:val="1"/>
      <w:tblBorders>
        <w:bottom w:val="single" w:sz="12" w:space="0" w:color="FFE72E" w:themeColor="accent2"/>
      </w:tblBorders>
    </w:tblPr>
    <w:tcPr>
      <w:shd w:val="clear" w:color="auto" w:fill="F9FBEA" w:themeFill="accent1" w:themeFillTint="19"/>
      <w:vAlign w:val="center"/>
    </w:tcPr>
    <w:tblStylePr w:type="firstRow">
      <w:pPr>
        <w:jc w:val="left"/>
      </w:pPr>
      <w:rPr>
        <w:b/>
        <w:bCs/>
      </w:rPr>
      <w:tblPr/>
      <w:tcPr>
        <w:tcBorders>
          <w:top w:val="nil"/>
          <w:left w:val="nil"/>
          <w:bottom w:val="single" w:sz="12" w:space="0" w:color="FFE72E" w:themeColor="accent2"/>
          <w:right w:val="nil"/>
          <w:insideH w:val="nil"/>
          <w:insideV w:val="nil"/>
        </w:tcBorders>
        <w:shd w:val="clear" w:color="auto" w:fill="FFFFFF" w:themeFill="background1"/>
        <w:vAlign w:val="center"/>
      </w:tcPr>
    </w:tblStylePr>
    <w:tblStylePr w:type="lastRow">
      <w:rPr>
        <w:b/>
        <w:bCs/>
        <w:color w:val="FFFFFF" w:themeColor="background1"/>
      </w:rPr>
      <w:tblPr/>
      <w:tcPr>
        <w:tcBorders>
          <w:top w:val="single" w:sz="6" w:space="0" w:color="FFFFFF" w:themeColor="background1"/>
        </w:tcBorders>
        <w:shd w:val="clear" w:color="auto" w:fill="778518" w:themeFill="accent1" w:themeFillShade="99"/>
      </w:tcPr>
    </w:tblStylePr>
    <w:tblStylePr w:type="firstCol">
      <w:rPr>
        <w:color w:val="FFFFFF" w:themeColor="background1"/>
      </w:rPr>
      <w:tblPr/>
      <w:tcPr>
        <w:tcBorders>
          <w:top w:val="nil"/>
          <w:left w:val="nil"/>
          <w:bottom w:val="nil"/>
          <w:right w:val="nil"/>
          <w:insideH w:val="single" w:sz="4" w:space="0" w:color="778518" w:themeColor="accent1" w:themeShade="99"/>
          <w:insideV w:val="nil"/>
        </w:tcBorders>
        <w:shd w:val="clear" w:color="auto" w:fill="77851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778518" w:themeFill="accent1" w:themeFillShade="99"/>
      </w:tcPr>
    </w:tblStylePr>
    <w:tblStylePr w:type="band1Vert">
      <w:tblPr/>
      <w:tcPr>
        <w:shd w:val="clear" w:color="auto" w:fill="00B398" w:themeFill="accent5"/>
      </w:tcPr>
    </w:tblStylePr>
    <w:tblStylePr w:type="band2Vert">
      <w:tblPr/>
      <w:tcPr>
        <w:shd w:val="clear" w:color="auto" w:fill="A2D64E"/>
      </w:tcPr>
    </w:tblStylePr>
    <w:tblStylePr w:type="band1Horz">
      <w:tblPr/>
      <w:tcPr>
        <w:shd w:val="clear" w:color="auto" w:fill="00B398" w:themeFill="accent5"/>
      </w:tcPr>
    </w:tblStylePr>
    <w:tblStylePr w:type="band2Horz">
      <w:tblPr/>
      <w:tcPr>
        <w:shd w:val="clear" w:color="auto" w:fill="A2D64E"/>
      </w:tcPr>
    </w:tblStylePr>
    <w:tblStylePr w:type="neCell">
      <w:rPr>
        <w:color w:val="000000" w:themeColor="text1"/>
      </w:rPr>
    </w:tblStylePr>
    <w:tblStylePr w:type="nwCell">
      <w:rPr>
        <w:color w:val="000000" w:themeColor="text1"/>
      </w:rPr>
    </w:tblStylePr>
  </w:style>
  <w:style w:type="table" w:styleId="DarkList-Accent1">
    <w:name w:val="Dark List Accent 1"/>
    <w:basedOn w:val="TableNormal"/>
    <w:uiPriority w:val="70"/>
    <w:rsid w:val="00CB0512"/>
    <w:pPr>
      <w:spacing w:after="0" w:line="240" w:lineRule="auto"/>
    </w:pPr>
    <w:rPr>
      <w:color w:val="FFFFFF" w:themeColor="background1"/>
      <w:lang w:val="en-US"/>
    </w:rPr>
    <w:tblPr>
      <w:tblStyleRowBandSize w:val="1"/>
      <w:tblStyleColBandSize w:val="1"/>
    </w:tblPr>
    <w:tcPr>
      <w:shd w:val="clear" w:color="auto" w:fill="C4D92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36E1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95A61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95A61E" w:themeFill="accent1" w:themeFillShade="BF"/>
      </w:tcPr>
    </w:tblStylePr>
    <w:tblStylePr w:type="band1Vert">
      <w:tblPr/>
      <w:tcPr>
        <w:tcBorders>
          <w:top w:val="nil"/>
          <w:left w:val="nil"/>
          <w:bottom w:val="nil"/>
          <w:right w:val="nil"/>
          <w:insideH w:val="nil"/>
          <w:insideV w:val="nil"/>
        </w:tcBorders>
        <w:shd w:val="clear" w:color="auto" w:fill="95A61E" w:themeFill="accent1" w:themeFillShade="BF"/>
      </w:tcPr>
    </w:tblStylePr>
    <w:tblStylePr w:type="band1Horz">
      <w:tblPr/>
      <w:tcPr>
        <w:tcBorders>
          <w:top w:val="nil"/>
          <w:left w:val="nil"/>
          <w:bottom w:val="nil"/>
          <w:right w:val="nil"/>
          <w:insideH w:val="nil"/>
          <w:insideV w:val="nil"/>
        </w:tcBorders>
        <w:shd w:val="clear" w:color="auto" w:fill="95A61E" w:themeFill="accent1" w:themeFillShade="BF"/>
      </w:tcPr>
    </w:tblStylePr>
  </w:style>
  <w:style w:type="paragraph" w:customStyle="1" w:styleId="Appendix">
    <w:name w:val="Appendix"/>
    <w:basedOn w:val="Normal"/>
    <w:next w:val="Normal"/>
    <w:link w:val="AppendixChar"/>
    <w:semiHidden/>
    <w:qFormat/>
    <w:rsid w:val="00CB0512"/>
    <w:pPr>
      <w:keepLines/>
      <w:pageBreakBefore/>
      <w:framePr w:w="9072" w:h="3306" w:wrap="notBeside" w:vAnchor="text" w:hAnchor="margin" w:y="1"/>
      <w:spacing w:before="0" w:after="113" w:line="240" w:lineRule="auto"/>
    </w:pPr>
    <w:rPr>
      <w:rFonts w:asciiTheme="majorHAnsi" w:eastAsiaTheme="majorEastAsia" w:hAnsiTheme="majorHAnsi" w:cstheme="majorHAnsi"/>
      <w:b/>
      <w:bCs/>
      <w:color w:val="C4D92E" w:themeColor="accent1"/>
      <w:spacing w:val="5"/>
      <w:kern w:val="28"/>
      <w:sz w:val="70"/>
      <w:szCs w:val="70"/>
      <w:lang w:val="en-US"/>
    </w:rPr>
  </w:style>
  <w:style w:type="character" w:customStyle="1" w:styleId="AppendixChar">
    <w:name w:val="Appendix Char"/>
    <w:basedOn w:val="DefaultParagraphFont"/>
    <w:link w:val="Appendix"/>
    <w:semiHidden/>
    <w:rsid w:val="0093683E"/>
    <w:rPr>
      <w:rFonts w:asciiTheme="majorHAnsi" w:eastAsiaTheme="majorEastAsia" w:hAnsiTheme="majorHAnsi" w:cstheme="majorHAnsi"/>
      <w:b/>
      <w:bCs/>
      <w:color w:val="C4D92E" w:themeColor="accent1"/>
      <w:spacing w:val="5"/>
      <w:kern w:val="28"/>
      <w:sz w:val="70"/>
      <w:szCs w:val="70"/>
      <w:lang w:val="en-US"/>
    </w:rPr>
  </w:style>
  <w:style w:type="paragraph" w:styleId="NormalIndent">
    <w:name w:val="Normal Indent"/>
    <w:basedOn w:val="Normal"/>
    <w:uiPriority w:val="99"/>
    <w:semiHidden/>
    <w:unhideWhenUsed/>
    <w:rsid w:val="00CB0512"/>
    <w:pPr>
      <w:spacing w:before="0" w:after="0" w:line="240" w:lineRule="auto"/>
      <w:ind w:left="720"/>
    </w:pPr>
    <w:rPr>
      <w:rFonts w:cs="Arial"/>
      <w:sz w:val="18"/>
      <w:szCs w:val="20"/>
      <w:lang w:val="en-GB"/>
    </w:rPr>
  </w:style>
  <w:style w:type="table" w:styleId="LightShading">
    <w:name w:val="Light Shading"/>
    <w:basedOn w:val="TableNormal"/>
    <w:uiPriority w:val="60"/>
    <w:rsid w:val="00CB0512"/>
    <w:pPr>
      <w:spacing w:after="0" w:line="240" w:lineRule="auto"/>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ommentSubject">
    <w:name w:val="annotation subject"/>
    <w:basedOn w:val="Normal"/>
    <w:link w:val="CommentSubjectChar"/>
    <w:uiPriority w:val="99"/>
    <w:semiHidden/>
    <w:unhideWhenUsed/>
    <w:rsid w:val="00201DD5"/>
    <w:rPr>
      <w:b/>
      <w:bCs/>
    </w:rPr>
  </w:style>
  <w:style w:type="character" w:customStyle="1" w:styleId="CommentSubjectChar">
    <w:name w:val="Comment Subject Char"/>
    <w:basedOn w:val="DefaultParagraphFont"/>
    <w:link w:val="CommentSubject"/>
    <w:uiPriority w:val="99"/>
    <w:semiHidden/>
    <w:rsid w:val="00201DD5"/>
    <w:rPr>
      <w:rFonts w:ascii="Arial" w:hAnsi="Arial" w:cs="Arial"/>
      <w:b/>
      <w:bCs/>
      <w:sz w:val="20"/>
      <w:szCs w:val="20"/>
      <w:lang w:val="en-GB"/>
    </w:rPr>
  </w:style>
  <w:style w:type="paragraph" w:styleId="Revision">
    <w:name w:val="Revision"/>
    <w:hidden/>
    <w:uiPriority w:val="99"/>
    <w:semiHidden/>
    <w:rsid w:val="00CB0512"/>
    <w:pPr>
      <w:spacing w:after="0" w:line="240" w:lineRule="auto"/>
    </w:pPr>
    <w:rPr>
      <w:rFonts w:ascii="Arial" w:hAnsi="Arial" w:cs="Arial"/>
      <w:sz w:val="18"/>
      <w:szCs w:val="20"/>
      <w:lang w:val="en-GB"/>
    </w:rPr>
  </w:style>
  <w:style w:type="paragraph" w:styleId="NormalWeb">
    <w:name w:val="Normal (Web)"/>
    <w:basedOn w:val="Normal"/>
    <w:uiPriority w:val="99"/>
    <w:semiHidden/>
    <w:unhideWhenUsed/>
    <w:rsid w:val="00CB0512"/>
    <w:pPr>
      <w:spacing w:before="100" w:beforeAutospacing="1" w:after="100" w:afterAutospacing="1" w:line="240" w:lineRule="auto"/>
    </w:pPr>
    <w:rPr>
      <w:rFonts w:ascii="Times New Roman" w:eastAsiaTheme="minorEastAsia" w:hAnsi="Times New Roman" w:cs="Times New Roman"/>
      <w:sz w:val="24"/>
      <w:szCs w:val="24"/>
      <w:lang w:eastAsia="en-AU"/>
    </w:rPr>
  </w:style>
  <w:style w:type="numbering" w:customStyle="1" w:styleId="NoList1">
    <w:name w:val="No List1"/>
    <w:next w:val="NoList"/>
    <w:uiPriority w:val="99"/>
    <w:semiHidden/>
    <w:unhideWhenUsed/>
    <w:rsid w:val="00CB0512"/>
  </w:style>
  <w:style w:type="table" w:customStyle="1" w:styleId="MediumGrid1-Accent51">
    <w:name w:val="Medium Grid 1 - Accent 51"/>
    <w:basedOn w:val="TableNormal"/>
    <w:next w:val="MediumGrid1-Accent5"/>
    <w:uiPriority w:val="67"/>
    <w:rsid w:val="00CB0512"/>
    <w:pPr>
      <w:spacing w:after="0" w:line="240" w:lineRule="auto"/>
    </w:pPr>
    <w:rPr>
      <w:lang w:val="en-US"/>
    </w:rPr>
    <w:tblPr>
      <w:tblStyleRowBandSize w:val="1"/>
      <w:tblStyleColBandSize w:val="1"/>
      <w:tblBorders>
        <w:top w:val="single" w:sz="8" w:space="0" w:color="D2F2FF"/>
        <w:left w:val="single" w:sz="8" w:space="0" w:color="D2F2FF"/>
        <w:bottom w:val="single" w:sz="8" w:space="0" w:color="D2F2FF"/>
        <w:right w:val="single" w:sz="8" w:space="0" w:color="D2F2FF"/>
        <w:insideH w:val="single" w:sz="8" w:space="0" w:color="D2F2FF"/>
        <w:insideV w:val="single" w:sz="8" w:space="0" w:color="D2F2FF"/>
      </w:tblBorders>
    </w:tblPr>
    <w:tcPr>
      <w:shd w:val="clear" w:color="auto" w:fill="F0FAFF"/>
    </w:tcPr>
    <w:tblStylePr w:type="firstRow">
      <w:rPr>
        <w:b/>
        <w:bCs/>
      </w:rPr>
      <w:tblPr/>
      <w:tcPr>
        <w:shd w:val="clear" w:color="auto" w:fill="55BCFF"/>
      </w:tcPr>
    </w:tblStylePr>
    <w:tblStylePr w:type="lastRow">
      <w:rPr>
        <w:b/>
        <w:bCs/>
      </w:rPr>
      <w:tblPr/>
      <w:tcPr>
        <w:tcBorders>
          <w:top w:val="single" w:sz="18" w:space="0" w:color="D2F2FF"/>
        </w:tcBorders>
      </w:tcPr>
    </w:tblStylePr>
    <w:tblStylePr w:type="firstCol">
      <w:rPr>
        <w:b/>
        <w:bCs/>
      </w:rPr>
    </w:tblStylePr>
    <w:tblStylePr w:type="lastCol">
      <w:rPr>
        <w:b/>
        <w:bCs/>
      </w:rPr>
    </w:tblStylePr>
    <w:tblStylePr w:type="band1Vert">
      <w:tblPr/>
      <w:tcPr>
        <w:shd w:val="clear" w:color="auto" w:fill="E1F6FF"/>
      </w:tcPr>
    </w:tblStylePr>
    <w:tblStylePr w:type="band1Horz">
      <w:tblPr/>
      <w:tcPr>
        <w:shd w:val="clear" w:color="auto" w:fill="E1F6FF"/>
      </w:tcPr>
    </w:tblStylePr>
  </w:style>
  <w:style w:type="table" w:customStyle="1" w:styleId="ColorfulGrid-Accent51">
    <w:name w:val="Colorful Grid - Accent 51"/>
    <w:basedOn w:val="TableNormal"/>
    <w:next w:val="ColorfulGrid-Accent5"/>
    <w:uiPriority w:val="73"/>
    <w:rsid w:val="00CB0512"/>
    <w:pPr>
      <w:spacing w:after="0" w:line="240" w:lineRule="auto"/>
    </w:pPr>
    <w:rPr>
      <w:color w:val="353D30"/>
      <w:lang w:val="en-US"/>
    </w:rPr>
    <w:tblPr>
      <w:tblStyleRowBandSize w:val="1"/>
      <w:tblStyleColBandSize w:val="1"/>
      <w:tblBorders>
        <w:insideH w:val="single" w:sz="4" w:space="0" w:color="FFFFFF"/>
      </w:tblBorders>
    </w:tblPr>
    <w:tcPr>
      <w:shd w:val="clear" w:color="auto" w:fill="F3FBFF"/>
    </w:tcPr>
    <w:tblStylePr w:type="firstRow">
      <w:rPr>
        <w:b/>
        <w:bCs/>
      </w:rPr>
      <w:tblPr/>
      <w:tcPr>
        <w:shd w:val="clear" w:color="auto" w:fill="E7F8FF"/>
      </w:tcPr>
    </w:tblStylePr>
    <w:tblStylePr w:type="lastRow">
      <w:rPr>
        <w:b/>
        <w:bCs/>
        <w:color w:val="353D30"/>
      </w:rPr>
      <w:tblPr/>
      <w:tcPr>
        <w:shd w:val="clear" w:color="auto" w:fill="E7F8FF"/>
      </w:tcPr>
    </w:tblStylePr>
    <w:tblStylePr w:type="firstCol">
      <w:rPr>
        <w:color w:val="FFFFFF"/>
      </w:rPr>
      <w:tblPr/>
      <w:tcPr>
        <w:shd w:val="clear" w:color="auto" w:fill="52CCFF"/>
      </w:tcPr>
    </w:tblStylePr>
    <w:tblStylePr w:type="lastCol">
      <w:rPr>
        <w:color w:val="FFFFFF"/>
      </w:rPr>
      <w:tblPr/>
      <w:tcPr>
        <w:shd w:val="clear" w:color="auto" w:fill="52CCFF"/>
      </w:tcPr>
    </w:tblStylePr>
    <w:tblStylePr w:type="band1Vert">
      <w:tblPr/>
      <w:tcPr>
        <w:shd w:val="clear" w:color="auto" w:fill="E1F6FF"/>
      </w:tcPr>
    </w:tblStylePr>
    <w:tblStylePr w:type="band1Horz">
      <w:tblPr/>
      <w:tcPr>
        <w:shd w:val="clear" w:color="auto" w:fill="E1F6FF"/>
      </w:tcPr>
    </w:tblStylePr>
  </w:style>
  <w:style w:type="table" w:customStyle="1" w:styleId="LightShading-Accent41">
    <w:name w:val="Light Shading - Accent 41"/>
    <w:basedOn w:val="TableNormal"/>
    <w:next w:val="LightShading-Accent4"/>
    <w:uiPriority w:val="60"/>
    <w:rsid w:val="00CB0512"/>
    <w:pPr>
      <w:spacing w:after="0" w:line="240" w:lineRule="auto"/>
    </w:pPr>
    <w:rPr>
      <w:color w:val="B0B5B0"/>
      <w:lang w:val="en-US"/>
    </w:rPr>
    <w:tblPr>
      <w:tblStyleRowBandSize w:val="1"/>
      <w:tblStyleColBandSize w:val="1"/>
      <w:tblBorders>
        <w:top w:val="single" w:sz="8" w:space="0" w:color="EFF0EF"/>
        <w:bottom w:val="single" w:sz="8" w:space="0" w:color="EFF0EF"/>
      </w:tblBorders>
    </w:tblPr>
    <w:tblStylePr w:type="firstRow">
      <w:pPr>
        <w:spacing w:before="0" w:after="0" w:line="240" w:lineRule="auto"/>
      </w:pPr>
      <w:rPr>
        <w:b/>
        <w:bCs/>
      </w:rPr>
      <w:tblPr/>
      <w:tcPr>
        <w:tcBorders>
          <w:top w:val="single" w:sz="8" w:space="0" w:color="EFF0EF"/>
          <w:left w:val="nil"/>
          <w:bottom w:val="single" w:sz="8" w:space="0" w:color="EFF0EF"/>
          <w:right w:val="nil"/>
          <w:insideH w:val="nil"/>
          <w:insideV w:val="nil"/>
        </w:tcBorders>
      </w:tcPr>
    </w:tblStylePr>
    <w:tblStylePr w:type="lastRow">
      <w:pPr>
        <w:spacing w:before="0" w:after="0" w:line="240" w:lineRule="auto"/>
      </w:pPr>
      <w:rPr>
        <w:b/>
        <w:bCs/>
      </w:rPr>
      <w:tblPr/>
      <w:tcPr>
        <w:tcBorders>
          <w:top w:val="single" w:sz="8" w:space="0" w:color="EFF0EF"/>
          <w:left w:val="nil"/>
          <w:bottom w:val="single" w:sz="8" w:space="0" w:color="EFF0EF"/>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FBFB"/>
      </w:tcPr>
    </w:tblStylePr>
    <w:tblStylePr w:type="band1Horz">
      <w:tblPr/>
      <w:tcPr>
        <w:tcBorders>
          <w:left w:val="nil"/>
          <w:right w:val="nil"/>
          <w:insideH w:val="nil"/>
          <w:insideV w:val="nil"/>
        </w:tcBorders>
        <w:shd w:val="clear" w:color="auto" w:fill="FBFBFB"/>
      </w:tcPr>
    </w:tblStylePr>
  </w:style>
  <w:style w:type="table" w:customStyle="1" w:styleId="LightShading-Accent11">
    <w:name w:val="Light Shading - Accent 11"/>
    <w:basedOn w:val="TableNormal"/>
    <w:next w:val="LightShading-Accent1"/>
    <w:uiPriority w:val="60"/>
    <w:rsid w:val="00CB0512"/>
    <w:pPr>
      <w:spacing w:after="0" w:line="240" w:lineRule="auto"/>
    </w:pPr>
    <w:rPr>
      <w:color w:val="0099FE"/>
      <w:lang w:val="en-US"/>
    </w:rPr>
    <w:tblPr>
      <w:tblStyleRowBandSize w:val="1"/>
      <w:tblStyleColBandSize w:val="1"/>
      <w:tblBorders>
        <w:top w:val="single" w:sz="8" w:space="0" w:color="55BCFF"/>
        <w:bottom w:val="single" w:sz="8" w:space="0" w:color="55BCFF"/>
      </w:tblBorders>
    </w:tblPr>
    <w:tblStylePr w:type="firstRow">
      <w:pPr>
        <w:spacing w:before="0" w:after="0" w:line="240" w:lineRule="auto"/>
      </w:pPr>
      <w:rPr>
        <w:b/>
        <w:bCs/>
      </w:rPr>
      <w:tblPr/>
      <w:tcPr>
        <w:tcBorders>
          <w:top w:val="single" w:sz="8" w:space="0" w:color="55BCFF"/>
          <w:left w:val="nil"/>
          <w:bottom w:val="single" w:sz="8" w:space="0" w:color="55BCFF"/>
          <w:right w:val="nil"/>
          <w:insideH w:val="nil"/>
          <w:insideV w:val="nil"/>
        </w:tcBorders>
      </w:tcPr>
    </w:tblStylePr>
    <w:tblStylePr w:type="lastRow">
      <w:pPr>
        <w:spacing w:before="0" w:after="0" w:line="240" w:lineRule="auto"/>
      </w:pPr>
      <w:rPr>
        <w:b/>
        <w:bCs/>
      </w:rPr>
      <w:tblPr/>
      <w:tcPr>
        <w:tcBorders>
          <w:top w:val="single" w:sz="8" w:space="0" w:color="55BCFF"/>
          <w:left w:val="nil"/>
          <w:bottom w:val="single" w:sz="8" w:space="0" w:color="55BCFF"/>
          <w:right w:val="nil"/>
          <w:insideH w:val="nil"/>
          <w:insideV w:val="nil"/>
        </w:tcBorders>
      </w:tcPr>
    </w:tblStylePr>
    <w:tblStylePr w:type="firstCol">
      <w:rPr>
        <w:b/>
        <w:bCs/>
      </w:rPr>
    </w:tblStylePr>
    <w:tblStylePr w:type="lastCol">
      <w:rPr>
        <w:b/>
        <w:bCs/>
      </w:rPr>
    </w:tblStylePr>
    <w:tblStylePr w:type="band1Vert">
      <w:tblPr/>
      <w:tcPr>
        <w:shd w:val="clear" w:color="auto" w:fill="C4EEFF"/>
      </w:tcPr>
    </w:tblStylePr>
    <w:tblStylePr w:type="band1Horz">
      <w:tblPr/>
      <w:tcPr>
        <w:shd w:val="clear" w:color="auto" w:fill="C4EEFF"/>
      </w:tcPr>
    </w:tblStylePr>
  </w:style>
  <w:style w:type="table" w:customStyle="1" w:styleId="LightList-Accent11">
    <w:name w:val="Light List - Accent 11"/>
    <w:basedOn w:val="TableNormal"/>
    <w:next w:val="LightList-Accent1"/>
    <w:uiPriority w:val="61"/>
    <w:rsid w:val="00CB0512"/>
    <w:pPr>
      <w:spacing w:after="0" w:line="240" w:lineRule="auto"/>
    </w:pPr>
    <w:rPr>
      <w:lang w:val="en-US"/>
    </w:rPr>
    <w:tblPr>
      <w:tblStyleRowBandSize w:val="1"/>
      <w:tblStyleColBandSize w:val="1"/>
      <w:tblBorders>
        <w:top w:val="single" w:sz="8" w:space="0" w:color="55BCFF"/>
        <w:left w:val="single" w:sz="8" w:space="0" w:color="55BCFF"/>
        <w:bottom w:val="single" w:sz="8" w:space="0" w:color="55BCFF"/>
        <w:right w:val="single" w:sz="8" w:space="0" w:color="55BCFF"/>
      </w:tblBorders>
    </w:tblPr>
    <w:tblStylePr w:type="firstRow">
      <w:pPr>
        <w:spacing w:before="0" w:after="0" w:line="240" w:lineRule="auto"/>
      </w:pPr>
      <w:rPr>
        <w:b/>
        <w:bCs/>
        <w:color w:val="FFFFFF"/>
      </w:rPr>
      <w:tblPr/>
      <w:tcPr>
        <w:shd w:val="clear" w:color="auto" w:fill="55BCFF"/>
      </w:tcPr>
    </w:tblStylePr>
    <w:tblStylePr w:type="lastRow">
      <w:pPr>
        <w:spacing w:before="0" w:after="0" w:line="240" w:lineRule="auto"/>
      </w:pPr>
      <w:rPr>
        <w:b/>
        <w:bCs/>
      </w:rPr>
      <w:tblPr/>
      <w:tcPr>
        <w:tcBorders>
          <w:top w:val="double" w:sz="6" w:space="0" w:color="55BCFF"/>
          <w:left w:val="single" w:sz="8" w:space="0" w:color="55BCFF"/>
          <w:bottom w:val="single" w:sz="8" w:space="0" w:color="55BCFF"/>
          <w:right w:val="single" w:sz="8" w:space="0" w:color="55BCFF"/>
        </w:tcBorders>
      </w:tcPr>
    </w:tblStylePr>
    <w:tblStylePr w:type="firstCol">
      <w:rPr>
        <w:b/>
        <w:bCs/>
      </w:rPr>
    </w:tblStylePr>
    <w:tblStylePr w:type="lastCol">
      <w:rPr>
        <w:b/>
        <w:bCs/>
      </w:rPr>
    </w:tblStylePr>
    <w:tblStylePr w:type="band1Vert">
      <w:tblPr/>
      <w:tcPr>
        <w:tcBorders>
          <w:top w:val="single" w:sz="8" w:space="0" w:color="55BCFF"/>
          <w:left w:val="single" w:sz="8" w:space="0" w:color="55BCFF"/>
          <w:bottom w:val="single" w:sz="8" w:space="0" w:color="55BCFF"/>
          <w:right w:val="single" w:sz="8" w:space="0" w:color="55BCFF"/>
        </w:tcBorders>
      </w:tcPr>
    </w:tblStylePr>
    <w:tblStylePr w:type="band1Horz">
      <w:tblPr/>
      <w:tcPr>
        <w:tcBorders>
          <w:top w:val="single" w:sz="8" w:space="0" w:color="55BCFF"/>
          <w:left w:val="single" w:sz="8" w:space="0" w:color="55BCFF"/>
          <w:bottom w:val="single" w:sz="8" w:space="0" w:color="55BCFF"/>
          <w:right w:val="single" w:sz="8" w:space="0" w:color="55BCFF"/>
        </w:tcBorders>
      </w:tcPr>
    </w:tblStylePr>
  </w:style>
  <w:style w:type="table" w:customStyle="1" w:styleId="LightGrid-Accent11">
    <w:name w:val="Light Grid - Accent 11"/>
    <w:basedOn w:val="TableNormal"/>
    <w:next w:val="LightGrid-Accent1"/>
    <w:uiPriority w:val="62"/>
    <w:rsid w:val="00CB0512"/>
    <w:pPr>
      <w:spacing w:after="0" w:line="240" w:lineRule="auto"/>
    </w:pPr>
    <w:rPr>
      <w:lang w:val="en-US"/>
    </w:rPr>
    <w:tblPr>
      <w:tblStyleRowBandSize w:val="1"/>
      <w:tblStyleColBandSize w:val="1"/>
      <w:tblBorders>
        <w:top w:val="single" w:sz="8" w:space="0" w:color="55BCFF"/>
        <w:left w:val="single" w:sz="8" w:space="0" w:color="55BCFF"/>
        <w:bottom w:val="single" w:sz="8" w:space="0" w:color="55BCFF"/>
        <w:right w:val="single" w:sz="8" w:space="0" w:color="55BCFF"/>
        <w:insideH w:val="single" w:sz="8" w:space="0" w:color="55BCFF"/>
        <w:insideV w:val="single" w:sz="8" w:space="0" w:color="55BCFF"/>
      </w:tblBorders>
    </w:tblPr>
    <w:tblStylePr w:type="firstRow">
      <w:pPr>
        <w:spacing w:before="0" w:after="0" w:line="240" w:lineRule="auto"/>
      </w:pPr>
      <w:rPr>
        <w:rFonts w:ascii="Arial" w:eastAsia="Times New Roman" w:hAnsi="Arial" w:cs="Times New Roman"/>
        <w:b/>
        <w:bCs/>
      </w:rPr>
      <w:tblPr/>
      <w:tcPr>
        <w:tcBorders>
          <w:top w:val="single" w:sz="8" w:space="0" w:color="55BCFF"/>
          <w:left w:val="single" w:sz="8" w:space="0" w:color="55BCFF"/>
          <w:bottom w:val="single" w:sz="18" w:space="0" w:color="55BCFF"/>
          <w:right w:val="single" w:sz="8" w:space="0" w:color="55BCFF"/>
          <w:insideH w:val="nil"/>
          <w:insideV w:val="single" w:sz="8" w:space="0" w:color="55BCFF"/>
        </w:tcBorders>
      </w:tcPr>
    </w:tblStylePr>
    <w:tblStylePr w:type="lastRow">
      <w:pPr>
        <w:spacing w:before="0" w:after="0" w:line="240" w:lineRule="auto"/>
      </w:pPr>
      <w:rPr>
        <w:rFonts w:ascii="Arial" w:eastAsia="Times New Roman" w:hAnsi="Arial" w:cs="Times New Roman"/>
        <w:b/>
        <w:bCs/>
      </w:rPr>
      <w:tblPr/>
      <w:tcPr>
        <w:tcBorders>
          <w:top w:val="double" w:sz="6" w:space="0" w:color="55BCFF"/>
          <w:left w:val="single" w:sz="8" w:space="0" w:color="55BCFF"/>
          <w:bottom w:val="single" w:sz="8" w:space="0" w:color="55BCFF"/>
          <w:right w:val="single" w:sz="8" w:space="0" w:color="55BCFF"/>
          <w:insideH w:val="nil"/>
          <w:insideV w:val="single" w:sz="8" w:space="0" w:color="55BCFF"/>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55BCFF"/>
          <w:left w:val="single" w:sz="8" w:space="0" w:color="55BCFF"/>
          <w:bottom w:val="single" w:sz="8" w:space="0" w:color="55BCFF"/>
          <w:right w:val="single" w:sz="8" w:space="0" w:color="55BCFF"/>
        </w:tcBorders>
      </w:tcPr>
    </w:tblStylePr>
    <w:tblStylePr w:type="band1Vert">
      <w:tblPr/>
      <w:tcPr>
        <w:shd w:val="clear" w:color="auto" w:fill="C4EEFF"/>
      </w:tcPr>
    </w:tblStylePr>
    <w:tblStylePr w:type="band1Horz">
      <w:tblPr/>
      <w:tcPr>
        <w:shd w:val="clear" w:color="auto" w:fill="C4EEFF"/>
      </w:tcPr>
    </w:tblStylePr>
    <w:tblStylePr w:type="band2Horz">
      <w:tblPr/>
      <w:tcPr>
        <w:tcBorders>
          <w:top w:val="single" w:sz="8" w:space="0" w:color="55BCFF"/>
          <w:left w:val="single" w:sz="8" w:space="0" w:color="55BCFF"/>
          <w:bottom w:val="single" w:sz="8" w:space="0" w:color="55BCFF"/>
          <w:right w:val="single" w:sz="8" w:space="0" w:color="55BCFF"/>
          <w:insideV w:val="single" w:sz="8" w:space="0" w:color="55BCFF"/>
        </w:tcBorders>
      </w:tcPr>
    </w:tblStylePr>
  </w:style>
  <w:style w:type="table" w:customStyle="1" w:styleId="MediumShading1-Accent11">
    <w:name w:val="Medium Shading 1 - Accent 11"/>
    <w:basedOn w:val="TableNormal"/>
    <w:next w:val="MediumShading1-Accent1"/>
    <w:uiPriority w:val="63"/>
    <w:rsid w:val="00CB0512"/>
    <w:pPr>
      <w:spacing w:after="0" w:line="240" w:lineRule="auto"/>
    </w:pPr>
    <w:rPr>
      <w:lang w:val="en-US"/>
    </w:rPr>
    <w:tblPr>
      <w:tblStyleRowBandSize w:val="1"/>
      <w:tblStyleColBandSize w:val="1"/>
      <w:tblBorders>
        <w:top w:val="single" w:sz="8" w:space="0" w:color="7FCCFF"/>
        <w:left w:val="single" w:sz="8" w:space="0" w:color="7FCCFF"/>
        <w:bottom w:val="single" w:sz="8" w:space="0" w:color="7FCCFF"/>
        <w:right w:val="single" w:sz="8" w:space="0" w:color="7FCCFF"/>
        <w:insideH w:val="single" w:sz="8" w:space="0" w:color="7FCCFF"/>
      </w:tblBorders>
    </w:tblPr>
    <w:tblStylePr w:type="firstRow">
      <w:pPr>
        <w:spacing w:before="0" w:after="0" w:line="240" w:lineRule="auto"/>
      </w:pPr>
      <w:rPr>
        <w:b/>
        <w:bCs/>
        <w:color w:val="auto"/>
      </w:rPr>
      <w:tblPr/>
      <w:tcPr>
        <w:tcBorders>
          <w:top w:val="single" w:sz="4" w:space="0" w:color="353D30"/>
          <w:left w:val="single" w:sz="4" w:space="0" w:color="353D30"/>
          <w:bottom w:val="single" w:sz="4" w:space="0" w:color="353D30"/>
          <w:right w:val="single" w:sz="4" w:space="0" w:color="353D30"/>
          <w:insideH w:val="single" w:sz="4" w:space="0" w:color="353D30"/>
          <w:insideV w:val="single" w:sz="4" w:space="0" w:color="353D30"/>
        </w:tcBorders>
        <w:shd w:val="clear" w:color="auto" w:fill="353D30"/>
      </w:tcPr>
    </w:tblStylePr>
    <w:tblStylePr w:type="lastRow">
      <w:pPr>
        <w:spacing w:before="0" w:after="0" w:line="240" w:lineRule="auto"/>
      </w:pPr>
      <w:rPr>
        <w:b/>
        <w:bCs/>
      </w:rPr>
      <w:tblPr/>
      <w:tcPr>
        <w:tcBorders>
          <w:top w:val="single" w:sz="4" w:space="0" w:color="353D30"/>
          <w:left w:val="single" w:sz="4" w:space="0" w:color="353D30"/>
          <w:bottom w:val="single" w:sz="4" w:space="0" w:color="353D30"/>
          <w:right w:val="single" w:sz="4" w:space="0" w:color="353D30"/>
          <w:insideH w:val="single" w:sz="4" w:space="0" w:color="353D30"/>
          <w:insideV w:val="single" w:sz="4" w:space="0" w:color="353D30"/>
          <w:tl2br w:val="nil"/>
          <w:tr2bl w:val="nil"/>
        </w:tcBorders>
      </w:tcPr>
    </w:tblStylePr>
    <w:tblStylePr w:type="firstCol">
      <w:rPr>
        <w:b/>
        <w:bCs/>
      </w:rPr>
    </w:tblStylePr>
    <w:tblStylePr w:type="lastCol">
      <w:rPr>
        <w:b/>
        <w:bCs/>
      </w:rPr>
    </w:tblStylePr>
    <w:tblStylePr w:type="band1Vert">
      <w:tblPr/>
      <w:tcPr>
        <w:tcBorders>
          <w:top w:val="nil"/>
          <w:bottom w:val="single" w:sz="4" w:space="0" w:color="353D30"/>
        </w:tcBorders>
      </w:tcPr>
    </w:tblStylePr>
    <w:tblStylePr w:type="band1Horz">
      <w:tblPr/>
      <w:tcPr>
        <w:tcBorders>
          <w:top w:val="single" w:sz="4" w:space="0" w:color="353D30"/>
          <w:bottom w:val="single" w:sz="4" w:space="0" w:color="353D30"/>
        </w:tcBorders>
        <w:shd w:val="clear" w:color="auto" w:fill="C4EEFF"/>
      </w:tcPr>
    </w:tblStylePr>
    <w:tblStylePr w:type="band2Horz">
      <w:tblPr/>
      <w:tcPr>
        <w:tcBorders>
          <w:top w:val="nil"/>
          <w:bottom w:val="nil"/>
          <w:insideH w:val="nil"/>
          <w:insideV w:val="nil"/>
        </w:tcBorders>
      </w:tcPr>
    </w:tblStylePr>
  </w:style>
  <w:style w:type="table" w:customStyle="1" w:styleId="MediumShading2-Accent11">
    <w:name w:val="Medium Shading 2 - Accent 11"/>
    <w:basedOn w:val="TableNormal"/>
    <w:next w:val="MediumShading2-Accent1"/>
    <w:uiPriority w:val="64"/>
    <w:rsid w:val="00CB0512"/>
    <w:pPr>
      <w:spacing w:after="0" w:line="240" w:lineRule="auto"/>
    </w:pPr>
    <w:rPr>
      <w:lang w:val="en-US"/>
    </w:rPr>
    <w:tblPr>
      <w:tblStyleRowBandSize w:val="1"/>
      <w:tblStyleColBandSize w:val="1"/>
    </w:tblPr>
    <w:tblStylePr w:type="firstRow">
      <w:pPr>
        <w:spacing w:before="0" w:after="0" w:line="240" w:lineRule="auto"/>
      </w:pPr>
      <w:rPr>
        <w:b/>
        <w:bCs/>
        <w:color w:val="FFFFFF"/>
      </w:rPr>
      <w:tblPr/>
      <w:tcPr>
        <w:tcBorders>
          <w:top w:val="nil"/>
          <w:left w:val="nil"/>
          <w:bottom w:val="nil"/>
          <w:right w:val="nil"/>
          <w:insideH w:val="nil"/>
          <w:insideV w:val="nil"/>
          <w:tl2br w:val="nil"/>
          <w:tr2bl w:val="nil"/>
        </w:tcBorders>
        <w:shd w:val="clear" w:color="auto" w:fill="55BCFF"/>
      </w:tcPr>
    </w:tblStylePr>
    <w:tblStylePr w:type="lastRow">
      <w:pPr>
        <w:spacing w:before="0" w:after="0" w:line="240" w:lineRule="auto"/>
      </w:pPr>
      <w:rPr>
        <w:color w:val="auto"/>
      </w:rPr>
      <w:tblPr/>
      <w:tcPr>
        <w:tcBorders>
          <w:top w:val="nil"/>
          <w:left w:val="nil"/>
          <w:bottom w:val="nil"/>
          <w:right w:val="nil"/>
          <w:insideH w:val="nil"/>
          <w:insideV w:val="nil"/>
          <w:tl2br w:val="nil"/>
          <w:tr2bl w:val="nil"/>
        </w:tcBorders>
        <w:shd w:val="clear" w:color="auto" w:fill="FFFFFF"/>
      </w:tcPr>
    </w:tblStylePr>
    <w:tblStylePr w:type="firstCol">
      <w:rPr>
        <w:b/>
        <w:bCs/>
        <w:color w:val="FFFFFF"/>
      </w:rPr>
      <w:tblPr/>
      <w:tcPr>
        <w:tcBorders>
          <w:top w:val="nil"/>
          <w:left w:val="nil"/>
          <w:bottom w:val="nil"/>
          <w:right w:val="nil"/>
          <w:insideH w:val="nil"/>
          <w:insideV w:val="nil"/>
          <w:tl2br w:val="nil"/>
          <w:tr2bl w:val="nil"/>
        </w:tcBorders>
        <w:shd w:val="clear" w:color="auto" w:fill="55BCFF"/>
      </w:tcPr>
    </w:tblStylePr>
    <w:tblStylePr w:type="lastCol">
      <w:rPr>
        <w:b/>
        <w:bCs/>
        <w:color w:val="FFFFFF"/>
      </w:rPr>
      <w:tblPr/>
      <w:tcPr>
        <w:tcBorders>
          <w:left w:val="nil"/>
          <w:right w:val="nil"/>
          <w:insideH w:val="nil"/>
          <w:insideV w:val="nil"/>
        </w:tcBorders>
        <w:shd w:val="clear" w:color="auto" w:fill="55BCFF"/>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nil"/>
          <w:left w:val="nil"/>
          <w:bottom w:val="nil"/>
          <w:right w:val="nil"/>
          <w:insideH w:val="nil"/>
          <w:insideV w:val="nil"/>
          <w:tl2br w:val="nil"/>
          <w:tr2bl w:val="nil"/>
        </w:tcBorders>
      </w:tcPr>
    </w:tblStylePr>
    <w:tblStylePr w:type="nwCell">
      <w:rPr>
        <w:color w:val="FFFFFF"/>
      </w:rPr>
      <w:tblPr/>
      <w:tcPr>
        <w:tcBorders>
          <w:top w:val="nil"/>
          <w:left w:val="nil"/>
          <w:bottom w:val="nil"/>
          <w:right w:val="nil"/>
          <w:insideH w:val="nil"/>
          <w:insideV w:val="nil"/>
          <w:tl2br w:val="nil"/>
          <w:tr2bl w:val="nil"/>
        </w:tcBorders>
      </w:tcPr>
    </w:tblStylePr>
  </w:style>
  <w:style w:type="table" w:customStyle="1" w:styleId="MediumList1-Accent11">
    <w:name w:val="Medium List 1 - Accent 11"/>
    <w:basedOn w:val="TableNormal"/>
    <w:next w:val="MediumList1-Accent1"/>
    <w:uiPriority w:val="65"/>
    <w:rsid w:val="00CB0512"/>
    <w:pPr>
      <w:spacing w:after="0" w:line="240" w:lineRule="auto"/>
    </w:pPr>
    <w:rPr>
      <w:color w:val="353D30"/>
      <w:lang w:val="en-US"/>
    </w:rPr>
    <w:tblPr>
      <w:tblStyleRowBandSize w:val="1"/>
      <w:tblStyleColBandSize w:val="1"/>
      <w:tblBorders>
        <w:top w:val="single" w:sz="8" w:space="0" w:color="55BCFF"/>
        <w:bottom w:val="single" w:sz="8" w:space="0" w:color="55BCFF"/>
      </w:tblBorders>
    </w:tblPr>
    <w:tblStylePr w:type="firstRow">
      <w:rPr>
        <w:rFonts w:ascii="Arial" w:eastAsia="Times New Roman" w:hAnsi="Arial" w:cs="Times New Roman"/>
      </w:rPr>
      <w:tblPr/>
      <w:tcPr>
        <w:tcBorders>
          <w:top w:val="nil"/>
          <w:bottom w:val="single" w:sz="8" w:space="0" w:color="55BCFF"/>
        </w:tcBorders>
      </w:tcPr>
    </w:tblStylePr>
    <w:tblStylePr w:type="lastRow">
      <w:rPr>
        <w:b/>
        <w:bCs/>
        <w:color w:val="009FDA"/>
      </w:rPr>
      <w:tblPr/>
      <w:tcPr>
        <w:tcBorders>
          <w:top w:val="single" w:sz="8" w:space="0" w:color="55BCFF"/>
          <w:bottom w:val="single" w:sz="8" w:space="0" w:color="55BCFF"/>
        </w:tcBorders>
      </w:tcPr>
    </w:tblStylePr>
    <w:tblStylePr w:type="firstCol">
      <w:rPr>
        <w:b/>
        <w:bCs/>
      </w:rPr>
    </w:tblStylePr>
    <w:tblStylePr w:type="lastCol">
      <w:rPr>
        <w:b/>
        <w:bCs/>
      </w:rPr>
      <w:tblPr/>
      <w:tcPr>
        <w:tcBorders>
          <w:top w:val="single" w:sz="8" w:space="0" w:color="55BCFF"/>
          <w:bottom w:val="single" w:sz="8" w:space="0" w:color="55BCFF"/>
        </w:tcBorders>
      </w:tcPr>
    </w:tblStylePr>
    <w:tblStylePr w:type="band1Vert">
      <w:tblPr/>
      <w:tcPr>
        <w:shd w:val="clear" w:color="auto" w:fill="DBF4FF"/>
      </w:tcPr>
    </w:tblStylePr>
    <w:tblStylePr w:type="band1Horz">
      <w:tblPr/>
      <w:tcPr>
        <w:shd w:val="clear" w:color="auto" w:fill="DBF4FF"/>
      </w:tcPr>
    </w:tblStylePr>
  </w:style>
  <w:style w:type="table" w:customStyle="1" w:styleId="MediumList2-Accent11">
    <w:name w:val="Medium List 2 - Accent 11"/>
    <w:basedOn w:val="TableNormal"/>
    <w:next w:val="MediumList2-Accent1"/>
    <w:uiPriority w:val="66"/>
    <w:rsid w:val="00CB0512"/>
    <w:pPr>
      <w:spacing w:after="0" w:line="240" w:lineRule="auto"/>
    </w:pPr>
    <w:rPr>
      <w:rFonts w:ascii="Arial" w:eastAsia="Times New Roman" w:hAnsi="Arial" w:cs="Times New Roman"/>
      <w:color w:val="353D30"/>
      <w:lang w:val="en-US"/>
    </w:rPr>
    <w:tblPr>
      <w:tblStyleRowBandSize w:val="1"/>
      <w:tblStyleColBandSize w:val="1"/>
      <w:tblBorders>
        <w:top w:val="single" w:sz="8" w:space="0" w:color="55BCFF"/>
        <w:left w:val="single" w:sz="8" w:space="0" w:color="55BCFF"/>
        <w:bottom w:val="single" w:sz="8" w:space="0" w:color="55BCFF"/>
        <w:right w:val="single" w:sz="8" w:space="0" w:color="55BCFF"/>
      </w:tblBorders>
    </w:tblPr>
    <w:tblStylePr w:type="firstRow">
      <w:rPr>
        <w:sz w:val="24"/>
        <w:szCs w:val="24"/>
      </w:rPr>
      <w:tblPr/>
      <w:tcPr>
        <w:tcBorders>
          <w:top w:val="nil"/>
          <w:left w:val="nil"/>
          <w:bottom w:val="single" w:sz="18" w:space="0" w:color="55BCFF"/>
          <w:right w:val="nil"/>
          <w:insideH w:val="nil"/>
          <w:insideV w:val="nil"/>
        </w:tcBorders>
        <w:shd w:val="clear" w:color="auto" w:fill="FFFFFF"/>
      </w:tcPr>
    </w:tblStylePr>
    <w:tblStylePr w:type="lastRow">
      <w:tblPr/>
      <w:tcPr>
        <w:tcBorders>
          <w:top w:val="single" w:sz="8" w:space="0" w:color="55BCFF"/>
          <w:left w:val="nil"/>
          <w:bottom w:val="nil"/>
          <w:right w:val="nil"/>
          <w:insideH w:val="nil"/>
          <w:insideV w:val="nil"/>
        </w:tcBorders>
        <w:shd w:val="clear" w:color="auto" w:fill="FFFFFF"/>
      </w:tcPr>
    </w:tblStylePr>
    <w:tblStylePr w:type="firstCol">
      <w:tblPr/>
      <w:tcPr>
        <w:tcBorders>
          <w:top w:val="nil"/>
          <w:left w:val="nil"/>
          <w:bottom w:val="nil"/>
          <w:right w:val="single" w:sz="8" w:space="0" w:color="55BCFF"/>
          <w:insideH w:val="nil"/>
          <w:insideV w:val="nil"/>
        </w:tcBorders>
        <w:shd w:val="clear" w:color="auto" w:fill="FFFFFF"/>
      </w:tcPr>
    </w:tblStylePr>
    <w:tblStylePr w:type="lastCol">
      <w:tblPr/>
      <w:tcPr>
        <w:tcBorders>
          <w:top w:val="nil"/>
          <w:left w:val="single" w:sz="8" w:space="0" w:color="55BCFF"/>
          <w:bottom w:val="nil"/>
          <w:right w:val="nil"/>
          <w:insideH w:val="nil"/>
          <w:insideV w:val="nil"/>
        </w:tcBorders>
        <w:shd w:val="clear" w:color="auto" w:fill="FFFFFF"/>
      </w:tcPr>
    </w:tblStylePr>
    <w:tblStylePr w:type="band1Vert">
      <w:tblPr/>
      <w:tcPr>
        <w:shd w:val="clear" w:color="auto" w:fill="C4EEFF"/>
      </w:tcPr>
    </w:tblStylePr>
    <w:tblStylePr w:type="band1Horz">
      <w:tblPr/>
      <w:tcPr>
        <w:shd w:val="clear" w:color="auto" w:fill="C4EEFF"/>
      </w:tcPr>
    </w:tblStylePr>
    <w:tblStylePr w:type="nwCell">
      <w:tblPr/>
      <w:tcPr>
        <w:shd w:val="clear" w:color="auto" w:fill="FFFFFF"/>
      </w:tcPr>
    </w:tblStylePr>
    <w:tblStylePr w:type="swCell">
      <w:tblPr/>
      <w:tcPr>
        <w:tcBorders>
          <w:top w:val="nil"/>
        </w:tcBorders>
      </w:tcPr>
    </w:tblStylePr>
  </w:style>
  <w:style w:type="table" w:customStyle="1" w:styleId="MediumGrid1-Accent11">
    <w:name w:val="Medium Grid 1 - Accent 11"/>
    <w:basedOn w:val="TableNormal"/>
    <w:next w:val="MediumGrid1-Accent1"/>
    <w:uiPriority w:val="67"/>
    <w:rsid w:val="00CB0512"/>
    <w:pPr>
      <w:spacing w:after="0" w:line="240" w:lineRule="auto"/>
    </w:pPr>
    <w:rPr>
      <w:lang w:val="en-US"/>
    </w:rPr>
    <w:tblPr>
      <w:tblStyleRowBandSize w:val="1"/>
      <w:tblStyleColBandSize w:val="1"/>
      <w:tblBorders>
        <w:top w:val="single" w:sz="2" w:space="0" w:color="55BCFF"/>
        <w:left w:val="single" w:sz="2" w:space="0" w:color="55BCFF"/>
        <w:bottom w:val="single" w:sz="2" w:space="0" w:color="55BCFF"/>
        <w:right w:val="single" w:sz="2" w:space="0" w:color="55BCFF"/>
        <w:insideH w:val="single" w:sz="2" w:space="0" w:color="55BCFF"/>
        <w:insideV w:val="single" w:sz="2" w:space="0" w:color="55BCFF"/>
      </w:tblBorders>
    </w:tblPr>
    <w:tcPr>
      <w:shd w:val="clear" w:color="auto" w:fill="C4EEFF"/>
    </w:tcPr>
    <w:tblStylePr w:type="firstRow">
      <w:rPr>
        <w:b/>
        <w:bCs/>
      </w:rPr>
    </w:tblStylePr>
    <w:tblStylePr w:type="lastRow">
      <w:rPr>
        <w:b/>
        <w:bCs/>
      </w:rPr>
      <w:tblPr/>
      <w:tcPr>
        <w:tcBorders>
          <w:top w:val="single" w:sz="18" w:space="0" w:color="7FCCFF"/>
        </w:tcBorders>
      </w:tcPr>
    </w:tblStylePr>
    <w:tblStylePr w:type="firstCol">
      <w:rPr>
        <w:b/>
        <w:bCs/>
      </w:rPr>
    </w:tblStylePr>
    <w:tblStylePr w:type="lastCol">
      <w:rPr>
        <w:b/>
        <w:bCs/>
      </w:rPr>
    </w:tblStylePr>
    <w:tblStylePr w:type="band1Vert">
      <w:tblPr/>
      <w:tcPr>
        <w:shd w:val="clear" w:color="auto" w:fill="C4EEFF"/>
      </w:tcPr>
    </w:tblStylePr>
    <w:tblStylePr w:type="band1Horz">
      <w:tblPr/>
      <w:tcPr>
        <w:shd w:val="clear" w:color="auto" w:fill="E7F8FF"/>
      </w:tcPr>
    </w:tblStylePr>
  </w:style>
  <w:style w:type="table" w:customStyle="1" w:styleId="MediumGrid2-Accent11">
    <w:name w:val="Medium Grid 2 - Accent 11"/>
    <w:basedOn w:val="TableNormal"/>
    <w:next w:val="MediumGrid2-Accent1"/>
    <w:uiPriority w:val="68"/>
    <w:rsid w:val="00CB0512"/>
    <w:pPr>
      <w:spacing w:after="0" w:line="240" w:lineRule="auto"/>
    </w:pPr>
    <w:rPr>
      <w:rFonts w:ascii="Arial" w:eastAsia="Times New Roman" w:hAnsi="Arial" w:cs="Times New Roman"/>
      <w:color w:val="353D30"/>
      <w:lang w:val="en-US"/>
    </w:rPr>
    <w:tblPr>
      <w:tblStyleRowBandSize w:val="1"/>
      <w:tblStyleColBandSize w:val="1"/>
      <w:tblBorders>
        <w:top w:val="single" w:sz="8" w:space="0" w:color="55BCFF"/>
        <w:left w:val="single" w:sz="8" w:space="0" w:color="55BCFF"/>
        <w:bottom w:val="single" w:sz="8" w:space="0" w:color="55BCFF"/>
        <w:right w:val="single" w:sz="8" w:space="0" w:color="55BCFF"/>
        <w:insideH w:val="single" w:sz="8" w:space="0" w:color="55BCFF"/>
        <w:insideV w:val="single" w:sz="8" w:space="0" w:color="55BCFF"/>
      </w:tblBorders>
    </w:tblPr>
    <w:tcPr>
      <w:shd w:val="clear" w:color="auto" w:fill="FFFFFF"/>
      <w:vAlign w:val="center"/>
    </w:tcPr>
    <w:tblStylePr w:type="firstRow">
      <w:rPr>
        <w:b/>
        <w:bCs/>
        <w:color w:val="353D30"/>
      </w:rPr>
      <w:tblPr/>
      <w:tcPr>
        <w:shd w:val="clear" w:color="auto" w:fill="E7F8FF"/>
      </w:tcPr>
    </w:tblStylePr>
    <w:tblStylePr w:type="lastRow">
      <w:rPr>
        <w:b/>
        <w:bCs/>
        <w:color w:val="353D30"/>
      </w:rPr>
      <w:tblPr/>
      <w:tcPr>
        <w:tcBorders>
          <w:top w:val="single" w:sz="12" w:space="0" w:color="353D30"/>
          <w:left w:val="nil"/>
          <w:bottom w:val="nil"/>
          <w:right w:val="nil"/>
          <w:insideH w:val="nil"/>
          <w:insideV w:val="nil"/>
        </w:tcBorders>
        <w:shd w:val="clear" w:color="auto" w:fill="FFFFFF"/>
      </w:tcPr>
    </w:tblStylePr>
    <w:tblStylePr w:type="firstCol">
      <w:rPr>
        <w:b/>
        <w:bCs/>
        <w:color w:val="353D30"/>
      </w:rPr>
      <w:tblPr/>
      <w:tcPr>
        <w:tcBorders>
          <w:top w:val="nil"/>
          <w:left w:val="nil"/>
          <w:bottom w:val="nil"/>
          <w:right w:val="nil"/>
          <w:insideH w:val="nil"/>
          <w:insideV w:val="nil"/>
        </w:tcBorders>
        <w:shd w:val="clear" w:color="auto" w:fill="FFFFFF"/>
      </w:tcPr>
    </w:tblStylePr>
    <w:tblStylePr w:type="lastCol">
      <w:rPr>
        <w:b w:val="0"/>
        <w:bCs w:val="0"/>
        <w:color w:val="353D30"/>
      </w:rPr>
      <w:tblPr/>
      <w:tcPr>
        <w:shd w:val="clear" w:color="auto" w:fill="E7F8FF"/>
      </w:tcPr>
    </w:tblStylePr>
    <w:tblStylePr w:type="band1Vert">
      <w:tblPr/>
      <w:tcPr>
        <w:shd w:val="clear" w:color="auto" w:fill="C4EEFF"/>
      </w:tcPr>
    </w:tblStylePr>
    <w:tblStylePr w:type="band1Horz">
      <w:tblPr/>
      <w:tcPr>
        <w:shd w:val="clear" w:color="auto" w:fill="C4EEFF"/>
      </w:tcPr>
    </w:tblStylePr>
    <w:tblStylePr w:type="nwCell">
      <w:tblPr/>
      <w:tcPr>
        <w:shd w:val="clear" w:color="auto" w:fill="FFFFFF"/>
      </w:tcPr>
    </w:tblStylePr>
  </w:style>
  <w:style w:type="table" w:customStyle="1" w:styleId="MediumGrid3-Accent11">
    <w:name w:val="Medium Grid 3 - Accent 11"/>
    <w:basedOn w:val="TableNormal"/>
    <w:next w:val="MediumGrid3-Accent1"/>
    <w:uiPriority w:val="69"/>
    <w:rsid w:val="00CB0512"/>
    <w:pPr>
      <w:spacing w:before="40" w:after="40" w:line="240" w:lineRule="auto"/>
    </w:pPr>
    <w:rPr>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5EEFF"/>
      <w:vAlign w:val="center"/>
    </w:tcPr>
    <w:tblStylePr w:type="firstRow">
      <w:pPr>
        <w:jc w:val="left"/>
      </w:pPr>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5BCFF"/>
        <w:vAlign w:val="center"/>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5BCFF"/>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5BCFF"/>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5BCFF"/>
      </w:tcPr>
    </w:tblStylePr>
    <w:tblStylePr w:type="band1Vert">
      <w:tblPr/>
      <w:tcPr>
        <w:shd w:val="clear" w:color="auto" w:fill="A2D64E"/>
      </w:tcPr>
    </w:tblStylePr>
    <w:tblStylePr w:type="band2Vert">
      <w:tblPr/>
      <w:tcPr>
        <w:shd w:val="clear" w:color="auto" w:fill="C4EEFF"/>
      </w:tcPr>
    </w:tblStylePr>
    <w:tblStylePr w:type="band1Horz">
      <w:tblPr/>
      <w:tcPr>
        <w:shd w:val="clear" w:color="auto" w:fill="C4EEFF"/>
      </w:tcPr>
    </w:tblStylePr>
  </w:style>
  <w:style w:type="table" w:customStyle="1" w:styleId="ColorfulGrid-Accent11">
    <w:name w:val="Colorful Grid - Accent 11"/>
    <w:basedOn w:val="TableNormal"/>
    <w:next w:val="ColorfulGrid-Accent1"/>
    <w:uiPriority w:val="73"/>
    <w:rsid w:val="00CB0512"/>
    <w:pPr>
      <w:spacing w:after="0" w:line="240" w:lineRule="auto"/>
    </w:pPr>
    <w:rPr>
      <w:color w:val="353D30"/>
      <w:lang w:val="en-US"/>
    </w:rPr>
    <w:tblPr>
      <w:tblStyleRowBandSize w:val="1"/>
      <w:tblStyleColBandSize w:val="1"/>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tblPr>
    <w:tcPr>
      <w:shd w:val="clear" w:color="auto" w:fill="FFFFFF"/>
      <w:vAlign w:val="center"/>
    </w:tcPr>
    <w:tblStylePr w:type="firstRow">
      <w:rPr>
        <w:b/>
        <w:bCs/>
      </w:rPr>
      <w:tblPr/>
      <w:tcPr>
        <w:tcBorders>
          <w:top w:val="nil"/>
          <w:left w:val="nil"/>
          <w:bottom w:val="nil"/>
          <w:right w:val="nil"/>
          <w:insideH w:val="nil"/>
          <w:insideV w:val="nil"/>
        </w:tcBorders>
        <w:shd w:val="clear" w:color="auto" w:fill="FFFFFF"/>
      </w:tcPr>
    </w:tblStylePr>
    <w:tblStylePr w:type="lastRow">
      <w:rPr>
        <w:b/>
        <w:bCs/>
        <w:color w:val="353D30"/>
      </w:rPr>
      <w:tblPr/>
      <w:tcPr>
        <w:shd w:val="clear" w:color="auto" w:fill="BBE4FF"/>
      </w:tcPr>
    </w:tblStylePr>
    <w:tblStylePr w:type="firstCol">
      <w:rPr>
        <w:color w:val="55BCFF"/>
      </w:rPr>
      <w:tblPr/>
      <w:tcPr>
        <w:shd w:val="clear" w:color="auto" w:fill="55BCFF"/>
      </w:tcPr>
    </w:tblStylePr>
    <w:tblStylePr w:type="lastCol">
      <w:rPr>
        <w:color w:val="FFFFFF"/>
      </w:rPr>
      <w:tblPr/>
      <w:tcPr>
        <w:shd w:val="clear" w:color="auto" w:fill="55BCFF"/>
      </w:tcPr>
    </w:tblStylePr>
    <w:tblStylePr w:type="band1Vert">
      <w:tblPr/>
      <w:tcPr>
        <w:shd w:val="clear" w:color="auto" w:fill="C4EEFF"/>
      </w:tcPr>
    </w:tblStylePr>
    <w:tblStylePr w:type="band2Vert">
      <w:tblPr/>
      <w:tcPr>
        <w:shd w:val="clear" w:color="auto" w:fill="C4EEFF"/>
      </w:tcPr>
    </w:tblStylePr>
    <w:tblStylePr w:type="band1Horz">
      <w:tblPr/>
      <w:tcPr>
        <w:shd w:val="clear" w:color="auto" w:fill="C4EEFF"/>
      </w:tcPr>
    </w:tblStylePr>
    <w:tblStylePr w:type="band2Horz">
      <w:tblPr/>
      <w:tcPr>
        <w:shd w:val="clear" w:color="auto" w:fill="C4EEFF"/>
      </w:tcPr>
    </w:tblStylePr>
  </w:style>
  <w:style w:type="table" w:customStyle="1" w:styleId="ColorfulList-Accent11">
    <w:name w:val="Colorful List - Accent 11"/>
    <w:basedOn w:val="TableNormal"/>
    <w:next w:val="ColorfulList-Accent1"/>
    <w:uiPriority w:val="72"/>
    <w:rsid w:val="00CB0512"/>
    <w:pPr>
      <w:spacing w:after="0" w:line="240" w:lineRule="auto"/>
    </w:pPr>
    <w:rPr>
      <w:color w:val="353D30"/>
      <w:lang w:val="en-US"/>
    </w:rPr>
    <w:tblPr>
      <w:tblStyleRowBandSize w:val="1"/>
      <w:tblStyleColBandSize w:val="1"/>
    </w:tblPr>
    <w:tcPr>
      <w:shd w:val="clear" w:color="auto" w:fill="EEF8FF"/>
      <w:vAlign w:val="center"/>
    </w:tcPr>
    <w:tblStylePr w:type="firstRow">
      <w:rPr>
        <w:b/>
        <w:bCs/>
        <w:color w:val="FFFFFF"/>
      </w:rPr>
      <w:tblPr/>
      <w:tcPr>
        <w:shd w:val="clear" w:color="auto" w:fill="55BCFF"/>
      </w:tcPr>
    </w:tblStylePr>
    <w:tblStylePr w:type="lastRow">
      <w:rPr>
        <w:b/>
        <w:bCs/>
        <w:color w:val="2A3026"/>
      </w:rPr>
      <w:tblPr/>
      <w:tcPr>
        <w:tcBorders>
          <w:top w:val="single" w:sz="12" w:space="0" w:color="353D3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5EEFF"/>
      </w:tcPr>
    </w:tblStylePr>
    <w:tblStylePr w:type="band1Horz">
      <w:tblPr/>
      <w:tcPr>
        <w:shd w:val="clear" w:color="auto" w:fill="C4EEFF"/>
      </w:tcPr>
    </w:tblStylePr>
    <w:tblStylePr w:type="band2Horz">
      <w:tblPr/>
      <w:tcPr>
        <w:shd w:val="clear" w:color="auto" w:fill="F3FBFF"/>
      </w:tcPr>
    </w:tblStylePr>
  </w:style>
  <w:style w:type="table" w:customStyle="1" w:styleId="ColorfulShading-Accent11">
    <w:name w:val="Colorful Shading - Accent 11"/>
    <w:basedOn w:val="TableNormal"/>
    <w:next w:val="ColorfulShading-Accent1"/>
    <w:uiPriority w:val="71"/>
    <w:rsid w:val="00CB0512"/>
    <w:pPr>
      <w:spacing w:after="0" w:line="240" w:lineRule="auto"/>
    </w:pPr>
    <w:rPr>
      <w:color w:val="353D30"/>
      <w:lang w:val="en-US"/>
    </w:rPr>
    <w:tblPr>
      <w:tblStyleRowBandSize w:val="1"/>
      <w:tblStyleColBandSize w:val="1"/>
      <w:tblBorders>
        <w:bottom w:val="single" w:sz="12" w:space="0" w:color="353D30"/>
      </w:tblBorders>
    </w:tblPr>
    <w:tcPr>
      <w:shd w:val="clear" w:color="auto" w:fill="EEF8FF"/>
      <w:vAlign w:val="center"/>
    </w:tcPr>
    <w:tblStylePr w:type="firstRow">
      <w:pPr>
        <w:jc w:val="left"/>
      </w:pPr>
      <w:rPr>
        <w:b/>
        <w:bCs/>
      </w:rPr>
      <w:tblPr/>
      <w:tcPr>
        <w:tcBorders>
          <w:top w:val="nil"/>
          <w:left w:val="nil"/>
          <w:bottom w:val="single" w:sz="12" w:space="0" w:color="353D30"/>
          <w:right w:val="nil"/>
          <w:insideH w:val="nil"/>
          <w:insideV w:val="nil"/>
        </w:tcBorders>
        <w:shd w:val="clear" w:color="auto" w:fill="FFFFFF"/>
        <w:vAlign w:val="center"/>
      </w:tcPr>
    </w:tblStylePr>
    <w:tblStylePr w:type="lastRow">
      <w:rPr>
        <w:b/>
        <w:bCs/>
        <w:color w:val="FFFFFF"/>
      </w:rPr>
      <w:tblPr/>
      <w:tcPr>
        <w:tcBorders>
          <w:top w:val="single" w:sz="6" w:space="0" w:color="FFFFFF"/>
        </w:tcBorders>
        <w:shd w:val="clear" w:color="auto" w:fill="007BCC"/>
      </w:tcPr>
    </w:tblStylePr>
    <w:tblStylePr w:type="firstCol">
      <w:rPr>
        <w:color w:val="FFFFFF"/>
      </w:rPr>
      <w:tblPr/>
      <w:tcPr>
        <w:tcBorders>
          <w:top w:val="nil"/>
          <w:left w:val="nil"/>
          <w:bottom w:val="nil"/>
          <w:right w:val="nil"/>
          <w:insideH w:val="single" w:sz="4" w:space="0" w:color="007BCC"/>
          <w:insideV w:val="nil"/>
        </w:tcBorders>
        <w:shd w:val="clear" w:color="auto" w:fill="007BCC"/>
      </w:tcPr>
    </w:tblStylePr>
    <w:tblStylePr w:type="lastCol">
      <w:rPr>
        <w:color w:val="FFFFFF"/>
      </w:rPr>
      <w:tblPr/>
      <w:tcPr>
        <w:tcBorders>
          <w:top w:val="nil"/>
          <w:left w:val="nil"/>
          <w:bottom w:val="nil"/>
          <w:right w:val="nil"/>
          <w:insideH w:val="nil"/>
          <w:insideV w:val="nil"/>
        </w:tcBorders>
        <w:shd w:val="clear" w:color="auto" w:fill="007BCC"/>
      </w:tcPr>
    </w:tblStylePr>
    <w:tblStylePr w:type="band1Vert">
      <w:tblPr/>
      <w:tcPr>
        <w:shd w:val="clear" w:color="auto" w:fill="C4EEFF"/>
      </w:tcPr>
    </w:tblStylePr>
    <w:tblStylePr w:type="band2Vert">
      <w:tblPr/>
      <w:tcPr>
        <w:shd w:val="clear" w:color="auto" w:fill="A2D64E"/>
      </w:tcPr>
    </w:tblStylePr>
    <w:tblStylePr w:type="band1Horz">
      <w:tblPr/>
      <w:tcPr>
        <w:shd w:val="clear" w:color="auto" w:fill="C4EEFF"/>
      </w:tcPr>
    </w:tblStylePr>
    <w:tblStylePr w:type="band2Horz">
      <w:tblPr/>
      <w:tcPr>
        <w:shd w:val="clear" w:color="auto" w:fill="A2D64E"/>
      </w:tcPr>
    </w:tblStylePr>
    <w:tblStylePr w:type="neCell">
      <w:rPr>
        <w:color w:val="353D30"/>
      </w:rPr>
    </w:tblStylePr>
    <w:tblStylePr w:type="nwCell">
      <w:rPr>
        <w:color w:val="353D30"/>
      </w:rPr>
    </w:tblStylePr>
  </w:style>
  <w:style w:type="table" w:customStyle="1" w:styleId="DarkList-Accent11">
    <w:name w:val="Dark List - Accent 11"/>
    <w:basedOn w:val="TableNormal"/>
    <w:next w:val="DarkList-Accent1"/>
    <w:uiPriority w:val="70"/>
    <w:rsid w:val="00CB0512"/>
    <w:pPr>
      <w:spacing w:after="0" w:line="240" w:lineRule="auto"/>
    </w:pPr>
    <w:rPr>
      <w:color w:val="FFFFFF"/>
      <w:lang w:val="en-US"/>
    </w:rPr>
    <w:tblPr>
      <w:tblStyleRowBandSize w:val="1"/>
      <w:tblStyleColBandSize w:val="1"/>
    </w:tblPr>
    <w:tcPr>
      <w:shd w:val="clear" w:color="auto" w:fill="55BCFF"/>
    </w:tcPr>
    <w:tblStylePr w:type="firstRow">
      <w:rPr>
        <w:b/>
        <w:bCs/>
      </w:rPr>
      <w:tblPr/>
      <w:tcPr>
        <w:tcBorders>
          <w:top w:val="nil"/>
          <w:left w:val="nil"/>
          <w:bottom w:val="single" w:sz="18" w:space="0" w:color="FFFFFF"/>
          <w:right w:val="nil"/>
          <w:insideH w:val="nil"/>
          <w:insideV w:val="nil"/>
        </w:tcBorders>
        <w:shd w:val="clear" w:color="auto" w:fill="353D30"/>
      </w:tcPr>
    </w:tblStylePr>
    <w:tblStylePr w:type="lastRow">
      <w:tblPr/>
      <w:tcPr>
        <w:tcBorders>
          <w:top w:val="single" w:sz="18" w:space="0" w:color="FFFFFF"/>
          <w:left w:val="nil"/>
          <w:bottom w:val="nil"/>
          <w:right w:val="nil"/>
          <w:insideH w:val="nil"/>
          <w:insideV w:val="nil"/>
        </w:tcBorders>
        <w:shd w:val="clear" w:color="auto" w:fill="0066A9"/>
      </w:tcPr>
    </w:tblStylePr>
    <w:tblStylePr w:type="firstCol">
      <w:tblPr/>
      <w:tcPr>
        <w:tcBorders>
          <w:top w:val="nil"/>
          <w:left w:val="nil"/>
          <w:bottom w:val="nil"/>
          <w:right w:val="single" w:sz="18" w:space="0" w:color="FFFFFF"/>
          <w:insideH w:val="nil"/>
          <w:insideV w:val="nil"/>
        </w:tcBorders>
        <w:shd w:val="clear" w:color="auto" w:fill="0099FE"/>
      </w:tcPr>
    </w:tblStylePr>
    <w:tblStylePr w:type="lastCol">
      <w:tblPr/>
      <w:tcPr>
        <w:tcBorders>
          <w:top w:val="nil"/>
          <w:left w:val="single" w:sz="18" w:space="0" w:color="FFFFFF"/>
          <w:bottom w:val="nil"/>
          <w:right w:val="nil"/>
          <w:insideH w:val="nil"/>
          <w:insideV w:val="nil"/>
        </w:tcBorders>
        <w:shd w:val="clear" w:color="auto" w:fill="0099FE"/>
      </w:tcPr>
    </w:tblStylePr>
    <w:tblStylePr w:type="band1Vert">
      <w:tblPr/>
      <w:tcPr>
        <w:tcBorders>
          <w:top w:val="nil"/>
          <w:left w:val="nil"/>
          <w:bottom w:val="nil"/>
          <w:right w:val="nil"/>
          <w:insideH w:val="nil"/>
          <w:insideV w:val="nil"/>
        </w:tcBorders>
        <w:shd w:val="clear" w:color="auto" w:fill="0099FE"/>
      </w:tcPr>
    </w:tblStylePr>
    <w:tblStylePr w:type="band1Horz">
      <w:tblPr/>
      <w:tcPr>
        <w:tcBorders>
          <w:top w:val="nil"/>
          <w:left w:val="nil"/>
          <w:bottom w:val="nil"/>
          <w:right w:val="nil"/>
          <w:insideH w:val="nil"/>
          <w:insideV w:val="nil"/>
        </w:tcBorders>
        <w:shd w:val="clear" w:color="auto" w:fill="0099FE"/>
      </w:tcPr>
    </w:tblStylePr>
  </w:style>
  <w:style w:type="table" w:styleId="MediumList2-Accent6">
    <w:name w:val="Medium List 2 Accent 6"/>
    <w:basedOn w:val="TableNormal"/>
    <w:uiPriority w:val="66"/>
    <w:rsid w:val="00CB0512"/>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FF671F" w:themeColor="accent6"/>
        <w:left w:val="single" w:sz="8" w:space="0" w:color="FF671F" w:themeColor="accent6"/>
        <w:bottom w:val="single" w:sz="8" w:space="0" w:color="FF671F" w:themeColor="accent6"/>
        <w:right w:val="single" w:sz="8" w:space="0" w:color="FF671F" w:themeColor="accent6"/>
      </w:tblBorders>
    </w:tblPr>
    <w:tblStylePr w:type="firstRow">
      <w:rPr>
        <w:sz w:val="24"/>
        <w:szCs w:val="24"/>
      </w:rPr>
      <w:tblPr/>
      <w:tcPr>
        <w:tcBorders>
          <w:top w:val="nil"/>
          <w:left w:val="nil"/>
          <w:bottom w:val="single" w:sz="24" w:space="0" w:color="FF671F" w:themeColor="accent6"/>
          <w:right w:val="nil"/>
          <w:insideH w:val="nil"/>
          <w:insideV w:val="nil"/>
        </w:tcBorders>
        <w:shd w:val="clear" w:color="auto" w:fill="FFFFFF" w:themeFill="background1"/>
      </w:tcPr>
    </w:tblStylePr>
    <w:tblStylePr w:type="lastRow">
      <w:tblPr/>
      <w:tcPr>
        <w:tcBorders>
          <w:top w:val="single" w:sz="8" w:space="0" w:color="FF671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671F" w:themeColor="accent6"/>
          <w:insideH w:val="nil"/>
          <w:insideV w:val="nil"/>
        </w:tcBorders>
        <w:shd w:val="clear" w:color="auto" w:fill="FFFFFF" w:themeFill="background1"/>
      </w:tcPr>
    </w:tblStylePr>
    <w:tblStylePr w:type="lastCol">
      <w:tblPr/>
      <w:tcPr>
        <w:tcBorders>
          <w:top w:val="nil"/>
          <w:left w:val="single" w:sz="8" w:space="0" w:color="FF671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D9C7" w:themeFill="accent6" w:themeFillTint="3F"/>
      </w:tcPr>
    </w:tblStylePr>
    <w:tblStylePr w:type="band1Horz">
      <w:tblPr/>
      <w:tcPr>
        <w:tcBorders>
          <w:top w:val="nil"/>
          <w:bottom w:val="nil"/>
          <w:insideH w:val="nil"/>
          <w:insideV w:val="nil"/>
        </w:tcBorders>
        <w:shd w:val="clear" w:color="auto" w:fill="FFD9C7" w:themeFill="accent6" w:themeFillTint="3F"/>
      </w:tcPr>
    </w:tblStylePr>
    <w:tblStylePr w:type="nwCell">
      <w:tblPr/>
      <w:tcPr>
        <w:shd w:val="clear" w:color="auto" w:fill="FFFFFF" w:themeFill="background1"/>
      </w:tcPr>
    </w:tblStylePr>
    <w:tblStylePr w:type="swCell">
      <w:tblPr/>
      <w:tcPr>
        <w:tcBorders>
          <w:top w:val="nil"/>
        </w:tcBorders>
      </w:tcPr>
    </w:tblStylePr>
  </w:style>
  <w:style w:type="paragraph" w:styleId="Title">
    <w:name w:val="Title"/>
    <w:basedOn w:val="Normal"/>
    <w:next w:val="Normal"/>
    <w:link w:val="TitleChar"/>
    <w:uiPriority w:val="10"/>
    <w:semiHidden/>
    <w:qFormat/>
    <w:rsid w:val="007571B9"/>
    <w:pPr>
      <w:spacing w:before="0" w:after="300" w:line="240" w:lineRule="auto"/>
      <w:contextualSpacing/>
    </w:pPr>
    <w:rPr>
      <w:rFonts w:eastAsiaTheme="majorEastAsia" w:cstheme="majorBidi"/>
      <w:color w:val="C4D92E" w:themeColor="accent1"/>
      <w:spacing w:val="5"/>
      <w:kern w:val="28"/>
      <w:sz w:val="70"/>
      <w:szCs w:val="52"/>
      <w:lang w:val="en-US"/>
    </w:rPr>
  </w:style>
  <w:style w:type="character" w:customStyle="1" w:styleId="TitleChar">
    <w:name w:val="Title Char"/>
    <w:basedOn w:val="DefaultParagraphFont"/>
    <w:link w:val="Title"/>
    <w:uiPriority w:val="10"/>
    <w:semiHidden/>
    <w:rsid w:val="009D3E2C"/>
    <w:rPr>
      <w:rFonts w:ascii="Arial" w:eastAsiaTheme="majorEastAsia" w:hAnsi="Arial" w:cstheme="majorBidi"/>
      <w:color w:val="C4D92E" w:themeColor="accent1"/>
      <w:spacing w:val="5"/>
      <w:kern w:val="28"/>
      <w:sz w:val="70"/>
      <w:szCs w:val="52"/>
      <w:lang w:val="en-US"/>
    </w:rPr>
  </w:style>
  <w:style w:type="paragraph" w:styleId="IntenseQuote">
    <w:name w:val="Intense Quote"/>
    <w:basedOn w:val="Normal"/>
    <w:next w:val="Normal"/>
    <w:link w:val="IntenseQuoteChar"/>
    <w:uiPriority w:val="30"/>
    <w:semiHidden/>
    <w:qFormat/>
    <w:rsid w:val="007571B9"/>
    <w:pPr>
      <w:pBdr>
        <w:bottom w:val="single" w:sz="4" w:space="4" w:color="C4D92E" w:themeColor="accent1"/>
      </w:pBdr>
      <w:spacing w:before="200" w:after="280" w:line="240" w:lineRule="auto"/>
      <w:ind w:left="936" w:right="936"/>
    </w:pPr>
    <w:rPr>
      <w:rFonts w:cs="Arial"/>
      <w:b/>
      <w:bCs/>
      <w:i/>
      <w:iCs/>
      <w:color w:val="C4D92E" w:themeColor="accent1"/>
      <w:sz w:val="18"/>
      <w:szCs w:val="20"/>
      <w:lang w:val="en-US"/>
    </w:rPr>
  </w:style>
  <w:style w:type="character" w:customStyle="1" w:styleId="IntenseQuoteChar">
    <w:name w:val="Intense Quote Char"/>
    <w:basedOn w:val="DefaultParagraphFont"/>
    <w:link w:val="IntenseQuote"/>
    <w:uiPriority w:val="30"/>
    <w:semiHidden/>
    <w:rsid w:val="009D3E2C"/>
    <w:rPr>
      <w:rFonts w:ascii="Arial" w:hAnsi="Arial" w:cs="Arial"/>
      <w:b/>
      <w:bCs/>
      <w:i/>
      <w:iCs/>
      <w:color w:val="C4D92E" w:themeColor="accent1"/>
      <w:sz w:val="18"/>
      <w:szCs w:val="20"/>
      <w:lang w:val="en-US"/>
    </w:rPr>
  </w:style>
  <w:style w:type="character" w:styleId="SubtleEmphasis">
    <w:name w:val="Subtle Emphasis"/>
    <w:uiPriority w:val="19"/>
    <w:semiHidden/>
    <w:qFormat/>
    <w:rsid w:val="007571B9"/>
    <w:rPr>
      <w:i/>
      <w:iCs/>
      <w:color w:val="808080" w:themeColor="text1" w:themeTint="7F"/>
    </w:rPr>
  </w:style>
  <w:style w:type="paragraph" w:styleId="Subtitle">
    <w:name w:val="Subtitle"/>
    <w:basedOn w:val="Normal"/>
    <w:next w:val="Normal"/>
    <w:link w:val="SubtitleChar"/>
    <w:uiPriority w:val="11"/>
    <w:semiHidden/>
    <w:qFormat/>
    <w:rsid w:val="007571B9"/>
    <w:pPr>
      <w:numPr>
        <w:ilvl w:val="1"/>
      </w:numPr>
      <w:spacing w:before="0" w:after="0" w:line="240" w:lineRule="auto"/>
    </w:pPr>
    <w:rPr>
      <w:rFonts w:asciiTheme="majorHAnsi" w:eastAsiaTheme="majorEastAsia" w:hAnsiTheme="majorHAnsi" w:cstheme="majorBidi"/>
      <w:i/>
      <w:iCs/>
      <w:color w:val="C4D92E" w:themeColor="accent1"/>
      <w:spacing w:val="15"/>
      <w:sz w:val="24"/>
      <w:szCs w:val="24"/>
      <w:lang w:val="en-US"/>
    </w:rPr>
  </w:style>
  <w:style w:type="character" w:customStyle="1" w:styleId="SubtitleChar">
    <w:name w:val="Subtitle Char"/>
    <w:basedOn w:val="DefaultParagraphFont"/>
    <w:link w:val="Subtitle"/>
    <w:uiPriority w:val="11"/>
    <w:semiHidden/>
    <w:rsid w:val="009D3E2C"/>
    <w:rPr>
      <w:rFonts w:asciiTheme="majorHAnsi" w:eastAsiaTheme="majorEastAsia" w:hAnsiTheme="majorHAnsi" w:cstheme="majorBidi"/>
      <w:i/>
      <w:iCs/>
      <w:color w:val="C4D92E" w:themeColor="accent1"/>
      <w:spacing w:val="15"/>
      <w:sz w:val="24"/>
      <w:szCs w:val="24"/>
      <w:lang w:val="en-US"/>
    </w:rPr>
  </w:style>
  <w:style w:type="character" w:styleId="Emphasis">
    <w:name w:val="Emphasis"/>
    <w:uiPriority w:val="20"/>
    <w:semiHidden/>
    <w:qFormat/>
    <w:rsid w:val="007571B9"/>
    <w:rPr>
      <w:i/>
      <w:iCs/>
    </w:rPr>
  </w:style>
  <w:style w:type="character" w:styleId="IntenseEmphasis">
    <w:name w:val="Intense Emphasis"/>
    <w:uiPriority w:val="21"/>
    <w:semiHidden/>
    <w:qFormat/>
    <w:rsid w:val="007571B9"/>
    <w:rPr>
      <w:b/>
      <w:bCs/>
      <w:i/>
      <w:iCs/>
      <w:color w:val="C4D92E" w:themeColor="accent1"/>
    </w:rPr>
  </w:style>
  <w:style w:type="character" w:styleId="SubtleReference">
    <w:name w:val="Subtle Reference"/>
    <w:uiPriority w:val="31"/>
    <w:semiHidden/>
    <w:qFormat/>
    <w:rsid w:val="007571B9"/>
    <w:rPr>
      <w:smallCaps/>
      <w:color w:val="FFE72E" w:themeColor="accent2"/>
      <w:u w:val="single"/>
    </w:rPr>
  </w:style>
  <w:style w:type="character" w:styleId="IntenseReference">
    <w:name w:val="Intense Reference"/>
    <w:uiPriority w:val="32"/>
    <w:semiHidden/>
    <w:qFormat/>
    <w:rsid w:val="007571B9"/>
    <w:rPr>
      <w:b/>
      <w:bCs/>
      <w:smallCaps/>
      <w:color w:val="FFE72E" w:themeColor="accent2"/>
      <w:spacing w:val="5"/>
      <w:u w:val="single"/>
    </w:rPr>
  </w:style>
  <w:style w:type="character" w:customStyle="1" w:styleId="CaptionChar">
    <w:name w:val="Caption Char"/>
    <w:link w:val="Caption"/>
    <w:uiPriority w:val="4"/>
    <w:rsid w:val="007571B9"/>
    <w:rPr>
      <w:rFonts w:ascii="Arial" w:hAnsi="Arial"/>
      <w:b/>
      <w:bCs/>
      <w:color w:val="796E65" w:themeColor="accent4"/>
      <w:sz w:val="18"/>
      <w:szCs w:val="20"/>
    </w:rPr>
  </w:style>
  <w:style w:type="character" w:styleId="CommentReference">
    <w:name w:val="annotation reference"/>
    <w:basedOn w:val="DefaultParagraphFont"/>
    <w:semiHidden/>
    <w:rsid w:val="00B442AD"/>
    <w:rPr>
      <w:sz w:val="16"/>
      <w:szCs w:val="16"/>
    </w:rPr>
  </w:style>
  <w:style w:type="paragraph" w:styleId="ListParagraph">
    <w:name w:val="List Paragraph"/>
    <w:basedOn w:val="Normal"/>
    <w:uiPriority w:val="34"/>
    <w:semiHidden/>
    <w:qFormat/>
    <w:rsid w:val="009C5B39"/>
    <w:pPr>
      <w:ind w:left="720"/>
      <w:contextualSpacing/>
    </w:pPr>
  </w:style>
  <w:style w:type="paragraph" w:customStyle="1" w:styleId="ObjectWide">
    <w:name w:val="Object Wide"/>
    <w:basedOn w:val="Object"/>
    <w:next w:val="BodyText"/>
    <w:rsid w:val="00244F60"/>
    <w:pPr>
      <w:ind w:left="-1871"/>
    </w:pPr>
    <w:rPr>
      <w:bCs/>
      <w:noProof/>
      <w:szCs w:val="18"/>
      <w:lang w:eastAsia="en-AU"/>
    </w:rPr>
  </w:style>
  <w:style w:type="paragraph" w:styleId="CommentText">
    <w:name w:val="annotation text"/>
    <w:basedOn w:val="Normal"/>
    <w:link w:val="CommentTextChar"/>
    <w:uiPriority w:val="99"/>
    <w:semiHidden/>
    <w:unhideWhenUsed/>
    <w:pPr>
      <w:spacing w:line="240" w:lineRule="auto"/>
    </w:pPr>
    <w:rPr>
      <w:szCs w:val="20"/>
    </w:rPr>
  </w:style>
  <w:style w:type="character" w:customStyle="1" w:styleId="CommentTextChar">
    <w:name w:val="Comment Text Char"/>
    <w:basedOn w:val="DefaultParagraphFont"/>
    <w:link w:val="CommentText"/>
    <w:uiPriority w:val="99"/>
    <w:semiHidden/>
    <w:rPr>
      <w:rFonts w:ascii="Arial" w:hAnsi="Arial"/>
      <w:sz w:val="20"/>
      <w:szCs w:val="20"/>
    </w:rPr>
  </w:style>
  <w:style w:type="paragraph" w:customStyle="1" w:styleId="Tablebullet10">
    <w:name w:val="Table bullet 1"/>
    <w:basedOn w:val="Normal"/>
    <w:link w:val="Tablebullet1Char"/>
    <w:qFormat/>
    <w:rsid w:val="00612922"/>
    <w:pPr>
      <w:numPr>
        <w:numId w:val="17"/>
      </w:numPr>
      <w:spacing w:before="60" w:after="60" w:line="240" w:lineRule="auto"/>
    </w:pPr>
    <w:rPr>
      <w:rFonts w:cs="Arial"/>
      <w:sz w:val="18"/>
      <w:szCs w:val="18"/>
      <w:lang w:val="en-GB"/>
    </w:rPr>
  </w:style>
  <w:style w:type="character" w:customStyle="1" w:styleId="Tablebullet1Char">
    <w:name w:val="Table bullet 1 Char"/>
    <w:basedOn w:val="DefaultParagraphFont"/>
    <w:link w:val="Tablebullet10"/>
    <w:rsid w:val="00612922"/>
    <w:rPr>
      <w:rFonts w:ascii="Arial" w:hAnsi="Arial" w:cs="Arial"/>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35294">
      <w:bodyDiv w:val="1"/>
      <w:marLeft w:val="0"/>
      <w:marRight w:val="0"/>
      <w:marTop w:val="0"/>
      <w:marBottom w:val="0"/>
      <w:divBdr>
        <w:top w:val="none" w:sz="0" w:space="0" w:color="auto"/>
        <w:left w:val="none" w:sz="0" w:space="0" w:color="auto"/>
        <w:bottom w:val="none" w:sz="0" w:space="0" w:color="auto"/>
        <w:right w:val="none" w:sz="0" w:space="0" w:color="auto"/>
      </w:divBdr>
    </w:div>
    <w:div w:id="43608359">
      <w:bodyDiv w:val="1"/>
      <w:marLeft w:val="0"/>
      <w:marRight w:val="0"/>
      <w:marTop w:val="0"/>
      <w:marBottom w:val="0"/>
      <w:divBdr>
        <w:top w:val="none" w:sz="0" w:space="0" w:color="auto"/>
        <w:left w:val="none" w:sz="0" w:space="0" w:color="auto"/>
        <w:bottom w:val="none" w:sz="0" w:space="0" w:color="auto"/>
        <w:right w:val="none" w:sz="0" w:space="0" w:color="auto"/>
      </w:divBdr>
    </w:div>
    <w:div w:id="257180725">
      <w:bodyDiv w:val="1"/>
      <w:marLeft w:val="0"/>
      <w:marRight w:val="0"/>
      <w:marTop w:val="0"/>
      <w:marBottom w:val="0"/>
      <w:divBdr>
        <w:top w:val="none" w:sz="0" w:space="0" w:color="auto"/>
        <w:left w:val="none" w:sz="0" w:space="0" w:color="auto"/>
        <w:bottom w:val="none" w:sz="0" w:space="0" w:color="auto"/>
        <w:right w:val="none" w:sz="0" w:space="0" w:color="auto"/>
      </w:divBdr>
    </w:div>
    <w:div w:id="293370439">
      <w:bodyDiv w:val="1"/>
      <w:marLeft w:val="0"/>
      <w:marRight w:val="0"/>
      <w:marTop w:val="0"/>
      <w:marBottom w:val="0"/>
      <w:divBdr>
        <w:top w:val="none" w:sz="0" w:space="0" w:color="auto"/>
        <w:left w:val="none" w:sz="0" w:space="0" w:color="auto"/>
        <w:bottom w:val="none" w:sz="0" w:space="0" w:color="auto"/>
        <w:right w:val="none" w:sz="0" w:space="0" w:color="auto"/>
      </w:divBdr>
    </w:div>
    <w:div w:id="332535276">
      <w:bodyDiv w:val="1"/>
      <w:marLeft w:val="0"/>
      <w:marRight w:val="0"/>
      <w:marTop w:val="0"/>
      <w:marBottom w:val="0"/>
      <w:divBdr>
        <w:top w:val="none" w:sz="0" w:space="0" w:color="auto"/>
        <w:left w:val="none" w:sz="0" w:space="0" w:color="auto"/>
        <w:bottom w:val="none" w:sz="0" w:space="0" w:color="auto"/>
        <w:right w:val="none" w:sz="0" w:space="0" w:color="auto"/>
      </w:divBdr>
    </w:div>
    <w:div w:id="415320143">
      <w:bodyDiv w:val="1"/>
      <w:marLeft w:val="0"/>
      <w:marRight w:val="0"/>
      <w:marTop w:val="0"/>
      <w:marBottom w:val="0"/>
      <w:divBdr>
        <w:top w:val="none" w:sz="0" w:space="0" w:color="auto"/>
        <w:left w:val="none" w:sz="0" w:space="0" w:color="auto"/>
        <w:bottom w:val="none" w:sz="0" w:space="0" w:color="auto"/>
        <w:right w:val="none" w:sz="0" w:space="0" w:color="auto"/>
      </w:divBdr>
    </w:div>
    <w:div w:id="527914987">
      <w:bodyDiv w:val="1"/>
      <w:marLeft w:val="0"/>
      <w:marRight w:val="0"/>
      <w:marTop w:val="0"/>
      <w:marBottom w:val="0"/>
      <w:divBdr>
        <w:top w:val="none" w:sz="0" w:space="0" w:color="auto"/>
        <w:left w:val="none" w:sz="0" w:space="0" w:color="auto"/>
        <w:bottom w:val="none" w:sz="0" w:space="0" w:color="auto"/>
        <w:right w:val="none" w:sz="0" w:space="0" w:color="auto"/>
      </w:divBdr>
    </w:div>
    <w:div w:id="567615247">
      <w:bodyDiv w:val="1"/>
      <w:marLeft w:val="0"/>
      <w:marRight w:val="0"/>
      <w:marTop w:val="0"/>
      <w:marBottom w:val="0"/>
      <w:divBdr>
        <w:top w:val="none" w:sz="0" w:space="0" w:color="auto"/>
        <w:left w:val="none" w:sz="0" w:space="0" w:color="auto"/>
        <w:bottom w:val="none" w:sz="0" w:space="0" w:color="auto"/>
        <w:right w:val="none" w:sz="0" w:space="0" w:color="auto"/>
      </w:divBdr>
    </w:div>
    <w:div w:id="637342871">
      <w:bodyDiv w:val="1"/>
      <w:marLeft w:val="0"/>
      <w:marRight w:val="0"/>
      <w:marTop w:val="0"/>
      <w:marBottom w:val="0"/>
      <w:divBdr>
        <w:top w:val="none" w:sz="0" w:space="0" w:color="auto"/>
        <w:left w:val="none" w:sz="0" w:space="0" w:color="auto"/>
        <w:bottom w:val="none" w:sz="0" w:space="0" w:color="auto"/>
        <w:right w:val="none" w:sz="0" w:space="0" w:color="auto"/>
      </w:divBdr>
    </w:div>
    <w:div w:id="669216469">
      <w:bodyDiv w:val="1"/>
      <w:marLeft w:val="0"/>
      <w:marRight w:val="0"/>
      <w:marTop w:val="0"/>
      <w:marBottom w:val="0"/>
      <w:divBdr>
        <w:top w:val="none" w:sz="0" w:space="0" w:color="auto"/>
        <w:left w:val="none" w:sz="0" w:space="0" w:color="auto"/>
        <w:bottom w:val="none" w:sz="0" w:space="0" w:color="auto"/>
        <w:right w:val="none" w:sz="0" w:space="0" w:color="auto"/>
      </w:divBdr>
    </w:div>
    <w:div w:id="732240566">
      <w:bodyDiv w:val="1"/>
      <w:marLeft w:val="0"/>
      <w:marRight w:val="0"/>
      <w:marTop w:val="0"/>
      <w:marBottom w:val="0"/>
      <w:divBdr>
        <w:top w:val="none" w:sz="0" w:space="0" w:color="auto"/>
        <w:left w:val="none" w:sz="0" w:space="0" w:color="auto"/>
        <w:bottom w:val="none" w:sz="0" w:space="0" w:color="auto"/>
        <w:right w:val="none" w:sz="0" w:space="0" w:color="auto"/>
      </w:divBdr>
    </w:div>
    <w:div w:id="768279860">
      <w:bodyDiv w:val="1"/>
      <w:marLeft w:val="0"/>
      <w:marRight w:val="0"/>
      <w:marTop w:val="0"/>
      <w:marBottom w:val="0"/>
      <w:divBdr>
        <w:top w:val="none" w:sz="0" w:space="0" w:color="auto"/>
        <w:left w:val="none" w:sz="0" w:space="0" w:color="auto"/>
        <w:bottom w:val="none" w:sz="0" w:space="0" w:color="auto"/>
        <w:right w:val="none" w:sz="0" w:space="0" w:color="auto"/>
      </w:divBdr>
    </w:div>
    <w:div w:id="793208603">
      <w:bodyDiv w:val="1"/>
      <w:marLeft w:val="0"/>
      <w:marRight w:val="0"/>
      <w:marTop w:val="0"/>
      <w:marBottom w:val="0"/>
      <w:divBdr>
        <w:top w:val="none" w:sz="0" w:space="0" w:color="auto"/>
        <w:left w:val="none" w:sz="0" w:space="0" w:color="auto"/>
        <w:bottom w:val="none" w:sz="0" w:space="0" w:color="auto"/>
        <w:right w:val="none" w:sz="0" w:space="0" w:color="auto"/>
      </w:divBdr>
    </w:div>
    <w:div w:id="856427296">
      <w:bodyDiv w:val="1"/>
      <w:marLeft w:val="0"/>
      <w:marRight w:val="0"/>
      <w:marTop w:val="0"/>
      <w:marBottom w:val="0"/>
      <w:divBdr>
        <w:top w:val="none" w:sz="0" w:space="0" w:color="auto"/>
        <w:left w:val="none" w:sz="0" w:space="0" w:color="auto"/>
        <w:bottom w:val="none" w:sz="0" w:space="0" w:color="auto"/>
        <w:right w:val="none" w:sz="0" w:space="0" w:color="auto"/>
      </w:divBdr>
    </w:div>
    <w:div w:id="953056538">
      <w:bodyDiv w:val="1"/>
      <w:marLeft w:val="0"/>
      <w:marRight w:val="0"/>
      <w:marTop w:val="0"/>
      <w:marBottom w:val="0"/>
      <w:divBdr>
        <w:top w:val="none" w:sz="0" w:space="0" w:color="auto"/>
        <w:left w:val="none" w:sz="0" w:space="0" w:color="auto"/>
        <w:bottom w:val="none" w:sz="0" w:space="0" w:color="auto"/>
        <w:right w:val="none" w:sz="0" w:space="0" w:color="auto"/>
      </w:divBdr>
    </w:div>
    <w:div w:id="1025518166">
      <w:bodyDiv w:val="1"/>
      <w:marLeft w:val="0"/>
      <w:marRight w:val="0"/>
      <w:marTop w:val="0"/>
      <w:marBottom w:val="0"/>
      <w:divBdr>
        <w:top w:val="none" w:sz="0" w:space="0" w:color="auto"/>
        <w:left w:val="none" w:sz="0" w:space="0" w:color="auto"/>
        <w:bottom w:val="none" w:sz="0" w:space="0" w:color="auto"/>
        <w:right w:val="none" w:sz="0" w:space="0" w:color="auto"/>
      </w:divBdr>
      <w:divsChild>
        <w:div w:id="395933696">
          <w:marLeft w:val="0"/>
          <w:marRight w:val="0"/>
          <w:marTop w:val="0"/>
          <w:marBottom w:val="0"/>
          <w:divBdr>
            <w:top w:val="none" w:sz="0" w:space="0" w:color="auto"/>
            <w:left w:val="none" w:sz="0" w:space="0" w:color="auto"/>
            <w:bottom w:val="none" w:sz="0" w:space="0" w:color="auto"/>
            <w:right w:val="none" w:sz="0" w:space="0" w:color="auto"/>
          </w:divBdr>
          <w:divsChild>
            <w:div w:id="1534686933">
              <w:marLeft w:val="0"/>
              <w:marRight w:val="0"/>
              <w:marTop w:val="0"/>
              <w:marBottom w:val="0"/>
              <w:divBdr>
                <w:top w:val="none" w:sz="0" w:space="0" w:color="auto"/>
                <w:left w:val="none" w:sz="0" w:space="0" w:color="auto"/>
                <w:bottom w:val="none" w:sz="0" w:space="0" w:color="auto"/>
                <w:right w:val="none" w:sz="0" w:space="0" w:color="auto"/>
              </w:divBdr>
            </w:div>
            <w:div w:id="1703750331">
              <w:marLeft w:val="0"/>
              <w:marRight w:val="0"/>
              <w:marTop w:val="0"/>
              <w:marBottom w:val="0"/>
              <w:divBdr>
                <w:top w:val="none" w:sz="0" w:space="0" w:color="auto"/>
                <w:left w:val="none" w:sz="0" w:space="0" w:color="auto"/>
                <w:bottom w:val="none" w:sz="0" w:space="0" w:color="auto"/>
                <w:right w:val="none" w:sz="0" w:space="0" w:color="auto"/>
              </w:divBdr>
            </w:div>
            <w:div w:id="210325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585433">
      <w:bodyDiv w:val="1"/>
      <w:marLeft w:val="0"/>
      <w:marRight w:val="0"/>
      <w:marTop w:val="0"/>
      <w:marBottom w:val="0"/>
      <w:divBdr>
        <w:top w:val="none" w:sz="0" w:space="0" w:color="auto"/>
        <w:left w:val="none" w:sz="0" w:space="0" w:color="auto"/>
        <w:bottom w:val="none" w:sz="0" w:space="0" w:color="auto"/>
        <w:right w:val="none" w:sz="0" w:space="0" w:color="auto"/>
      </w:divBdr>
    </w:div>
    <w:div w:id="1116094111">
      <w:bodyDiv w:val="1"/>
      <w:marLeft w:val="0"/>
      <w:marRight w:val="0"/>
      <w:marTop w:val="0"/>
      <w:marBottom w:val="0"/>
      <w:divBdr>
        <w:top w:val="none" w:sz="0" w:space="0" w:color="auto"/>
        <w:left w:val="none" w:sz="0" w:space="0" w:color="auto"/>
        <w:bottom w:val="none" w:sz="0" w:space="0" w:color="auto"/>
        <w:right w:val="none" w:sz="0" w:space="0" w:color="auto"/>
      </w:divBdr>
    </w:div>
    <w:div w:id="1153647147">
      <w:bodyDiv w:val="1"/>
      <w:marLeft w:val="0"/>
      <w:marRight w:val="0"/>
      <w:marTop w:val="0"/>
      <w:marBottom w:val="0"/>
      <w:divBdr>
        <w:top w:val="none" w:sz="0" w:space="0" w:color="auto"/>
        <w:left w:val="none" w:sz="0" w:space="0" w:color="auto"/>
        <w:bottom w:val="none" w:sz="0" w:space="0" w:color="auto"/>
        <w:right w:val="none" w:sz="0" w:space="0" w:color="auto"/>
      </w:divBdr>
    </w:div>
    <w:div w:id="1226377146">
      <w:bodyDiv w:val="1"/>
      <w:marLeft w:val="0"/>
      <w:marRight w:val="0"/>
      <w:marTop w:val="0"/>
      <w:marBottom w:val="0"/>
      <w:divBdr>
        <w:top w:val="none" w:sz="0" w:space="0" w:color="auto"/>
        <w:left w:val="none" w:sz="0" w:space="0" w:color="auto"/>
        <w:bottom w:val="none" w:sz="0" w:space="0" w:color="auto"/>
        <w:right w:val="none" w:sz="0" w:space="0" w:color="auto"/>
      </w:divBdr>
    </w:div>
    <w:div w:id="1359357491">
      <w:bodyDiv w:val="1"/>
      <w:marLeft w:val="0"/>
      <w:marRight w:val="0"/>
      <w:marTop w:val="0"/>
      <w:marBottom w:val="0"/>
      <w:divBdr>
        <w:top w:val="none" w:sz="0" w:space="0" w:color="auto"/>
        <w:left w:val="none" w:sz="0" w:space="0" w:color="auto"/>
        <w:bottom w:val="none" w:sz="0" w:space="0" w:color="auto"/>
        <w:right w:val="none" w:sz="0" w:space="0" w:color="auto"/>
      </w:divBdr>
    </w:div>
    <w:div w:id="1427262658">
      <w:bodyDiv w:val="1"/>
      <w:marLeft w:val="0"/>
      <w:marRight w:val="0"/>
      <w:marTop w:val="0"/>
      <w:marBottom w:val="0"/>
      <w:divBdr>
        <w:top w:val="none" w:sz="0" w:space="0" w:color="auto"/>
        <w:left w:val="none" w:sz="0" w:space="0" w:color="auto"/>
        <w:bottom w:val="none" w:sz="0" w:space="0" w:color="auto"/>
        <w:right w:val="none" w:sz="0" w:space="0" w:color="auto"/>
      </w:divBdr>
    </w:div>
    <w:div w:id="1478034465">
      <w:bodyDiv w:val="1"/>
      <w:marLeft w:val="0"/>
      <w:marRight w:val="0"/>
      <w:marTop w:val="0"/>
      <w:marBottom w:val="0"/>
      <w:divBdr>
        <w:top w:val="none" w:sz="0" w:space="0" w:color="auto"/>
        <w:left w:val="none" w:sz="0" w:space="0" w:color="auto"/>
        <w:bottom w:val="none" w:sz="0" w:space="0" w:color="auto"/>
        <w:right w:val="none" w:sz="0" w:space="0" w:color="auto"/>
      </w:divBdr>
    </w:div>
    <w:div w:id="1575704548">
      <w:bodyDiv w:val="1"/>
      <w:marLeft w:val="0"/>
      <w:marRight w:val="0"/>
      <w:marTop w:val="0"/>
      <w:marBottom w:val="0"/>
      <w:divBdr>
        <w:top w:val="none" w:sz="0" w:space="0" w:color="auto"/>
        <w:left w:val="none" w:sz="0" w:space="0" w:color="auto"/>
        <w:bottom w:val="none" w:sz="0" w:space="0" w:color="auto"/>
        <w:right w:val="none" w:sz="0" w:space="0" w:color="auto"/>
      </w:divBdr>
    </w:div>
    <w:div w:id="1847591452">
      <w:bodyDiv w:val="1"/>
      <w:marLeft w:val="0"/>
      <w:marRight w:val="0"/>
      <w:marTop w:val="0"/>
      <w:marBottom w:val="0"/>
      <w:divBdr>
        <w:top w:val="none" w:sz="0" w:space="0" w:color="auto"/>
        <w:left w:val="none" w:sz="0" w:space="0" w:color="auto"/>
        <w:bottom w:val="none" w:sz="0" w:space="0" w:color="auto"/>
        <w:right w:val="none" w:sz="0" w:space="0" w:color="auto"/>
      </w:divBdr>
    </w:div>
    <w:div w:id="1953433749">
      <w:bodyDiv w:val="1"/>
      <w:marLeft w:val="0"/>
      <w:marRight w:val="0"/>
      <w:marTop w:val="0"/>
      <w:marBottom w:val="0"/>
      <w:divBdr>
        <w:top w:val="none" w:sz="0" w:space="0" w:color="auto"/>
        <w:left w:val="none" w:sz="0" w:space="0" w:color="auto"/>
        <w:bottom w:val="none" w:sz="0" w:space="0" w:color="auto"/>
        <w:right w:val="none" w:sz="0" w:space="0" w:color="auto"/>
      </w:divBdr>
    </w:div>
    <w:div w:id="2137330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microsoft.com/office/2007/relationships/stylesWithEffects" Target="stylesWithEffects.xml"/><Relationship Id="rId15" Type="http://schemas.openxmlformats.org/officeDocument/2006/relationships/header" Target="header1.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oula\SafeSync\Metuant%20client%20work\Melbourne%20Metro%20Rail%20Authority\Templates\MMRA%20EES%20template%20v2.dotx" TargetMode="External"/></Relationships>
</file>

<file path=word/theme/theme1.xml><?xml version="1.0" encoding="utf-8"?>
<a:theme xmlns:a="http://schemas.openxmlformats.org/drawingml/2006/main" name="Office Theme">
  <a:themeElements>
    <a:clrScheme name="MMRA">
      <a:dk1>
        <a:sysClr val="windowText" lastClr="000000"/>
      </a:dk1>
      <a:lt1>
        <a:sysClr val="window" lastClr="FFFFFF"/>
      </a:lt1>
      <a:dk2>
        <a:srgbClr val="00BAD4"/>
      </a:dk2>
      <a:lt2>
        <a:srgbClr val="E52923"/>
      </a:lt2>
      <a:accent1>
        <a:srgbClr val="C4D92E"/>
      </a:accent1>
      <a:accent2>
        <a:srgbClr val="FFE72E"/>
      </a:accent2>
      <a:accent3>
        <a:srgbClr val="A59C94"/>
      </a:accent3>
      <a:accent4>
        <a:srgbClr val="796E65"/>
      </a:accent4>
      <a:accent5>
        <a:srgbClr val="00B398"/>
      </a:accent5>
      <a:accent6>
        <a:srgbClr val="FF671F"/>
      </a:accent6>
      <a:hlink>
        <a:srgbClr val="FAC606"/>
      </a:hlink>
      <a:folHlink>
        <a:srgbClr val="F6F5F4"/>
      </a:folHlink>
    </a:clrScheme>
    <a:fontScheme name="MMRA Font Them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w="6350">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CMS332569</Abstract>
  <CompanyAddress>MMR-AJM-PWAA-RP-NN-000803</CompanyAddress>
  <CompanyPhone>C1</CompanyPhone>
  <CompanyFax>MMRA</CompanyFax>
  <CompanyEmail>EES Chapter 23 – Environmental Management Framework</CompanyEmail>
</CoverPageProperties>
</file>

<file path=customXml/item2.xml><?xml version="1.0" encoding="utf-8"?>
<b:Sources xmlns:b="http://schemas.openxmlformats.org/officeDocument/2006/bibliography" xmlns="http://schemas.openxmlformats.org/officeDocument/2006/bibliography" SelectedStyle="\APA.XSL" StyleName="APA">
  <b:Source>
    <b:Tag>smi04</b:Tag>
    <b:SourceType>Book</b:SourceType>
    <b:Guid>{94430D2E-3D69-4BAA-9E89-6C408CED36CB}</b:Guid>
    <b:Author>
      <b:Author>
        <b:NameList>
          <b:Person>
            <b:Last>smirt</b:Last>
            <b:First>meg</b:First>
          </b:Person>
        </b:NameList>
      </b:Author>
    </b:Author>
    <b:Title>book of journey</b:Title>
    <b:Year>2004</b:Year>
    <b:City>melbourne</b:City>
    <b:Publisher>drfm</b:Publisher>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87C3C58-4BC4-4710-9FCE-DCA286BD94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MMRA EES template v2</Template>
  <TotalTime>32</TotalTime>
  <Pages>63</Pages>
  <Words>16977</Words>
  <Characters>96774</Characters>
  <Application>Microsoft Office Word</Application>
  <DocSecurity>0</DocSecurity>
  <Lines>806</Lines>
  <Paragraphs>227</Paragraphs>
  <ScaleCrop>false</ScaleCrop>
  <HeadingPairs>
    <vt:vector size="2" baseType="variant">
      <vt:variant>
        <vt:lpstr>Title</vt:lpstr>
      </vt:variant>
      <vt:variant>
        <vt:i4>1</vt:i4>
      </vt:variant>
    </vt:vector>
  </HeadingPairs>
  <TitlesOfParts>
    <vt:vector size="1" baseType="lpstr">
      <vt:lpstr>EES - Chapter 1 to 8</vt:lpstr>
    </vt:vector>
  </TitlesOfParts>
  <Company/>
  <LinksUpToDate>false</LinksUpToDate>
  <CharactersWithSpaces>113524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EES - Chapter 1 to 8</dc:title>
  <dc:subject/>
  <dc:creator>Metuant</dc:creator>
  <cp:keywords/>
  <dc:description/>
  <cp:lastModifiedBy>McComas, Piers (SKM)</cp:lastModifiedBy>
  <cp:revision>9</cp:revision>
  <cp:lastPrinted>2016-05-11T07:04:00Z</cp:lastPrinted>
  <dcterms:created xsi:type="dcterms:W3CDTF">2016-05-10T03:22:00Z</dcterms:created>
  <dcterms:modified xsi:type="dcterms:W3CDTF">2016-05-23T03:30:00Z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000808</vt:lpwstr>
  </property>
  <property fmtid="{D5CDD505-2E9C-101B-9397-08002B2CF9AE}" pid="3" name="Area">
    <vt:lpwstr>AA Overall</vt:lpwstr>
  </property>
  <property fmtid="{D5CDD505-2E9C-101B-9397-08002B2CF9AE}" pid="4" name="Client">
    <vt:lpwstr>MMRA Melbourne Metro Rail Authority</vt:lpwstr>
  </property>
  <property fmtid="{D5CDD505-2E9C-101B-9397-08002B2CF9AE}" pid="5" name="BST Task">
    <vt:lpwstr>Show Details</vt:lpwstr>
  </property>
  <property fmtid="{D5CDD505-2E9C-101B-9397-08002B2CF9AE}" pid="6" name="Originator">
    <vt:lpwstr>AJM Aurecon Jacobs Motts JV</vt:lpwstr>
  </property>
  <property fmtid="{D5CDD505-2E9C-101B-9397-08002B2CF9AE}" pid="7" name="Document type">
    <vt:lpwstr>RP Technical Report</vt:lpwstr>
  </property>
  <property fmtid="{D5CDD505-2E9C-101B-9397-08002B2CF9AE}" pid="8" name="Zone">
    <vt:lpwstr>PW Project Wide</vt:lpwstr>
  </property>
  <property fmtid="{D5CDD505-2E9C-101B-9397-08002B2CF9AE}" pid="9" name="BST Phase">
    <vt:lpwstr>Show Details</vt:lpwstr>
  </property>
</Properties>
</file>